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9648" w:type="dxa"/>
        <w:tblLayout w:type="fixed"/>
        <w:tblCellMar>
          <w:left w:w="10" w:type="dxa"/>
          <w:right w:w="10" w:type="dxa"/>
        </w:tblCellMar>
        <w:tblLook w:val="0000" w:firstRow="0" w:lastRow="0" w:firstColumn="0" w:lastColumn="0" w:noHBand="0" w:noVBand="0"/>
      </w:tblPr>
      <w:tblGrid>
        <w:gridCol w:w="1526"/>
        <w:gridCol w:w="4072"/>
        <w:gridCol w:w="4050"/>
      </w:tblGrid>
      <w:tr w:rsidR="002E0DE9" w:rsidRPr="009F031A" w14:paraId="17BE037A" w14:textId="77777777" w:rsidTr="5E25A5E3">
        <w:trPr>
          <w:trHeight w:val="1328"/>
        </w:trPr>
        <w:tc>
          <w:tcPr>
            <w:tcW w:w="1526" w:type="dxa"/>
            <w:tcBorders>
              <w:top w:val="single" w:sz="12" w:space="0" w:color="000000" w:themeColor="text1"/>
              <w:bottom w:val="single" w:sz="12" w:space="0" w:color="000000" w:themeColor="text1"/>
            </w:tcBorders>
            <w:tcMar>
              <w:top w:w="85" w:type="dxa"/>
              <w:left w:w="108" w:type="dxa"/>
              <w:bottom w:w="0" w:type="dxa"/>
              <w:right w:w="108" w:type="dxa"/>
            </w:tcMar>
          </w:tcPr>
          <w:p w14:paraId="6CD4F5E6" w14:textId="77777777" w:rsidR="002E0DE9" w:rsidRPr="009F031A" w:rsidRDefault="002E0DE9" w:rsidP="00EC4F04">
            <w:pPr>
              <w:widowControl w:val="0"/>
              <w:suppressAutoHyphens/>
              <w:autoSpaceDE w:val="0"/>
              <w:autoSpaceDN w:val="0"/>
              <w:spacing w:after="0" w:line="240" w:lineRule="auto"/>
              <w:textAlignment w:val="baseline"/>
              <w:rPr>
                <w:rFonts w:eastAsia="Calibri" w:cs="Arial"/>
              </w:rPr>
            </w:pPr>
            <w:r w:rsidRPr="009F031A">
              <w:rPr>
                <w:rFonts w:eastAsia="Times New Roman" w:cs="Arial"/>
                <w:noProof/>
              </w:rPr>
              <w:drawing>
                <wp:inline distT="0" distB="0" distL="0" distR="0" wp14:anchorId="580EDBD3" wp14:editId="4D14034B">
                  <wp:extent cx="752478" cy="771525"/>
                  <wp:effectExtent l="0" t="0" r="9522" b="9525"/>
                  <wp:docPr id="4"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rcRect l="-2533" t="-726" r="-2533" b="-726"/>
                          <a:stretch>
                            <a:fillRect/>
                          </a:stretch>
                        </pic:blipFill>
                        <pic:spPr>
                          <a:xfrm>
                            <a:off x="0" y="0"/>
                            <a:ext cx="752478" cy="771525"/>
                          </a:xfrm>
                          <a:prstGeom prst="rect">
                            <a:avLst/>
                          </a:prstGeom>
                          <a:noFill/>
                          <a:ln>
                            <a:noFill/>
                            <a:prstDash/>
                          </a:ln>
                        </pic:spPr>
                      </pic:pic>
                    </a:graphicData>
                  </a:graphic>
                </wp:inline>
              </w:drawing>
            </w:r>
          </w:p>
        </w:tc>
        <w:tc>
          <w:tcPr>
            <w:tcW w:w="4072" w:type="dxa"/>
            <w:tcBorders>
              <w:top w:val="single" w:sz="12" w:space="0" w:color="000000" w:themeColor="text1"/>
              <w:bottom w:val="single" w:sz="12" w:space="0" w:color="000000" w:themeColor="text1"/>
            </w:tcBorders>
            <w:tcMar>
              <w:top w:w="85" w:type="dxa"/>
              <w:left w:w="108" w:type="dxa"/>
              <w:bottom w:w="0" w:type="dxa"/>
              <w:right w:w="108" w:type="dxa"/>
            </w:tcMar>
          </w:tcPr>
          <w:p w14:paraId="7D47464F" w14:textId="77777777" w:rsidR="002E0DE9" w:rsidRPr="009F031A" w:rsidRDefault="002E0DE9" w:rsidP="00AA55CE">
            <w:pPr>
              <w:keepNext/>
              <w:widowControl w:val="0"/>
              <w:suppressAutoHyphens/>
              <w:autoSpaceDE w:val="0"/>
              <w:autoSpaceDN w:val="0"/>
              <w:spacing w:after="0" w:line="240" w:lineRule="auto"/>
              <w:textAlignment w:val="baseline"/>
              <w:outlineLvl w:val="1"/>
              <w:rPr>
                <w:rFonts w:eastAsia="Times New Roman" w:cs="Arial"/>
                <w:b/>
                <w:sz w:val="32"/>
                <w:szCs w:val="32"/>
              </w:rPr>
            </w:pPr>
            <w:r w:rsidRPr="009F031A">
              <w:rPr>
                <w:rFonts w:eastAsia="Times New Roman" w:cs="Arial"/>
                <w:b/>
                <w:sz w:val="32"/>
                <w:szCs w:val="32"/>
              </w:rPr>
              <w:t>CONVENTION ON</w:t>
            </w:r>
          </w:p>
          <w:p w14:paraId="32613398" w14:textId="77777777" w:rsidR="002E0DE9" w:rsidRPr="009F031A" w:rsidRDefault="002E0DE9" w:rsidP="00AA55CE">
            <w:pPr>
              <w:keepNext/>
              <w:widowControl w:val="0"/>
              <w:suppressAutoHyphens/>
              <w:autoSpaceDE w:val="0"/>
              <w:autoSpaceDN w:val="0"/>
              <w:spacing w:after="0" w:line="240" w:lineRule="auto"/>
              <w:textAlignment w:val="baseline"/>
              <w:outlineLvl w:val="1"/>
              <w:rPr>
                <w:rFonts w:eastAsia="Times New Roman" w:cs="Arial"/>
                <w:b/>
                <w:sz w:val="32"/>
                <w:szCs w:val="32"/>
              </w:rPr>
            </w:pPr>
            <w:r w:rsidRPr="009F031A">
              <w:rPr>
                <w:rFonts w:eastAsia="Times New Roman" w:cs="Arial"/>
                <w:b/>
                <w:sz w:val="32"/>
                <w:szCs w:val="32"/>
              </w:rPr>
              <w:t>MIGRATORY</w:t>
            </w:r>
          </w:p>
          <w:p w14:paraId="56052177" w14:textId="77777777" w:rsidR="002E0DE9" w:rsidRPr="009F031A" w:rsidRDefault="002E0DE9" w:rsidP="00AA55CE">
            <w:pPr>
              <w:keepNext/>
              <w:widowControl w:val="0"/>
              <w:suppressAutoHyphens/>
              <w:autoSpaceDE w:val="0"/>
              <w:autoSpaceDN w:val="0"/>
              <w:spacing w:after="0" w:line="240" w:lineRule="auto"/>
              <w:textAlignment w:val="baseline"/>
              <w:outlineLvl w:val="1"/>
              <w:rPr>
                <w:rFonts w:eastAsia="Calibri" w:cs="Arial"/>
              </w:rPr>
            </w:pPr>
            <w:r w:rsidRPr="009F031A">
              <w:rPr>
                <w:rFonts w:eastAsia="Times New Roman" w:cs="Arial"/>
                <w:b/>
                <w:sz w:val="32"/>
                <w:szCs w:val="32"/>
              </w:rPr>
              <w:t xml:space="preserve">SPECIES </w:t>
            </w:r>
          </w:p>
        </w:tc>
        <w:tc>
          <w:tcPr>
            <w:tcW w:w="4050" w:type="dxa"/>
            <w:tcBorders>
              <w:top w:val="single" w:sz="12" w:space="0" w:color="000000" w:themeColor="text1"/>
              <w:bottom w:val="single" w:sz="12" w:space="0" w:color="000000" w:themeColor="text1"/>
            </w:tcBorders>
            <w:tcMar>
              <w:top w:w="85" w:type="dxa"/>
              <w:left w:w="108" w:type="dxa"/>
              <w:bottom w:w="0" w:type="dxa"/>
              <w:right w:w="108" w:type="dxa"/>
            </w:tcMar>
          </w:tcPr>
          <w:p w14:paraId="1DE1A481" w14:textId="32A0DA66" w:rsidR="00A34291" w:rsidRPr="009F031A" w:rsidRDefault="002E0DE9" w:rsidP="00EC4F04">
            <w:pPr>
              <w:widowControl w:val="0"/>
              <w:tabs>
                <w:tab w:val="left" w:pos="5040"/>
                <w:tab w:val="left" w:pos="5760"/>
                <w:tab w:val="left" w:pos="6008"/>
                <w:tab w:val="left" w:pos="6480"/>
                <w:tab w:val="left" w:pos="7200"/>
                <w:tab w:val="left" w:pos="7920"/>
                <w:tab w:val="left" w:pos="8640"/>
              </w:tabs>
              <w:suppressAutoHyphens/>
              <w:autoSpaceDE w:val="0"/>
              <w:autoSpaceDN w:val="0"/>
              <w:spacing w:before="120" w:after="120" w:line="240" w:lineRule="auto"/>
              <w:textAlignment w:val="baseline"/>
              <w:rPr>
                <w:rFonts w:eastAsia="Calibri" w:cs="Arial"/>
              </w:rPr>
            </w:pPr>
            <w:r w:rsidRPr="009F031A">
              <w:rPr>
                <w:rFonts w:eastAsia="Times New Roman" w:cs="Arial"/>
              </w:rPr>
              <w:t>UNEP/CMS/COP</w:t>
            </w:r>
            <w:r w:rsidR="00E140C4" w:rsidRPr="009F031A">
              <w:rPr>
                <w:rFonts w:eastAsia="Times New Roman" w:cs="Arial"/>
              </w:rPr>
              <w:t>15</w:t>
            </w:r>
            <w:r w:rsidRPr="009F031A">
              <w:rPr>
                <w:rFonts w:eastAsia="Times New Roman" w:cs="Arial"/>
              </w:rPr>
              <w:t>/</w:t>
            </w:r>
            <w:r w:rsidR="00012192">
              <w:rPr>
                <w:rFonts w:eastAsia="Times New Roman" w:cs="Arial"/>
              </w:rPr>
              <w:t>Doc</w:t>
            </w:r>
            <w:r w:rsidRPr="009F031A">
              <w:rPr>
                <w:rFonts w:eastAsia="Times New Roman" w:cs="Arial"/>
              </w:rPr>
              <w:t>.</w:t>
            </w:r>
            <w:r w:rsidR="00096B62" w:rsidRPr="009F031A">
              <w:rPr>
                <w:rFonts w:eastAsia="Times New Roman" w:cs="Arial"/>
              </w:rPr>
              <w:t>2</w:t>
            </w:r>
            <w:r w:rsidR="00EB730A">
              <w:rPr>
                <w:rFonts w:eastAsia="Times New Roman" w:cs="Arial"/>
              </w:rPr>
              <w:t>0</w:t>
            </w:r>
            <w:r w:rsidR="00EB730A" w:rsidRPr="00CA2B5A">
              <w:rPr>
                <w:rFonts w:eastAsia="Times New Roman" w:cs="Arial"/>
              </w:rPr>
              <w:t>.</w:t>
            </w:r>
            <w:r w:rsidR="007A61DB" w:rsidRPr="00CA2B5A">
              <w:rPr>
                <w:rFonts w:eastAsia="Times New Roman" w:cs="Arial"/>
              </w:rPr>
              <w:t>2</w:t>
            </w:r>
          </w:p>
          <w:p w14:paraId="7470AD45" w14:textId="39CFDB11" w:rsidR="002E0DE9" w:rsidRPr="006532D5" w:rsidRDefault="006532D5" w:rsidP="00661875">
            <w:pPr>
              <w:tabs>
                <w:tab w:val="left" w:pos="5040"/>
                <w:tab w:val="left" w:pos="5760"/>
                <w:tab w:val="left" w:pos="6008"/>
                <w:tab w:val="left" w:pos="6480"/>
                <w:tab w:val="left" w:pos="7200"/>
                <w:tab w:val="left" w:pos="7920"/>
                <w:tab w:val="left" w:pos="8640"/>
              </w:tabs>
              <w:rPr>
                <w:rFonts w:eastAsia="Times New Roman" w:cs="Arial"/>
              </w:rPr>
            </w:pPr>
            <w:r w:rsidRPr="006532D5">
              <w:rPr>
                <w:rFonts w:eastAsia="Times New Roman" w:cs="Arial"/>
              </w:rPr>
              <w:t xml:space="preserve">20 October </w:t>
            </w:r>
            <w:r w:rsidR="00980B9B" w:rsidRPr="009F031A">
              <w:rPr>
                <w:rFonts w:eastAsia="Times New Roman" w:cs="Arial"/>
              </w:rPr>
              <w:t>202</w:t>
            </w:r>
            <w:r w:rsidR="0029024B" w:rsidRPr="009F031A">
              <w:rPr>
                <w:rFonts w:eastAsia="Times New Roman" w:cs="Arial"/>
              </w:rPr>
              <w:t>5</w:t>
            </w:r>
          </w:p>
          <w:p w14:paraId="21B42A0D" w14:textId="77777777" w:rsidR="002E0DE9" w:rsidRPr="009F031A" w:rsidRDefault="002E0DE9" w:rsidP="00EC4F04">
            <w:pPr>
              <w:widowControl w:val="0"/>
              <w:suppressAutoHyphens/>
              <w:autoSpaceDE w:val="0"/>
              <w:autoSpaceDN w:val="0"/>
              <w:spacing w:after="0" w:line="240" w:lineRule="auto"/>
              <w:textAlignment w:val="baseline"/>
              <w:rPr>
                <w:rFonts w:eastAsia="Times New Roman" w:cs="Arial"/>
              </w:rPr>
            </w:pPr>
            <w:r w:rsidRPr="009F031A">
              <w:rPr>
                <w:rFonts w:eastAsia="Times New Roman" w:cs="Arial"/>
              </w:rPr>
              <w:t>Original: English</w:t>
            </w:r>
          </w:p>
        </w:tc>
      </w:tr>
    </w:tbl>
    <w:p w14:paraId="6F980F1F" w14:textId="77777777" w:rsidR="002E0DE9" w:rsidRPr="009F031A" w:rsidRDefault="002E0DE9" w:rsidP="00EC4F04">
      <w:pPr>
        <w:widowControl w:val="0"/>
        <w:tabs>
          <w:tab w:val="left" w:pos="-1057"/>
          <w:tab w:val="left" w:pos="-720"/>
        </w:tabs>
        <w:suppressAutoHyphens/>
        <w:autoSpaceDE w:val="0"/>
        <w:autoSpaceDN w:val="0"/>
        <w:spacing w:after="0" w:line="240" w:lineRule="auto"/>
        <w:ind w:left="-90"/>
        <w:textAlignment w:val="baseline"/>
        <w:rPr>
          <w:rFonts w:eastAsia="Times New Roman" w:cs="Arial"/>
          <w:spacing w:val="-8"/>
          <w:sz w:val="8"/>
          <w:szCs w:val="8"/>
        </w:rPr>
      </w:pPr>
    </w:p>
    <w:p w14:paraId="4C656F75" w14:textId="77777777" w:rsidR="00980B9B" w:rsidRPr="009F031A" w:rsidRDefault="00980B9B" w:rsidP="00980B9B">
      <w:pPr>
        <w:widowControl w:val="0"/>
        <w:spacing w:after="0" w:line="240" w:lineRule="auto"/>
        <w:jc w:val="both"/>
        <w:rPr>
          <w:rFonts w:eastAsia="Arial" w:cs="Arial"/>
          <w:color w:val="000000" w:themeColor="text1"/>
        </w:rPr>
      </w:pPr>
      <w:r w:rsidRPr="009F031A">
        <w:rPr>
          <w:rFonts w:eastAsia="Arial" w:cs="Arial"/>
          <w:color w:val="000000" w:themeColor="text1"/>
        </w:rPr>
        <w:t>15</w:t>
      </w:r>
      <w:r w:rsidRPr="009F031A">
        <w:rPr>
          <w:rFonts w:eastAsia="Arial" w:cs="Arial"/>
          <w:color w:val="000000" w:themeColor="text1"/>
          <w:vertAlign w:val="superscript"/>
        </w:rPr>
        <w:t>th</w:t>
      </w:r>
      <w:r w:rsidRPr="009F031A">
        <w:rPr>
          <w:rFonts w:eastAsia="Arial" w:cs="Arial"/>
          <w:color w:val="000000" w:themeColor="text1"/>
        </w:rPr>
        <w:t xml:space="preserve"> MEETING OF THE CONFERENCE OF THE PARTIES</w:t>
      </w:r>
    </w:p>
    <w:p w14:paraId="6A71B4AB" w14:textId="77777777" w:rsidR="00980B9B" w:rsidRPr="00D45B43" w:rsidRDefault="00980B9B" w:rsidP="00980B9B">
      <w:pPr>
        <w:widowControl w:val="0"/>
        <w:pBdr>
          <w:top w:val="single" w:sz="6" w:space="0" w:color="FFFFFF"/>
          <w:left w:val="single" w:sz="6" w:space="0" w:color="FFFFFF"/>
          <w:bottom w:val="single" w:sz="6" w:space="0" w:color="FFFFFF"/>
          <w:right w:val="single" w:sz="6" w:space="0" w:color="FFFFFF"/>
        </w:pBdr>
        <w:spacing w:after="0" w:line="240" w:lineRule="auto"/>
        <w:jc w:val="both"/>
        <w:rPr>
          <w:rFonts w:eastAsia="Arial" w:cs="Arial"/>
          <w:color w:val="000000" w:themeColor="text1"/>
          <w:lang w:val="pt-PT"/>
        </w:rPr>
      </w:pPr>
      <w:r w:rsidRPr="009F031A">
        <w:rPr>
          <w:rFonts w:eastAsia="Arial" w:cs="Arial"/>
          <w:color w:val="000000" w:themeColor="text1"/>
          <w:lang w:val="pt-BR"/>
        </w:rPr>
        <w:t xml:space="preserve">Campo Grande, Brazil, 23 </w:t>
      </w:r>
      <w:r w:rsidRPr="00D45B43">
        <w:rPr>
          <w:rFonts w:eastAsia="Arial" w:cs="Arial"/>
          <w:color w:val="000000" w:themeColor="text1"/>
          <w:lang w:val="pt-PT"/>
        </w:rPr>
        <w:t>–</w:t>
      </w:r>
      <w:r w:rsidRPr="009F031A">
        <w:rPr>
          <w:rFonts w:eastAsia="Arial" w:cs="Arial"/>
          <w:color w:val="000000" w:themeColor="text1"/>
          <w:lang w:val="pt-BR"/>
        </w:rPr>
        <w:t xml:space="preserve"> 29 March 2026</w:t>
      </w:r>
    </w:p>
    <w:p w14:paraId="3F607F85" w14:textId="62F78CAF" w:rsidR="002E0DE9" w:rsidRPr="00D45B43" w:rsidRDefault="00980B9B" w:rsidP="00980B9B">
      <w:pPr>
        <w:tabs>
          <w:tab w:val="left" w:pos="7020"/>
        </w:tabs>
        <w:rPr>
          <w:rFonts w:cs="Arial"/>
          <w:color w:val="000000" w:themeColor="text1"/>
          <w:lang w:val="pt-PT"/>
        </w:rPr>
      </w:pPr>
      <w:r w:rsidRPr="00D45B43">
        <w:rPr>
          <w:rFonts w:eastAsia="Arial" w:cs="Arial"/>
          <w:color w:val="000000" w:themeColor="text1"/>
          <w:lang w:val="pt-PT"/>
        </w:rPr>
        <w:t xml:space="preserve">Agenda Item </w:t>
      </w:r>
      <w:r w:rsidR="0029024B" w:rsidRPr="00D45B43">
        <w:rPr>
          <w:rFonts w:eastAsia="Arial" w:cs="Arial"/>
          <w:color w:val="000000" w:themeColor="text1"/>
          <w:lang w:val="pt-PT"/>
        </w:rPr>
        <w:t>2</w:t>
      </w:r>
      <w:r w:rsidR="00EB730A" w:rsidRPr="00D45B43">
        <w:rPr>
          <w:rFonts w:eastAsia="Arial" w:cs="Arial"/>
          <w:color w:val="000000" w:themeColor="text1"/>
          <w:lang w:val="pt-PT"/>
        </w:rPr>
        <w:t>0</w:t>
      </w:r>
      <w:r w:rsidR="0029024B" w:rsidRPr="00D45B43">
        <w:rPr>
          <w:rFonts w:eastAsia="Arial" w:cs="Arial"/>
          <w:color w:val="000000" w:themeColor="text1"/>
          <w:lang w:val="pt-PT"/>
        </w:rPr>
        <w:t>.</w:t>
      </w:r>
      <w:r w:rsidR="007A61DB" w:rsidRPr="00D45B43">
        <w:rPr>
          <w:rFonts w:eastAsia="Arial" w:cs="Arial"/>
          <w:color w:val="000000" w:themeColor="text1"/>
          <w:lang w:val="pt-PT"/>
        </w:rPr>
        <w:t>2</w:t>
      </w:r>
    </w:p>
    <w:p w14:paraId="7408EC0D" w14:textId="77777777" w:rsidR="002E0DE9" w:rsidRPr="00D45B43" w:rsidRDefault="002E0DE9" w:rsidP="7E07EAEE">
      <w:pPr>
        <w:widowControl w:val="0"/>
        <w:suppressAutoHyphens/>
        <w:autoSpaceDE w:val="0"/>
        <w:autoSpaceDN w:val="0"/>
        <w:spacing w:after="0" w:line="240" w:lineRule="auto"/>
        <w:textAlignment w:val="baseline"/>
        <w:rPr>
          <w:rFonts w:eastAsia="Times New Roman" w:cs="Arial"/>
          <w:i/>
          <w:iCs/>
          <w:color w:val="000000" w:themeColor="text1"/>
          <w:lang w:val="pt-PT"/>
        </w:rPr>
      </w:pPr>
    </w:p>
    <w:p w14:paraId="1554ADA7" w14:textId="77777777" w:rsidR="002E0DE9" w:rsidRPr="00D45B43" w:rsidRDefault="002E0DE9" w:rsidP="00EC4F04">
      <w:pPr>
        <w:widowControl w:val="0"/>
        <w:suppressAutoHyphens/>
        <w:autoSpaceDE w:val="0"/>
        <w:autoSpaceDN w:val="0"/>
        <w:spacing w:after="0" w:line="240" w:lineRule="auto"/>
        <w:textAlignment w:val="baseline"/>
        <w:rPr>
          <w:rFonts w:eastAsia="Times New Roman" w:cs="Arial"/>
          <w:color w:val="000000" w:themeColor="text1"/>
          <w:lang w:val="pt-PT"/>
        </w:rPr>
      </w:pPr>
    </w:p>
    <w:p w14:paraId="6C96AE1E" w14:textId="67203A88" w:rsidR="002E0DE9" w:rsidRPr="009F031A" w:rsidRDefault="002364D3" w:rsidP="751BB53A">
      <w:pPr>
        <w:widowControl w:val="0"/>
        <w:pBdr>
          <w:top w:val="single" w:sz="6" w:space="0" w:color="FFFFFF"/>
          <w:left w:val="single" w:sz="6" w:space="0" w:color="FFFFFF"/>
          <w:bottom w:val="single" w:sz="6" w:space="0" w:color="FFFFFF"/>
          <w:right w:val="single" w:sz="6" w:space="0" w:color="FFFFFF"/>
        </w:pBdr>
        <w:suppressAutoHyphens/>
        <w:autoSpaceDE w:val="0"/>
        <w:autoSpaceDN w:val="0"/>
        <w:spacing w:after="120" w:line="240" w:lineRule="auto"/>
        <w:ind w:left="-86" w:right="-360"/>
        <w:jc w:val="center"/>
        <w:textAlignment w:val="baseline"/>
        <w:outlineLvl w:val="1"/>
        <w:rPr>
          <w:rFonts w:eastAsia="Times New Roman" w:cs="Arial"/>
          <w:b/>
          <w:bCs/>
          <w:color w:val="000000" w:themeColor="text1"/>
          <w:lang w:val="en-US"/>
        </w:rPr>
      </w:pPr>
      <w:r>
        <w:rPr>
          <w:rFonts w:eastAsia="Times New Roman" w:cs="Arial"/>
          <w:b/>
          <w:bCs/>
          <w:color w:val="000000" w:themeColor="text1"/>
        </w:rPr>
        <w:t>STATE OF THE WORLD’S</w:t>
      </w:r>
      <w:r w:rsidR="00133E0D">
        <w:rPr>
          <w:rFonts w:eastAsia="Times New Roman" w:cs="Arial"/>
          <w:b/>
          <w:bCs/>
          <w:color w:val="000000" w:themeColor="text1"/>
        </w:rPr>
        <w:t xml:space="preserve"> MIGRATORY SPECIES: INTERIM REPORT (2026)</w:t>
      </w:r>
    </w:p>
    <w:p w14:paraId="3EE88C23" w14:textId="3F87DA95" w:rsidR="00661875" w:rsidRPr="009F031A" w:rsidRDefault="008B0AC3" w:rsidP="00C11964">
      <w:pPr>
        <w:widowControl w:val="0"/>
        <w:suppressAutoHyphens/>
        <w:autoSpaceDE w:val="0"/>
        <w:autoSpaceDN w:val="0"/>
        <w:spacing w:after="0" w:line="240" w:lineRule="auto"/>
        <w:jc w:val="center"/>
        <w:textAlignment w:val="baseline"/>
        <w:rPr>
          <w:rFonts w:cs="Arial"/>
          <w:i/>
          <w:color w:val="000000" w:themeColor="text1"/>
          <w:sz w:val="21"/>
          <w:szCs w:val="21"/>
        </w:rPr>
      </w:pPr>
      <w:r w:rsidRPr="009F031A">
        <w:rPr>
          <w:rFonts w:eastAsia="Times New Roman" w:cs="Arial"/>
          <w:i/>
          <w:color w:val="000000" w:themeColor="text1"/>
        </w:rPr>
        <w:t xml:space="preserve">(Prepared by </w:t>
      </w:r>
      <w:r w:rsidR="00C11964" w:rsidRPr="009F031A">
        <w:rPr>
          <w:rFonts w:eastAsia="Times New Roman" w:cs="Arial"/>
          <w:i/>
          <w:color w:val="000000" w:themeColor="text1"/>
        </w:rPr>
        <w:t>the Secretariat)</w:t>
      </w:r>
    </w:p>
    <w:p w14:paraId="27456450" w14:textId="77777777" w:rsidR="00C11964" w:rsidRPr="009F031A" w:rsidRDefault="00C11964" w:rsidP="00EC4F04">
      <w:pPr>
        <w:widowControl w:val="0"/>
        <w:suppressAutoHyphens/>
        <w:autoSpaceDE w:val="0"/>
        <w:autoSpaceDN w:val="0"/>
        <w:spacing w:after="0" w:line="240" w:lineRule="auto"/>
        <w:textAlignment w:val="baseline"/>
        <w:rPr>
          <w:rFonts w:cs="Arial"/>
          <w:i/>
          <w:color w:val="000000" w:themeColor="text1"/>
          <w:sz w:val="21"/>
          <w:szCs w:val="21"/>
        </w:rPr>
      </w:pPr>
    </w:p>
    <w:p w14:paraId="25A47AE0" w14:textId="2C4D29B2" w:rsidR="002E0DE9" w:rsidRPr="009F031A" w:rsidRDefault="00661875" w:rsidP="00EC4F04">
      <w:pPr>
        <w:widowControl w:val="0"/>
        <w:suppressAutoHyphens/>
        <w:autoSpaceDE w:val="0"/>
        <w:autoSpaceDN w:val="0"/>
        <w:spacing w:after="0" w:line="240" w:lineRule="auto"/>
        <w:textAlignment w:val="baseline"/>
        <w:rPr>
          <w:rFonts w:eastAsia="Calibri" w:cs="Arial"/>
          <w:color w:val="000000" w:themeColor="text1"/>
        </w:rPr>
      </w:pPr>
      <w:r w:rsidRPr="009F031A">
        <w:rPr>
          <w:rFonts w:eastAsia="Times New Roman" w:cs="Arial"/>
          <w:noProof/>
          <w:color w:val="000000" w:themeColor="text1"/>
          <w:sz w:val="21"/>
          <w:szCs w:val="21"/>
        </w:rPr>
        <mc:AlternateContent>
          <mc:Choice Requires="wps">
            <w:drawing>
              <wp:anchor distT="0" distB="0" distL="114300" distR="114300" simplePos="0" relativeHeight="251650560" behindDoc="0" locked="0" layoutInCell="1" allowOverlap="1" wp14:anchorId="13CF45B1" wp14:editId="02944B74">
                <wp:simplePos x="0" y="0"/>
                <wp:positionH relativeFrom="column">
                  <wp:posOffset>822960</wp:posOffset>
                </wp:positionH>
                <wp:positionV relativeFrom="paragraph">
                  <wp:posOffset>106045</wp:posOffset>
                </wp:positionV>
                <wp:extent cx="4629150" cy="1804946"/>
                <wp:effectExtent l="0" t="0" r="19050" b="24130"/>
                <wp:wrapNone/>
                <wp:docPr id="5" name="Text Box 5"/>
                <wp:cNvGraphicFramePr/>
                <a:graphic xmlns:a="http://schemas.openxmlformats.org/drawingml/2006/main">
                  <a:graphicData uri="http://schemas.microsoft.com/office/word/2010/wordprocessingShape">
                    <wps:wsp>
                      <wps:cNvSpPr txBox="1"/>
                      <wps:spPr>
                        <a:xfrm>
                          <a:off x="0" y="0"/>
                          <a:ext cx="4629150" cy="1804946"/>
                        </a:xfrm>
                        <a:prstGeom prst="rect">
                          <a:avLst/>
                        </a:prstGeom>
                        <a:solidFill>
                          <a:srgbClr val="FFFFFF"/>
                        </a:solidFill>
                        <a:ln w="3172">
                          <a:solidFill>
                            <a:srgbClr val="000000"/>
                          </a:solidFill>
                          <a:prstDash val="solid"/>
                        </a:ln>
                      </wps:spPr>
                      <wps:txbx>
                        <w:txbxContent>
                          <w:p w14:paraId="69DC25A9" w14:textId="77777777" w:rsidR="002E0DE9" w:rsidRDefault="002E0DE9" w:rsidP="002E0DE9">
                            <w:pPr>
                              <w:spacing w:after="0"/>
                              <w:rPr>
                                <w:rFonts w:cs="Arial"/>
                              </w:rPr>
                            </w:pPr>
                            <w:r>
                              <w:rPr>
                                <w:rFonts w:cs="Arial"/>
                              </w:rPr>
                              <w:t>Summary:</w:t>
                            </w:r>
                          </w:p>
                          <w:p w14:paraId="0BD54B77" w14:textId="77777777" w:rsidR="00661875" w:rsidRPr="00DC3D0F" w:rsidRDefault="00661875" w:rsidP="00661875">
                            <w:pPr>
                              <w:spacing w:after="0" w:line="240" w:lineRule="auto"/>
                              <w:jc w:val="both"/>
                              <w:rPr>
                                <w:rFonts w:cs="Arial"/>
                              </w:rPr>
                            </w:pPr>
                          </w:p>
                          <w:p w14:paraId="12FE2AAD" w14:textId="77777777" w:rsidR="001C6D1C" w:rsidRDefault="00661875" w:rsidP="00DC3D0F">
                            <w:pPr>
                              <w:spacing w:after="0" w:line="240" w:lineRule="auto"/>
                              <w:jc w:val="both"/>
                              <w:rPr>
                                <w:rFonts w:cs="Arial"/>
                              </w:rPr>
                            </w:pPr>
                            <w:r w:rsidRPr="00DC3D0F">
                              <w:rPr>
                                <w:rFonts w:cs="Arial"/>
                              </w:rPr>
                              <w:t>This document</w:t>
                            </w:r>
                            <w:r w:rsidR="00763D65">
                              <w:rPr>
                                <w:rFonts w:cs="Arial"/>
                              </w:rPr>
                              <w:t xml:space="preserve"> </w:t>
                            </w:r>
                            <w:r w:rsidR="005D50EE">
                              <w:rPr>
                                <w:rFonts w:cs="Arial"/>
                              </w:rPr>
                              <w:t xml:space="preserve">contains the </w:t>
                            </w:r>
                            <w:r w:rsidR="009B55A4" w:rsidRPr="009B55A4">
                              <w:rPr>
                                <w:rFonts w:cs="Arial"/>
                              </w:rPr>
                              <w:t xml:space="preserve">State </w:t>
                            </w:r>
                            <w:r w:rsidR="009B55A4">
                              <w:rPr>
                                <w:rFonts w:cs="Arial"/>
                              </w:rPr>
                              <w:t>o</w:t>
                            </w:r>
                            <w:r w:rsidR="009B55A4" w:rsidRPr="009B55A4">
                              <w:rPr>
                                <w:rFonts w:cs="Arial"/>
                              </w:rPr>
                              <w:t xml:space="preserve">f </w:t>
                            </w:r>
                            <w:r w:rsidR="009B55A4">
                              <w:rPr>
                                <w:rFonts w:cs="Arial"/>
                              </w:rPr>
                              <w:t>t</w:t>
                            </w:r>
                            <w:r w:rsidR="009B55A4" w:rsidRPr="009B55A4">
                              <w:rPr>
                                <w:rFonts w:cs="Arial"/>
                              </w:rPr>
                              <w:t>he World’s Migratory Species</w:t>
                            </w:r>
                            <w:r w:rsidR="001C6D1C">
                              <w:rPr>
                                <w:rFonts w:cs="Arial"/>
                              </w:rPr>
                              <w:t>:</w:t>
                            </w:r>
                            <w:r w:rsidR="009B55A4" w:rsidRPr="009B55A4">
                              <w:rPr>
                                <w:rFonts w:cs="Arial"/>
                              </w:rPr>
                              <w:t xml:space="preserve"> Interim Report (2026)</w:t>
                            </w:r>
                            <w:r w:rsidR="008D6D32">
                              <w:rPr>
                                <w:rFonts w:cs="Arial"/>
                              </w:rPr>
                              <w:t>,</w:t>
                            </w:r>
                            <w:r w:rsidR="00B66AED">
                              <w:rPr>
                                <w:rFonts w:cs="Arial"/>
                              </w:rPr>
                              <w:t xml:space="preserve"> developed in </w:t>
                            </w:r>
                            <w:r w:rsidR="00E7485B">
                              <w:rPr>
                                <w:rFonts w:cs="Arial"/>
                              </w:rPr>
                              <w:t>implementation of</w:t>
                            </w:r>
                            <w:r w:rsidR="00B66AED" w:rsidRPr="00B66AED">
                              <w:t xml:space="preserve"> </w:t>
                            </w:r>
                            <w:r w:rsidR="00B66AED" w:rsidRPr="00B66AED">
                              <w:rPr>
                                <w:rFonts w:cs="Arial"/>
                              </w:rPr>
                              <w:t xml:space="preserve">Decision </w:t>
                            </w:r>
                            <w:r w:rsidR="007A61DB">
                              <w:rPr>
                                <w:rFonts w:cs="Arial"/>
                              </w:rPr>
                              <w:t>14.24 d)</w:t>
                            </w:r>
                            <w:r w:rsidR="00B66AED" w:rsidRPr="00B66AED">
                              <w:rPr>
                                <w:rFonts w:cs="Arial"/>
                              </w:rPr>
                              <w:t>.</w:t>
                            </w:r>
                            <w:r w:rsidR="005D50EE">
                              <w:rPr>
                                <w:rFonts w:cs="Arial"/>
                              </w:rPr>
                              <w:t xml:space="preserve"> </w:t>
                            </w:r>
                          </w:p>
                          <w:p w14:paraId="19AE8D9A" w14:textId="77777777" w:rsidR="001C6D1C" w:rsidRDefault="001C6D1C" w:rsidP="00DC3D0F">
                            <w:pPr>
                              <w:spacing w:after="0" w:line="240" w:lineRule="auto"/>
                              <w:jc w:val="both"/>
                              <w:rPr>
                                <w:rFonts w:cs="Arial"/>
                              </w:rPr>
                            </w:pPr>
                          </w:p>
                          <w:p w14:paraId="6A822E9B" w14:textId="3370813E" w:rsidR="000E65DB" w:rsidRPr="00DC3D0F" w:rsidRDefault="005D50EE" w:rsidP="00DC3D0F">
                            <w:pPr>
                              <w:spacing w:after="0" w:line="240" w:lineRule="auto"/>
                              <w:jc w:val="both"/>
                              <w:rPr>
                                <w:rFonts w:cs="Arial"/>
                              </w:rPr>
                            </w:pPr>
                            <w:r>
                              <w:rPr>
                                <w:rFonts w:cs="Arial"/>
                              </w:rPr>
                              <w:t xml:space="preserve">It complements </w:t>
                            </w:r>
                            <w:r w:rsidR="00286CCD">
                              <w:rPr>
                                <w:rFonts w:cs="Arial"/>
                              </w:rPr>
                              <w:t>document UNEP/C</w:t>
                            </w:r>
                            <w:r w:rsidR="00836EE6">
                              <w:rPr>
                                <w:rFonts w:cs="Arial"/>
                              </w:rPr>
                              <w:t>M</w:t>
                            </w:r>
                            <w:r w:rsidR="00286CCD">
                              <w:rPr>
                                <w:rFonts w:cs="Arial"/>
                              </w:rPr>
                              <w:t>S/COP15/Doc.2</w:t>
                            </w:r>
                            <w:r w:rsidR="00C73185">
                              <w:rPr>
                                <w:rFonts w:cs="Arial"/>
                              </w:rPr>
                              <w:t>0</w:t>
                            </w:r>
                            <w:r w:rsidR="00286CCD">
                              <w:rPr>
                                <w:rFonts w:cs="Arial"/>
                              </w:rPr>
                              <w:t xml:space="preserve">.1 </w:t>
                            </w:r>
                            <w:r w:rsidR="00C73185" w:rsidRPr="00C73185">
                              <w:rPr>
                                <w:rFonts w:cs="Arial"/>
                                <w:i/>
                                <w:iCs/>
                              </w:rPr>
                              <w:t>Conservation Status of Migratory Species</w:t>
                            </w:r>
                            <w:r w:rsidR="00490495" w:rsidRPr="00490495">
                              <w:rPr>
                                <w:rFonts w:cs="Arial"/>
                              </w:rPr>
                              <w:t>.</w:t>
                            </w:r>
                          </w:p>
                        </w:txbxContent>
                      </wps:txbx>
                      <wps:bodyPr vert="horz" wrap="square" lIns="91440" tIns="45720" rIns="91440" bIns="45720" anchor="t" anchorCtr="0" compatLnSpc="0">
                        <a:noAutofit/>
                      </wps:bodyPr>
                    </wps:wsp>
                  </a:graphicData>
                </a:graphic>
                <wp14:sizeRelH relativeFrom="margin">
                  <wp14:pctWidth>0</wp14:pctWidth>
                </wp14:sizeRelH>
                <wp14:sizeRelV relativeFrom="margin">
                  <wp14:pctHeight>0</wp14:pctHeight>
                </wp14:sizeRelV>
              </wp:anchor>
            </w:drawing>
          </mc:Choice>
          <mc:Fallback>
            <w:pict>
              <v:shapetype w14:anchorId="13CF45B1" id="_x0000_t202" coordsize="21600,21600" o:spt="202" path="m,l,21600r21600,l21600,xe">
                <v:stroke joinstyle="miter"/>
                <v:path gradientshapeok="t" o:connecttype="rect"/>
              </v:shapetype>
              <v:shape id="Text Box 5" o:spid="_x0000_s1026" type="#_x0000_t202" style="position:absolute;margin-left:64.8pt;margin-top:8.35pt;width:364.5pt;height:142.1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" strokeweight=".08811mm">
                <v:textbox>
                  <w:txbxContent>
                    <w:p w14:paraId="69DC25A9" w14:textId="77777777" w:rsidR="002E0DE9" w:rsidRDefault="002E0DE9" w:rsidP="002E0DE9">
                      <w:pPr>
                        <w:spacing w:after="0"/>
                        <w:rPr>
                          <w:rFonts w:cs="Arial"/>
                        </w:rPr>
                      </w:pPr>
                      <w:r>
                        <w:rPr>
                          <w:rFonts w:cs="Arial"/>
                        </w:rPr>
                        <w:t>Summary:</w:t>
                      </w:r>
                    </w:p>
                    <w:p w14:paraId="0BD54B77" w14:textId="77777777" w:rsidR="00661875" w:rsidRPr="00DC3D0F" w:rsidRDefault="00661875" w:rsidP="00661875">
                      <w:pPr>
                        <w:spacing w:after="0" w:line="240" w:lineRule="auto"/>
                        <w:jc w:val="both"/>
                        <w:rPr>
                          <w:rFonts w:cs="Arial"/>
                        </w:rPr>
                      </w:pPr>
                    </w:p>
                    <w:p w14:paraId="12FE2AAD" w14:textId="77777777" w:rsidR="001C6D1C" w:rsidRDefault="00661875" w:rsidP="00DC3D0F">
                      <w:pPr>
                        <w:spacing w:after="0" w:line="240" w:lineRule="auto"/>
                        <w:jc w:val="both"/>
                        <w:rPr>
                          <w:rFonts w:cs="Arial"/>
                        </w:rPr>
                      </w:pPr>
                      <w:r w:rsidRPr="00DC3D0F">
                        <w:rPr>
                          <w:rFonts w:cs="Arial"/>
                        </w:rPr>
                        <w:t>This document</w:t>
                      </w:r>
                      <w:r w:rsidR="00763D65">
                        <w:rPr>
                          <w:rFonts w:cs="Arial"/>
                        </w:rPr>
                        <w:t xml:space="preserve"> </w:t>
                      </w:r>
                      <w:r w:rsidR="005D50EE">
                        <w:rPr>
                          <w:rFonts w:cs="Arial"/>
                        </w:rPr>
                        <w:t xml:space="preserve">contains the </w:t>
                      </w:r>
                      <w:r w:rsidR="009B55A4" w:rsidRPr="009B55A4">
                        <w:rPr>
                          <w:rFonts w:cs="Arial"/>
                        </w:rPr>
                        <w:t xml:space="preserve">State </w:t>
                      </w:r>
                      <w:r w:rsidR="009B55A4">
                        <w:rPr>
                          <w:rFonts w:cs="Arial"/>
                        </w:rPr>
                        <w:t>o</w:t>
                      </w:r>
                      <w:r w:rsidR="009B55A4" w:rsidRPr="009B55A4">
                        <w:rPr>
                          <w:rFonts w:cs="Arial"/>
                        </w:rPr>
                        <w:t xml:space="preserve">f </w:t>
                      </w:r>
                      <w:r w:rsidR="009B55A4">
                        <w:rPr>
                          <w:rFonts w:cs="Arial"/>
                        </w:rPr>
                        <w:t>t</w:t>
                      </w:r>
                      <w:r w:rsidR="009B55A4" w:rsidRPr="009B55A4">
                        <w:rPr>
                          <w:rFonts w:cs="Arial"/>
                        </w:rPr>
                        <w:t>he World’s Migratory Species</w:t>
                      </w:r>
                      <w:r w:rsidR="001C6D1C">
                        <w:rPr>
                          <w:rFonts w:cs="Arial"/>
                        </w:rPr>
                        <w:t>:</w:t>
                      </w:r>
                      <w:r w:rsidR="009B55A4" w:rsidRPr="009B55A4">
                        <w:rPr>
                          <w:rFonts w:cs="Arial"/>
                        </w:rPr>
                        <w:t xml:space="preserve"> Interim Report (2026)</w:t>
                      </w:r>
                      <w:r w:rsidR="008D6D32">
                        <w:rPr>
                          <w:rFonts w:cs="Arial"/>
                        </w:rPr>
                        <w:t>,</w:t>
                      </w:r>
                      <w:r w:rsidR="00B66AED">
                        <w:rPr>
                          <w:rFonts w:cs="Arial"/>
                        </w:rPr>
                        <w:t xml:space="preserve"> developed in </w:t>
                      </w:r>
                      <w:r w:rsidR="00E7485B">
                        <w:rPr>
                          <w:rFonts w:cs="Arial"/>
                        </w:rPr>
                        <w:t>implementation of</w:t>
                      </w:r>
                      <w:r w:rsidR="00B66AED" w:rsidRPr="00B66AED">
                        <w:t xml:space="preserve"> </w:t>
                      </w:r>
                      <w:r w:rsidR="00B66AED" w:rsidRPr="00B66AED">
                        <w:rPr>
                          <w:rFonts w:cs="Arial"/>
                        </w:rPr>
                        <w:t xml:space="preserve">Decision </w:t>
                      </w:r>
                      <w:r w:rsidR="007A61DB">
                        <w:rPr>
                          <w:rFonts w:cs="Arial"/>
                        </w:rPr>
                        <w:t>14.24 d)</w:t>
                      </w:r>
                      <w:r w:rsidR="00B66AED" w:rsidRPr="00B66AED">
                        <w:rPr>
                          <w:rFonts w:cs="Arial"/>
                        </w:rPr>
                        <w:t>.</w:t>
                      </w:r>
                      <w:r w:rsidR="005D50EE">
                        <w:rPr>
                          <w:rFonts w:cs="Arial"/>
                        </w:rPr>
                        <w:t xml:space="preserve"> </w:t>
                      </w:r>
                    </w:p>
                    <w:p w14:paraId="19AE8D9A" w14:textId="77777777" w:rsidR="001C6D1C" w:rsidRDefault="001C6D1C" w:rsidP="00DC3D0F">
                      <w:pPr>
                        <w:spacing w:after="0" w:line="240" w:lineRule="auto"/>
                        <w:jc w:val="both"/>
                        <w:rPr>
                          <w:rFonts w:cs="Arial"/>
                        </w:rPr>
                      </w:pPr>
                    </w:p>
                    <w:p w14:paraId="6A822E9B" w14:textId="3370813E" w:rsidR="000E65DB" w:rsidRPr="00DC3D0F" w:rsidRDefault="005D50EE" w:rsidP="00DC3D0F">
                      <w:pPr>
                        <w:spacing w:after="0" w:line="240" w:lineRule="auto"/>
                        <w:jc w:val="both"/>
                        <w:rPr>
                          <w:rFonts w:cs="Arial"/>
                        </w:rPr>
                      </w:pPr>
                      <w:r>
                        <w:rPr>
                          <w:rFonts w:cs="Arial"/>
                        </w:rPr>
                        <w:t xml:space="preserve">It complements </w:t>
                      </w:r>
                      <w:r w:rsidR="00286CCD">
                        <w:rPr>
                          <w:rFonts w:cs="Arial"/>
                        </w:rPr>
                        <w:t>document UNEP/C</w:t>
                      </w:r>
                      <w:r w:rsidR="00836EE6">
                        <w:rPr>
                          <w:rFonts w:cs="Arial"/>
                        </w:rPr>
                        <w:t>M</w:t>
                      </w:r>
                      <w:r w:rsidR="00286CCD">
                        <w:rPr>
                          <w:rFonts w:cs="Arial"/>
                        </w:rPr>
                        <w:t>S/COP15/Doc.2</w:t>
                      </w:r>
                      <w:r w:rsidR="00C73185">
                        <w:rPr>
                          <w:rFonts w:cs="Arial"/>
                        </w:rPr>
                        <w:t>0</w:t>
                      </w:r>
                      <w:r w:rsidR="00286CCD">
                        <w:rPr>
                          <w:rFonts w:cs="Arial"/>
                        </w:rPr>
                        <w:t xml:space="preserve">.1 </w:t>
                      </w:r>
                      <w:r w:rsidR="00C73185" w:rsidRPr="00C73185">
                        <w:rPr>
                          <w:rFonts w:cs="Arial"/>
                          <w:i/>
                          <w:iCs/>
                        </w:rPr>
                        <w:t>Conservation Status of Migratory Species</w:t>
                      </w:r>
                      <w:r w:rsidR="00490495" w:rsidRPr="00490495">
                        <w:rPr>
                          <w:rFonts w:cs="Arial"/>
                        </w:rPr>
                        <w:t>.</w:t>
                      </w:r>
                    </w:p>
                  </w:txbxContent>
                </v:textbox>
              </v:shape>
            </w:pict>
          </mc:Fallback>
        </mc:AlternateContent>
      </w:r>
    </w:p>
    <w:p w14:paraId="320AAD7B" w14:textId="77777777" w:rsidR="002E0DE9" w:rsidRPr="009F031A" w:rsidRDefault="002E0DE9" w:rsidP="00EC4F04">
      <w:pPr>
        <w:widowControl w:val="0"/>
        <w:suppressAutoHyphens/>
        <w:autoSpaceDE w:val="0"/>
        <w:autoSpaceDN w:val="0"/>
        <w:spacing w:after="0" w:line="240" w:lineRule="auto"/>
        <w:textAlignment w:val="baseline"/>
        <w:rPr>
          <w:rFonts w:eastAsia="Times New Roman" w:cs="Arial"/>
          <w:color w:val="000000" w:themeColor="text1"/>
          <w:sz w:val="21"/>
          <w:szCs w:val="21"/>
        </w:rPr>
      </w:pPr>
    </w:p>
    <w:p w14:paraId="5EAE13CF" w14:textId="77777777" w:rsidR="002E0DE9" w:rsidRPr="009F031A" w:rsidRDefault="002E0DE9" w:rsidP="00EC4F04">
      <w:pPr>
        <w:widowControl w:val="0"/>
        <w:suppressAutoHyphens/>
        <w:autoSpaceDE w:val="0"/>
        <w:autoSpaceDN w:val="0"/>
        <w:spacing w:after="0" w:line="240" w:lineRule="auto"/>
        <w:textAlignment w:val="baseline"/>
        <w:rPr>
          <w:rFonts w:eastAsia="Times New Roman" w:cs="Arial"/>
          <w:color w:val="000000" w:themeColor="text1"/>
          <w:sz w:val="21"/>
          <w:szCs w:val="21"/>
        </w:rPr>
      </w:pPr>
    </w:p>
    <w:p w14:paraId="573ADB04" w14:textId="77777777" w:rsidR="002E0DE9" w:rsidRPr="009F031A" w:rsidRDefault="002E0DE9" w:rsidP="00EC4F04">
      <w:pPr>
        <w:widowControl w:val="0"/>
        <w:suppressAutoHyphens/>
        <w:autoSpaceDE w:val="0"/>
        <w:autoSpaceDN w:val="0"/>
        <w:spacing w:after="0" w:line="240" w:lineRule="auto"/>
        <w:textAlignment w:val="baseline"/>
        <w:rPr>
          <w:rFonts w:eastAsia="Times New Roman" w:cs="Arial"/>
          <w:color w:val="000000" w:themeColor="text1"/>
          <w:sz w:val="21"/>
          <w:szCs w:val="21"/>
        </w:rPr>
      </w:pPr>
    </w:p>
    <w:p w14:paraId="07F11B19" w14:textId="77777777" w:rsidR="002E0DE9" w:rsidRPr="009F031A" w:rsidRDefault="002E0DE9" w:rsidP="00EC4F04">
      <w:pPr>
        <w:widowControl w:val="0"/>
        <w:suppressAutoHyphens/>
        <w:autoSpaceDE w:val="0"/>
        <w:autoSpaceDN w:val="0"/>
        <w:spacing w:after="0" w:line="240" w:lineRule="auto"/>
        <w:textAlignment w:val="baseline"/>
        <w:rPr>
          <w:rFonts w:eastAsia="Times New Roman" w:cs="Arial"/>
          <w:color w:val="000000" w:themeColor="text1"/>
          <w:sz w:val="21"/>
          <w:szCs w:val="21"/>
        </w:rPr>
      </w:pPr>
    </w:p>
    <w:p w14:paraId="47A93E1C" w14:textId="77777777" w:rsidR="002E0DE9" w:rsidRPr="009F031A" w:rsidRDefault="002E0DE9" w:rsidP="00EC4F04">
      <w:pPr>
        <w:widowControl w:val="0"/>
        <w:suppressAutoHyphens/>
        <w:autoSpaceDE w:val="0"/>
        <w:autoSpaceDN w:val="0"/>
        <w:spacing w:after="0" w:line="240" w:lineRule="auto"/>
        <w:textAlignment w:val="baseline"/>
        <w:rPr>
          <w:rFonts w:eastAsia="Times New Roman" w:cs="Arial"/>
          <w:color w:val="000000" w:themeColor="text1"/>
          <w:sz w:val="21"/>
          <w:szCs w:val="21"/>
        </w:rPr>
      </w:pPr>
    </w:p>
    <w:p w14:paraId="42C0A292" w14:textId="77777777" w:rsidR="002E0DE9" w:rsidRPr="009F031A" w:rsidRDefault="002E0DE9" w:rsidP="00EC4F04">
      <w:pPr>
        <w:widowControl w:val="0"/>
        <w:suppressAutoHyphens/>
        <w:autoSpaceDE w:val="0"/>
        <w:autoSpaceDN w:val="0"/>
        <w:spacing w:after="0" w:line="240" w:lineRule="auto"/>
        <w:textAlignment w:val="baseline"/>
        <w:rPr>
          <w:rFonts w:eastAsia="Times New Roman" w:cs="Arial"/>
          <w:color w:val="000000" w:themeColor="text1"/>
          <w:sz w:val="21"/>
          <w:szCs w:val="21"/>
        </w:rPr>
      </w:pPr>
    </w:p>
    <w:p w14:paraId="7329922E" w14:textId="77777777" w:rsidR="002E0DE9" w:rsidRPr="009F031A" w:rsidRDefault="002E0DE9" w:rsidP="00EC4F04">
      <w:pPr>
        <w:widowControl w:val="0"/>
        <w:suppressAutoHyphens/>
        <w:autoSpaceDE w:val="0"/>
        <w:autoSpaceDN w:val="0"/>
        <w:spacing w:after="0" w:line="240" w:lineRule="auto"/>
        <w:textAlignment w:val="baseline"/>
        <w:rPr>
          <w:rFonts w:eastAsia="Times New Roman" w:cs="Arial"/>
          <w:color w:val="000000" w:themeColor="text1"/>
          <w:sz w:val="21"/>
          <w:szCs w:val="21"/>
        </w:rPr>
      </w:pPr>
    </w:p>
    <w:p w14:paraId="1CD9D211" w14:textId="77777777" w:rsidR="002E0DE9" w:rsidRPr="009F031A" w:rsidRDefault="002E0DE9" w:rsidP="00EC4F04">
      <w:pPr>
        <w:widowControl w:val="0"/>
        <w:suppressAutoHyphens/>
        <w:autoSpaceDE w:val="0"/>
        <w:autoSpaceDN w:val="0"/>
        <w:spacing w:after="0" w:line="240" w:lineRule="auto"/>
        <w:textAlignment w:val="baseline"/>
        <w:rPr>
          <w:rFonts w:eastAsia="Times New Roman" w:cs="Arial"/>
          <w:color w:val="000000" w:themeColor="text1"/>
          <w:sz w:val="21"/>
          <w:szCs w:val="21"/>
        </w:rPr>
      </w:pPr>
    </w:p>
    <w:p w14:paraId="6B5CAA9E" w14:textId="77777777" w:rsidR="002E0DE9" w:rsidRPr="009F031A" w:rsidRDefault="002E0DE9" w:rsidP="00EC4F04">
      <w:pPr>
        <w:widowControl w:val="0"/>
        <w:suppressAutoHyphens/>
        <w:autoSpaceDE w:val="0"/>
        <w:autoSpaceDN w:val="0"/>
        <w:spacing w:after="0" w:line="240" w:lineRule="auto"/>
        <w:textAlignment w:val="baseline"/>
        <w:rPr>
          <w:rFonts w:eastAsia="Times New Roman" w:cs="Arial"/>
          <w:color w:val="000000" w:themeColor="text1"/>
          <w:sz w:val="21"/>
          <w:szCs w:val="21"/>
        </w:rPr>
      </w:pPr>
    </w:p>
    <w:p w14:paraId="5D0A646F" w14:textId="77777777" w:rsidR="002E0DE9" w:rsidRPr="009F031A" w:rsidRDefault="002E0DE9" w:rsidP="00EC4F04">
      <w:pPr>
        <w:widowControl w:val="0"/>
        <w:suppressAutoHyphens/>
        <w:autoSpaceDE w:val="0"/>
        <w:autoSpaceDN w:val="0"/>
        <w:spacing w:after="0" w:line="240" w:lineRule="auto"/>
        <w:textAlignment w:val="baseline"/>
        <w:rPr>
          <w:rFonts w:eastAsia="Times New Roman" w:cs="Arial"/>
          <w:color w:val="000000" w:themeColor="text1"/>
          <w:sz w:val="21"/>
          <w:szCs w:val="21"/>
        </w:rPr>
      </w:pPr>
    </w:p>
    <w:p w14:paraId="72BBEC09" w14:textId="77777777" w:rsidR="002E0DE9" w:rsidRPr="009F031A" w:rsidRDefault="002E0DE9" w:rsidP="00EC4F04">
      <w:pPr>
        <w:widowControl w:val="0"/>
        <w:suppressAutoHyphens/>
        <w:autoSpaceDE w:val="0"/>
        <w:autoSpaceDN w:val="0"/>
        <w:spacing w:after="0" w:line="240" w:lineRule="auto"/>
        <w:textAlignment w:val="baseline"/>
        <w:rPr>
          <w:rFonts w:eastAsia="Times New Roman" w:cs="Arial"/>
          <w:sz w:val="21"/>
          <w:szCs w:val="21"/>
        </w:rPr>
      </w:pPr>
    </w:p>
    <w:p w14:paraId="2E5AFCD2" w14:textId="77777777" w:rsidR="002E0DE9" w:rsidRPr="009F031A" w:rsidRDefault="002E0DE9" w:rsidP="00EC4F04">
      <w:pPr>
        <w:widowControl w:val="0"/>
        <w:suppressAutoHyphens/>
        <w:autoSpaceDE w:val="0"/>
        <w:autoSpaceDN w:val="0"/>
        <w:spacing w:after="0" w:line="240" w:lineRule="auto"/>
        <w:textAlignment w:val="baseline"/>
        <w:rPr>
          <w:rFonts w:eastAsia="Times New Roman" w:cs="Arial"/>
          <w:sz w:val="21"/>
          <w:szCs w:val="21"/>
        </w:rPr>
      </w:pPr>
    </w:p>
    <w:p w14:paraId="73A1DF53" w14:textId="77777777" w:rsidR="002E0DE9" w:rsidRPr="009F031A" w:rsidRDefault="002E0DE9" w:rsidP="00EC4F04">
      <w:pPr>
        <w:widowControl w:val="0"/>
        <w:suppressAutoHyphens/>
        <w:autoSpaceDE w:val="0"/>
        <w:autoSpaceDN w:val="0"/>
        <w:spacing w:after="0" w:line="240" w:lineRule="auto"/>
        <w:textAlignment w:val="baseline"/>
        <w:rPr>
          <w:rFonts w:eastAsia="Times New Roman" w:cs="Arial"/>
          <w:sz w:val="21"/>
          <w:szCs w:val="21"/>
        </w:rPr>
      </w:pPr>
    </w:p>
    <w:p w14:paraId="24016798" w14:textId="77777777" w:rsidR="002E0DE9" w:rsidRPr="009F031A" w:rsidRDefault="002E0DE9" w:rsidP="00EC4F04">
      <w:pPr>
        <w:widowControl w:val="0"/>
        <w:suppressAutoHyphens/>
        <w:autoSpaceDE w:val="0"/>
        <w:autoSpaceDN w:val="0"/>
        <w:spacing w:after="0" w:line="240" w:lineRule="auto"/>
        <w:textAlignment w:val="baseline"/>
        <w:rPr>
          <w:rFonts w:eastAsia="Times New Roman" w:cs="Arial"/>
          <w:sz w:val="21"/>
          <w:szCs w:val="21"/>
        </w:rPr>
      </w:pPr>
    </w:p>
    <w:p w14:paraId="64EFF02F" w14:textId="77777777" w:rsidR="002E0DE9" w:rsidRPr="009F031A" w:rsidRDefault="002E0DE9" w:rsidP="00EC4F04">
      <w:pPr>
        <w:widowControl w:val="0"/>
        <w:suppressAutoHyphens/>
        <w:autoSpaceDE w:val="0"/>
        <w:autoSpaceDN w:val="0"/>
        <w:spacing w:after="0" w:line="240" w:lineRule="auto"/>
        <w:textAlignment w:val="baseline"/>
        <w:rPr>
          <w:rFonts w:eastAsia="Times New Roman" w:cs="Arial"/>
          <w:sz w:val="21"/>
          <w:szCs w:val="21"/>
        </w:rPr>
      </w:pPr>
    </w:p>
    <w:p w14:paraId="63DE1D3A" w14:textId="77777777" w:rsidR="002E0DE9" w:rsidRPr="009F031A" w:rsidRDefault="002E0DE9" w:rsidP="00EC4F04">
      <w:pPr>
        <w:widowControl w:val="0"/>
        <w:suppressAutoHyphens/>
        <w:autoSpaceDE w:val="0"/>
        <w:autoSpaceDN w:val="0"/>
        <w:spacing w:after="0" w:line="240" w:lineRule="auto"/>
        <w:textAlignment w:val="baseline"/>
        <w:rPr>
          <w:rFonts w:eastAsia="Times New Roman" w:cs="Arial"/>
          <w:sz w:val="21"/>
          <w:szCs w:val="21"/>
        </w:rPr>
      </w:pPr>
    </w:p>
    <w:p w14:paraId="5B143853" w14:textId="77777777" w:rsidR="002E0DE9" w:rsidRPr="009F031A" w:rsidRDefault="002E0DE9" w:rsidP="00EC4F04">
      <w:pPr>
        <w:widowControl w:val="0"/>
        <w:suppressAutoHyphens/>
        <w:autoSpaceDE w:val="0"/>
        <w:autoSpaceDN w:val="0"/>
        <w:spacing w:after="0" w:line="240" w:lineRule="auto"/>
        <w:textAlignment w:val="baseline"/>
        <w:rPr>
          <w:rFonts w:eastAsia="Times New Roman" w:cs="Arial"/>
          <w:sz w:val="21"/>
          <w:szCs w:val="21"/>
        </w:rPr>
      </w:pPr>
    </w:p>
    <w:p w14:paraId="31C1A477" w14:textId="77777777" w:rsidR="002E0DE9" w:rsidRPr="009F031A" w:rsidRDefault="002E0DE9" w:rsidP="00EC4F04">
      <w:pPr>
        <w:widowControl w:val="0"/>
        <w:tabs>
          <w:tab w:val="left" w:pos="7245"/>
        </w:tabs>
        <w:suppressAutoHyphens/>
        <w:autoSpaceDE w:val="0"/>
        <w:autoSpaceDN w:val="0"/>
        <w:spacing w:after="0" w:line="240" w:lineRule="auto"/>
        <w:textAlignment w:val="baseline"/>
        <w:rPr>
          <w:rFonts w:eastAsia="Times New Roman" w:cs="Arial"/>
          <w:sz w:val="21"/>
          <w:szCs w:val="21"/>
        </w:rPr>
      </w:pPr>
    </w:p>
    <w:p w14:paraId="6CCF3AAD" w14:textId="77777777" w:rsidR="002E0DE9" w:rsidRPr="009F031A" w:rsidRDefault="002E0DE9" w:rsidP="00EC4F04">
      <w:pPr>
        <w:widowControl w:val="0"/>
        <w:suppressAutoHyphens/>
        <w:autoSpaceDE w:val="0"/>
        <w:autoSpaceDN w:val="0"/>
        <w:spacing w:after="0" w:line="240" w:lineRule="auto"/>
        <w:textAlignment w:val="baseline"/>
        <w:rPr>
          <w:rFonts w:eastAsia="Times New Roman" w:cs="Arial"/>
        </w:rPr>
      </w:pPr>
    </w:p>
    <w:p w14:paraId="650AE9B2" w14:textId="77777777" w:rsidR="002E0DE9" w:rsidRPr="009F031A" w:rsidRDefault="002E0DE9" w:rsidP="00EC4F04">
      <w:pPr>
        <w:widowControl w:val="0"/>
        <w:suppressAutoHyphens/>
        <w:autoSpaceDE w:val="0"/>
        <w:autoSpaceDN w:val="0"/>
        <w:spacing w:after="0" w:line="240" w:lineRule="auto"/>
        <w:textAlignment w:val="baseline"/>
        <w:rPr>
          <w:rFonts w:eastAsia="Times New Roman" w:cs="Arial"/>
        </w:rPr>
      </w:pPr>
    </w:p>
    <w:p w14:paraId="6EB42C66" w14:textId="77777777" w:rsidR="005330F7" w:rsidRPr="009F031A" w:rsidRDefault="005330F7" w:rsidP="00EC4F04">
      <w:pPr>
        <w:spacing w:after="0" w:line="240" w:lineRule="auto"/>
        <w:rPr>
          <w:rFonts w:cs="Arial"/>
        </w:rPr>
      </w:pPr>
    </w:p>
    <w:p w14:paraId="111843FD" w14:textId="3BB741DE" w:rsidR="002E0DE9" w:rsidRPr="009F031A" w:rsidRDefault="002E0DE9" w:rsidP="00EC4F04">
      <w:pPr>
        <w:spacing w:after="0" w:line="240" w:lineRule="auto"/>
        <w:rPr>
          <w:rFonts w:cs="Arial"/>
        </w:rPr>
      </w:pPr>
    </w:p>
    <w:p w14:paraId="6AF4E8FF" w14:textId="77777777" w:rsidR="002E0DE9" w:rsidRPr="009F031A" w:rsidRDefault="002E0DE9" w:rsidP="00EC4F04">
      <w:pPr>
        <w:spacing w:after="0" w:line="240" w:lineRule="auto"/>
        <w:rPr>
          <w:rFonts w:cs="Arial"/>
        </w:rPr>
      </w:pPr>
    </w:p>
    <w:p w14:paraId="509B5F4B" w14:textId="77777777" w:rsidR="002E0DE9" w:rsidRPr="009F031A" w:rsidRDefault="002E0DE9" w:rsidP="00EC4F04">
      <w:pPr>
        <w:spacing w:after="0" w:line="240" w:lineRule="auto"/>
        <w:rPr>
          <w:rFonts w:cs="Arial"/>
        </w:rPr>
      </w:pPr>
    </w:p>
    <w:p w14:paraId="73A3A65F" w14:textId="77777777" w:rsidR="00661875" w:rsidRPr="009F031A" w:rsidRDefault="00661875" w:rsidP="00EC4F04">
      <w:pPr>
        <w:spacing w:after="0" w:line="240" w:lineRule="auto"/>
        <w:rPr>
          <w:rFonts w:cs="Arial"/>
        </w:rPr>
        <w:sectPr w:rsidR="00661875" w:rsidRPr="009F031A" w:rsidSect="006532D5">
          <w:headerReference w:type="even" r:id="rId12"/>
          <w:headerReference w:type="default" r:id="rId13"/>
          <w:footerReference w:type="even" r:id="rId14"/>
          <w:footerReference w:type="default" r:id="rId15"/>
          <w:headerReference w:type="first" r:id="rId16"/>
          <w:footerReference w:type="first" r:id="rId17"/>
          <w:pgSz w:w="11906" w:h="16838" w:code="9"/>
          <w:pgMar w:top="1440" w:right="1440" w:bottom="1440" w:left="1440" w:header="720" w:footer="720" w:gutter="0"/>
          <w:pgNumType w:start="2"/>
          <w:cols w:space="720"/>
          <w:titlePg/>
          <w:docGrid w:linePitch="360"/>
        </w:sectPr>
      </w:pPr>
    </w:p>
    <w:p w14:paraId="58E53708" w14:textId="5EF74437" w:rsidR="002D72AD" w:rsidRPr="002D72AD" w:rsidRDefault="002D72AD" w:rsidP="002D72AD">
      <w:pPr>
        <w:spacing w:line="256" w:lineRule="auto"/>
        <w:rPr>
          <w:rFonts w:ascii="Roboto" w:eastAsia="Calibri" w:hAnsi="Roboto" w:cs="Arial"/>
          <w:b/>
          <w:bCs/>
          <w:kern w:val="2"/>
          <w:sz w:val="24"/>
          <w:szCs w:val="24"/>
          <w14:ligatures w14:val="standardContextual"/>
        </w:rPr>
      </w:pPr>
      <w:r w:rsidRPr="002D72AD">
        <w:rPr>
          <w:rFonts w:ascii="Calibri" w:eastAsia="Calibri" w:hAnsi="Calibri" w:cs="Arial"/>
          <w:noProof/>
          <w:kern w:val="2"/>
          <w14:ligatures w14:val="standardContextual"/>
        </w:rPr>
        <w:lastRenderedPageBreak/>
        <w:drawing>
          <wp:anchor distT="0" distB="0" distL="114300" distR="114300" simplePos="0" relativeHeight="251651584" behindDoc="1" locked="0" layoutInCell="1" allowOverlap="1" wp14:anchorId="5A6A203F" wp14:editId="0E1F452F">
            <wp:simplePos x="0" y="0"/>
            <wp:positionH relativeFrom="page">
              <wp:posOffset>-240973</wp:posOffset>
            </wp:positionH>
            <wp:positionV relativeFrom="paragraph">
              <wp:posOffset>-785062</wp:posOffset>
            </wp:positionV>
            <wp:extent cx="7680960" cy="11522710"/>
            <wp:effectExtent l="0" t="0" r="0" b="2540"/>
            <wp:wrapNone/>
            <wp:docPr id="48" name="Picture 14" descr="A leopard sitting in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 leopard sitting in grass&#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680960" cy="11522710"/>
                    </a:xfrm>
                    <a:prstGeom prst="rect">
                      <a:avLst/>
                    </a:prstGeom>
                    <a:noFill/>
                  </pic:spPr>
                </pic:pic>
              </a:graphicData>
            </a:graphic>
            <wp14:sizeRelH relativeFrom="page">
              <wp14:pctWidth>0</wp14:pctWidth>
            </wp14:sizeRelH>
            <wp14:sizeRelV relativeFrom="page">
              <wp14:pctHeight>0</wp14:pctHeight>
            </wp14:sizeRelV>
          </wp:anchor>
        </w:drawing>
      </w:r>
      <w:r w:rsidRPr="002D72AD">
        <w:rPr>
          <w:rFonts w:ascii="Calibri" w:eastAsia="Calibri" w:hAnsi="Calibri" w:cs="Arial"/>
          <w:noProof/>
          <w:kern w:val="2"/>
          <w14:ligatures w14:val="standardContextual"/>
        </w:rPr>
        <mc:AlternateContent>
          <mc:Choice Requires="wps">
            <w:drawing>
              <wp:anchor distT="45720" distB="45720" distL="114300" distR="114300" simplePos="0" relativeHeight="251653632" behindDoc="0" locked="0" layoutInCell="1" allowOverlap="1" wp14:anchorId="79D4605B" wp14:editId="60ADDDB6">
                <wp:simplePos x="0" y="0"/>
                <wp:positionH relativeFrom="margin">
                  <wp:align>center</wp:align>
                </wp:positionH>
                <wp:positionV relativeFrom="paragraph">
                  <wp:posOffset>159385</wp:posOffset>
                </wp:positionV>
                <wp:extent cx="6438900" cy="902970"/>
                <wp:effectExtent l="0" t="0" r="0" b="0"/>
                <wp:wrapSquare wrapText="bothSides"/>
                <wp:docPr id="4591346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8900" cy="889635"/>
                        </a:xfrm>
                        <a:prstGeom prst="rect">
                          <a:avLst/>
                        </a:prstGeom>
                        <a:noFill/>
                        <a:ln w="9525">
                          <a:noFill/>
                          <a:miter lim="800000"/>
                          <a:headEnd/>
                          <a:tailEnd/>
                        </a:ln>
                      </wps:spPr>
                      <wps:txbx>
                        <w:txbxContent>
                          <w:p w14:paraId="7EA4B1F4" w14:textId="77777777" w:rsidR="002D72AD" w:rsidRPr="002D72AD" w:rsidRDefault="002D72AD" w:rsidP="002D72AD">
                            <w:pPr>
                              <w:spacing w:after="0"/>
                              <w:rPr>
                                <w:rFonts w:ascii="Lato" w:hAnsi="Lato"/>
                                <w:b/>
                                <w:bCs/>
                                <w:color w:val="FFFFFF"/>
                                <w:sz w:val="48"/>
                                <w:szCs w:val="48"/>
                              </w:rPr>
                            </w:pPr>
                            <w:r w:rsidRPr="002D72AD">
                              <w:rPr>
                                <w:rFonts w:ascii="Lato" w:hAnsi="Lato"/>
                                <w:b/>
                                <w:bCs/>
                                <w:color w:val="FFFFFF"/>
                                <w:sz w:val="48"/>
                                <w:szCs w:val="48"/>
                              </w:rPr>
                              <w:t>State of the World’s Migratory Species:</w:t>
                            </w:r>
                          </w:p>
                          <w:p w14:paraId="0F4BC6D8" w14:textId="77777777" w:rsidR="002D72AD" w:rsidRPr="002D72AD" w:rsidRDefault="002D72AD" w:rsidP="002D72AD">
                            <w:pPr>
                              <w:spacing w:after="0"/>
                              <w:rPr>
                                <w:rFonts w:ascii="Lato" w:hAnsi="Lato"/>
                                <w:b/>
                                <w:color w:val="FFFFFF"/>
                                <w:sz w:val="48"/>
                                <w:szCs w:val="48"/>
                              </w:rPr>
                            </w:pPr>
                            <w:r w:rsidRPr="002D72AD">
                              <w:rPr>
                                <w:rFonts w:ascii="Lato" w:hAnsi="Lato"/>
                                <w:b/>
                                <w:bCs/>
                                <w:color w:val="FFFFFF"/>
                                <w:sz w:val="48"/>
                                <w:szCs w:val="48"/>
                              </w:rPr>
                              <w:t xml:space="preserve">Interim Report (2026) </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9D4605B" id="Text Box 2" o:spid="_x0000_s1027" type="#_x0000_t202" style="position:absolute;margin-left:0;margin-top:12.55pt;width:507pt;height:71.1pt;z-index:251653632;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" filled="f" stroked="f">
                <v:textbox style="mso-fit-shape-to-text:t">
                  <w:txbxContent>
                    <w:p w14:paraId="7EA4B1F4" w14:textId="77777777" w:rsidR="002D72AD" w:rsidRPr="002D72AD" w:rsidRDefault="002D72AD" w:rsidP="002D72AD">
                      <w:pPr>
                        <w:spacing w:after="0"/>
                        <w:rPr>
                          <w:rFonts w:ascii="Lato" w:hAnsi="Lato"/>
                          <w:b/>
                          <w:bCs/>
                          <w:color w:val="FFFFFF"/>
                          <w:sz w:val="48"/>
                          <w:szCs w:val="48"/>
                        </w:rPr>
                      </w:pPr>
                      <w:r w:rsidRPr="002D72AD">
                        <w:rPr>
                          <w:rFonts w:ascii="Lato" w:hAnsi="Lato"/>
                          <w:b/>
                          <w:bCs/>
                          <w:color w:val="FFFFFF"/>
                          <w:sz w:val="48"/>
                          <w:szCs w:val="48"/>
                        </w:rPr>
                        <w:t>State of the World’s Migratory Species:</w:t>
                      </w:r>
                    </w:p>
                    <w:p w14:paraId="0F4BC6D8" w14:textId="77777777" w:rsidR="002D72AD" w:rsidRPr="002D72AD" w:rsidRDefault="002D72AD" w:rsidP="002D72AD">
                      <w:pPr>
                        <w:spacing w:after="0"/>
                        <w:rPr>
                          <w:rFonts w:ascii="Lato" w:hAnsi="Lato"/>
                          <w:b/>
                          <w:color w:val="FFFFFF"/>
                          <w:sz w:val="48"/>
                          <w:szCs w:val="48"/>
                        </w:rPr>
                      </w:pPr>
                      <w:r w:rsidRPr="002D72AD">
                        <w:rPr>
                          <w:rFonts w:ascii="Lato" w:hAnsi="Lato"/>
                          <w:b/>
                          <w:bCs/>
                          <w:color w:val="FFFFFF"/>
                          <w:sz w:val="48"/>
                          <w:szCs w:val="48"/>
                        </w:rPr>
                        <w:t xml:space="preserve">Interim Report (2026) </w:t>
                      </w:r>
                    </w:p>
                  </w:txbxContent>
                </v:textbox>
                <w10:wrap type="square" anchorx="margin"/>
              </v:shape>
            </w:pict>
          </mc:Fallback>
        </mc:AlternateContent>
      </w:r>
    </w:p>
    <w:p w14:paraId="6C7D2291" w14:textId="77777777" w:rsidR="002D72AD" w:rsidRPr="002D72AD" w:rsidRDefault="002D72AD" w:rsidP="002D72AD">
      <w:pPr>
        <w:spacing w:line="256" w:lineRule="auto"/>
        <w:rPr>
          <w:rFonts w:ascii="Roboto" w:eastAsia="Calibri" w:hAnsi="Roboto" w:cs="Arial"/>
          <w:b/>
          <w:bCs/>
          <w:kern w:val="2"/>
          <w:sz w:val="24"/>
          <w:szCs w:val="24"/>
          <w14:ligatures w14:val="standardContextual"/>
        </w:rPr>
      </w:pPr>
      <w:r w:rsidRPr="002D72AD">
        <w:rPr>
          <w:rFonts w:ascii="Calibri" w:eastAsia="Calibri" w:hAnsi="Calibri" w:cs="Arial"/>
          <w:noProof/>
          <w:kern w:val="2"/>
          <w14:ligatures w14:val="standardContextual"/>
        </w:rPr>
        <mc:AlternateContent>
          <mc:Choice Requires="wps">
            <w:drawing>
              <wp:anchor distT="0" distB="0" distL="114300" distR="114300" simplePos="0" relativeHeight="251657728" behindDoc="0" locked="0" layoutInCell="1" allowOverlap="1" wp14:anchorId="3B416D95" wp14:editId="5EB7A41C">
                <wp:simplePos x="0" y="0"/>
                <wp:positionH relativeFrom="page">
                  <wp:posOffset>0</wp:posOffset>
                </wp:positionH>
                <wp:positionV relativeFrom="paragraph">
                  <wp:posOffset>6032500</wp:posOffset>
                </wp:positionV>
                <wp:extent cx="7543800" cy="1190625"/>
                <wp:effectExtent l="0" t="0" r="0" b="9525"/>
                <wp:wrapThrough wrapText="bothSides">
                  <wp:wrapPolygon edited="0">
                    <wp:start x="0" y="0"/>
                    <wp:lineTo x="0" y="21427"/>
                    <wp:lineTo x="21545" y="21427"/>
                    <wp:lineTo x="21545" y="0"/>
                    <wp:lineTo x="0" y="0"/>
                  </wp:wrapPolygon>
                </wp:wrapThrough>
                <wp:docPr id="669840799" name="Rectangle 6"/>
                <wp:cNvGraphicFramePr/>
                <a:graphic xmlns:a="http://schemas.openxmlformats.org/drawingml/2006/main">
                  <a:graphicData uri="http://schemas.microsoft.com/office/word/2010/wordprocessingShape">
                    <wps:wsp>
                      <wps:cNvSpPr/>
                      <wps:spPr>
                        <a:xfrm>
                          <a:off x="0" y="0"/>
                          <a:ext cx="7543800" cy="1190625"/>
                        </a:xfrm>
                        <a:prstGeom prst="rect">
                          <a:avLst/>
                        </a:prstGeom>
                        <a:solidFill>
                          <a:sysClr val="windowText" lastClr="000000">
                            <a:alpha val="80000"/>
                          </a:sys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0C244A63" id="Rectangle 6" o:spid="_x0000_s1026" style="position:absolute;margin-left:0;margin-top:475pt;width:594pt;height:93.7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" fillcolor="windowText" stroked="f" strokeweight="1pt">
                <v:fill opacity="52428f"/>
                <w10:wrap type="through" anchorx="page"/>
              </v:rect>
            </w:pict>
          </mc:Fallback>
        </mc:AlternateContent>
      </w:r>
      <w:r w:rsidRPr="002D72AD">
        <w:rPr>
          <w:rFonts w:ascii="Calibri" w:eastAsia="Calibri" w:hAnsi="Calibri" w:cs="Arial"/>
          <w:noProof/>
          <w:kern w:val="2"/>
          <w14:ligatures w14:val="standardContextual"/>
        </w:rPr>
        <w:drawing>
          <wp:anchor distT="0" distB="0" distL="114300" distR="114300" simplePos="0" relativeHeight="251659776" behindDoc="0" locked="1" layoutInCell="1" allowOverlap="1" wp14:anchorId="54B01E96" wp14:editId="3C0CADB0">
            <wp:simplePos x="0" y="0"/>
            <wp:positionH relativeFrom="margin">
              <wp:posOffset>662940</wp:posOffset>
            </wp:positionH>
            <wp:positionV relativeFrom="paragraph">
              <wp:posOffset>6227445</wp:posOffset>
            </wp:positionV>
            <wp:extent cx="2545080" cy="744220"/>
            <wp:effectExtent l="0" t="0" r="7620" b="0"/>
            <wp:wrapSquare wrapText="bothSides"/>
            <wp:docPr id="50" name="Picture 1328549162"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1328549162" descr="A black and white logo&#10;&#10;AI-generated content may be incorrec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45080" cy="744220"/>
                    </a:xfrm>
                    <a:prstGeom prst="rect">
                      <a:avLst/>
                    </a:prstGeom>
                    <a:noFill/>
                  </pic:spPr>
                </pic:pic>
              </a:graphicData>
            </a:graphic>
            <wp14:sizeRelH relativeFrom="page">
              <wp14:pctWidth>0</wp14:pctWidth>
            </wp14:sizeRelH>
            <wp14:sizeRelV relativeFrom="page">
              <wp14:pctHeight>0</wp14:pctHeight>
            </wp14:sizeRelV>
          </wp:anchor>
        </w:drawing>
      </w:r>
      <w:r w:rsidRPr="002D72AD">
        <w:rPr>
          <w:rFonts w:ascii="Calibri" w:eastAsia="Calibri" w:hAnsi="Calibri" w:cs="Arial"/>
          <w:noProof/>
          <w:kern w:val="2"/>
          <w14:ligatures w14:val="standardContextual"/>
        </w:rPr>
        <w:drawing>
          <wp:anchor distT="0" distB="0" distL="114300" distR="114300" simplePos="0" relativeHeight="251660800" behindDoc="0" locked="1" layoutInCell="1" allowOverlap="1" wp14:anchorId="1D756DCD" wp14:editId="47E85223">
            <wp:simplePos x="0" y="0"/>
            <wp:positionH relativeFrom="margin">
              <wp:posOffset>-353060</wp:posOffset>
            </wp:positionH>
            <wp:positionV relativeFrom="paragraph">
              <wp:posOffset>6208395</wp:posOffset>
            </wp:positionV>
            <wp:extent cx="557530" cy="784225"/>
            <wp:effectExtent l="0" t="0" r="0" b="0"/>
            <wp:wrapThrough wrapText="bothSides">
              <wp:wrapPolygon edited="0">
                <wp:start x="4428" y="0"/>
                <wp:lineTo x="0" y="3148"/>
                <wp:lineTo x="0" y="20988"/>
                <wp:lineTo x="20665" y="20988"/>
                <wp:lineTo x="20665" y="3148"/>
                <wp:lineTo x="16237" y="0"/>
                <wp:lineTo x="4428" y="0"/>
              </wp:wrapPolygon>
            </wp:wrapThrough>
            <wp:docPr id="51" name="Picture 132854917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8549170" descr="Logo&#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7530" cy="784225"/>
                    </a:xfrm>
                    <a:prstGeom prst="rect">
                      <a:avLst/>
                    </a:prstGeom>
                    <a:noFill/>
                  </pic:spPr>
                </pic:pic>
              </a:graphicData>
            </a:graphic>
            <wp14:sizeRelH relativeFrom="page">
              <wp14:pctWidth>0</wp14:pctWidth>
            </wp14:sizeRelH>
            <wp14:sizeRelV relativeFrom="page">
              <wp14:pctHeight>0</wp14:pctHeight>
            </wp14:sizeRelV>
          </wp:anchor>
        </w:drawing>
      </w:r>
    </w:p>
    <w:p w14:paraId="17A40DC3" w14:textId="77777777" w:rsidR="002D72AD" w:rsidRPr="002D72AD" w:rsidRDefault="002D72AD" w:rsidP="002D72AD">
      <w:pPr>
        <w:spacing w:after="0" w:line="256" w:lineRule="auto"/>
        <w:rPr>
          <w:rFonts w:ascii="Roboto" w:eastAsia="Calibri" w:hAnsi="Roboto" w:cs="Arial"/>
          <w:b/>
          <w:bCs/>
          <w:sz w:val="24"/>
          <w:szCs w:val="24"/>
        </w:rPr>
        <w:sectPr w:rsidR="002D72AD" w:rsidRPr="002D72AD" w:rsidSect="002D72AD">
          <w:headerReference w:type="default" r:id="rId21"/>
          <w:pgSz w:w="11906" w:h="16838"/>
          <w:pgMar w:top="1440" w:right="1440" w:bottom="1440" w:left="1440" w:header="708" w:footer="708" w:gutter="0"/>
          <w:pgNumType w:fmt="lowerRoman"/>
          <w:cols w:space="720"/>
        </w:sectPr>
      </w:pPr>
    </w:p>
    <w:p w14:paraId="0BB0B9B3" w14:textId="77777777" w:rsidR="002D72AD" w:rsidRPr="002D72AD" w:rsidRDefault="002D72AD" w:rsidP="002D72AD">
      <w:pPr>
        <w:spacing w:line="256" w:lineRule="auto"/>
        <w:rPr>
          <w:rFonts w:ascii="Roboto" w:eastAsia="Calibri" w:hAnsi="Roboto" w:cs="Arial"/>
          <w:b/>
          <w:bCs/>
          <w:kern w:val="2"/>
          <w:sz w:val="24"/>
          <w:szCs w:val="24"/>
          <w14:ligatures w14:val="standardContextual"/>
        </w:rPr>
      </w:pPr>
      <w:r w:rsidRPr="002D72AD">
        <w:rPr>
          <w:rFonts w:ascii="Calibri" w:eastAsia="Calibri" w:hAnsi="Calibri" w:cs="Arial"/>
          <w:noProof/>
          <w:kern w:val="2"/>
          <w14:ligatures w14:val="standardContextual"/>
        </w:rPr>
        <w:lastRenderedPageBreak/>
        <w:drawing>
          <wp:anchor distT="0" distB="0" distL="114300" distR="114300" simplePos="0" relativeHeight="251652608" behindDoc="1" locked="0" layoutInCell="1" allowOverlap="1" wp14:anchorId="13E334AA" wp14:editId="36A3F67C">
            <wp:simplePos x="0" y="0"/>
            <wp:positionH relativeFrom="page">
              <wp:posOffset>-2957830</wp:posOffset>
            </wp:positionH>
            <wp:positionV relativeFrom="paragraph">
              <wp:posOffset>-721021</wp:posOffset>
            </wp:positionV>
            <wp:extent cx="16108045" cy="10740390"/>
            <wp:effectExtent l="0" t="0" r="8255" b="3810"/>
            <wp:wrapNone/>
            <wp:docPr id="36" name="Picture 2" descr="A group of fish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group of fish in the water&#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108045" cy="10740390"/>
                    </a:xfrm>
                    <a:prstGeom prst="rect">
                      <a:avLst/>
                    </a:prstGeom>
                    <a:noFill/>
                  </pic:spPr>
                </pic:pic>
              </a:graphicData>
            </a:graphic>
            <wp14:sizeRelH relativeFrom="page">
              <wp14:pctWidth>0</wp14:pctWidth>
            </wp14:sizeRelH>
            <wp14:sizeRelV relativeFrom="page">
              <wp14:pctHeight>0</wp14:pctHeight>
            </wp14:sizeRelV>
          </wp:anchor>
        </w:drawing>
      </w:r>
    </w:p>
    <w:p w14:paraId="15D0C2ED" w14:textId="420C0E29" w:rsidR="002D72AD" w:rsidRPr="002D72AD" w:rsidRDefault="002D72AD" w:rsidP="002D72AD">
      <w:pPr>
        <w:spacing w:line="256" w:lineRule="auto"/>
        <w:rPr>
          <w:rFonts w:ascii="Roboto" w:eastAsia="Calibri" w:hAnsi="Roboto" w:cs="Arial"/>
          <w:b/>
          <w:bCs/>
          <w:kern w:val="2"/>
          <w:sz w:val="24"/>
          <w:szCs w:val="24"/>
          <w14:ligatures w14:val="standardContextual"/>
        </w:rPr>
      </w:pPr>
      <w:r w:rsidRPr="002D72AD">
        <w:rPr>
          <w:rFonts w:ascii="Roboto" w:eastAsia="Calibri" w:hAnsi="Roboto" w:cs="Arial"/>
          <w:b/>
          <w:bCs/>
          <w:color w:val="FFFFFF"/>
          <w:kern w:val="2"/>
          <w:sz w:val="18"/>
          <w:szCs w:val="18"/>
          <w14:ligatures w14:val="standardContextual"/>
        </w:rPr>
        <w:t>State of the World’s Migratory Species: Interim Report (2026)</w:t>
      </w:r>
    </w:p>
    <w:p w14:paraId="04D2A8BC" w14:textId="77777777" w:rsidR="002D72AD" w:rsidRPr="002D72AD" w:rsidRDefault="002D72AD" w:rsidP="002D72AD">
      <w:pPr>
        <w:spacing w:line="256" w:lineRule="auto"/>
        <w:rPr>
          <w:rFonts w:ascii="Roboto" w:eastAsia="Calibri" w:hAnsi="Roboto" w:cs="Arial"/>
          <w:color w:val="FFFFFF"/>
          <w:kern w:val="2"/>
          <w:sz w:val="18"/>
          <w:szCs w:val="18"/>
          <w14:ligatures w14:val="standardContextual"/>
        </w:rPr>
      </w:pPr>
      <w:r w:rsidRPr="002D72AD">
        <w:rPr>
          <w:rFonts w:ascii="Roboto" w:eastAsia="Calibri" w:hAnsi="Roboto" w:cs="Arial"/>
          <w:b/>
          <w:bCs/>
          <w:color w:val="FFFFFF"/>
          <w:kern w:val="2"/>
          <w:sz w:val="18"/>
          <w:szCs w:val="18"/>
          <w14:ligatures w14:val="standardContextual"/>
        </w:rPr>
        <w:t>Prepared for:</w:t>
      </w:r>
      <w:r w:rsidRPr="002D72AD">
        <w:rPr>
          <w:rFonts w:ascii="Roboto" w:eastAsia="Calibri" w:hAnsi="Roboto" w:cs="Arial"/>
          <w:color w:val="FFFFFF"/>
          <w:kern w:val="2"/>
          <w:sz w:val="18"/>
          <w:szCs w:val="18"/>
          <w14:ligatures w14:val="standardContextual"/>
        </w:rPr>
        <w:t xml:space="preserve"> The Secretariat of the Convention on the Conservation of Migratory Species of Wild Animals (CMS).</w:t>
      </w:r>
    </w:p>
    <w:p w14:paraId="209FF556" w14:textId="77777777" w:rsidR="002D72AD" w:rsidRPr="002D72AD" w:rsidRDefault="002D72AD" w:rsidP="002D72AD">
      <w:pPr>
        <w:spacing w:line="256" w:lineRule="auto"/>
        <w:rPr>
          <w:rFonts w:ascii="Roboto" w:eastAsia="Calibri" w:hAnsi="Roboto" w:cs="Arial"/>
          <w:color w:val="FFFFFF"/>
          <w:kern w:val="2"/>
          <w:sz w:val="18"/>
          <w:szCs w:val="18"/>
          <w14:ligatures w14:val="standardContextual"/>
        </w:rPr>
      </w:pPr>
      <w:r w:rsidRPr="002D72AD">
        <w:rPr>
          <w:rFonts w:ascii="Roboto" w:eastAsia="Calibri" w:hAnsi="Roboto" w:cs="Arial"/>
          <w:b/>
          <w:bCs/>
          <w:color w:val="FFFFFF"/>
          <w:kern w:val="2"/>
          <w:sz w:val="18"/>
          <w:szCs w:val="18"/>
          <w14:ligatures w14:val="standardContextual"/>
        </w:rPr>
        <w:t>Copyright:</w:t>
      </w:r>
      <w:r w:rsidRPr="002D72AD">
        <w:rPr>
          <w:rFonts w:ascii="Roboto" w:eastAsia="Calibri" w:hAnsi="Roboto" w:cs="Arial"/>
          <w:color w:val="FFFFFF"/>
          <w:kern w:val="2"/>
          <w:sz w:val="18"/>
          <w:szCs w:val="18"/>
          <w14:ligatures w14:val="standardContextual"/>
        </w:rPr>
        <w:t xml:space="preserve"> © 2026 Convention on the Conservation of Migratory Species of Wild Animals.</w:t>
      </w:r>
    </w:p>
    <w:p w14:paraId="3393B132" w14:textId="77777777" w:rsidR="002D72AD" w:rsidRPr="002D72AD" w:rsidRDefault="002D72AD" w:rsidP="002D72AD">
      <w:pPr>
        <w:spacing w:line="256" w:lineRule="auto"/>
        <w:rPr>
          <w:rFonts w:ascii="Roboto" w:eastAsia="Calibri" w:hAnsi="Roboto" w:cs="Arial"/>
          <w:color w:val="FFFFFF"/>
          <w:kern w:val="2"/>
          <w:sz w:val="18"/>
          <w:szCs w:val="18"/>
          <w14:ligatures w14:val="standardContextual"/>
        </w:rPr>
      </w:pPr>
      <w:r w:rsidRPr="002D72AD">
        <w:rPr>
          <w:rFonts w:ascii="Roboto" w:eastAsia="Calibri" w:hAnsi="Roboto" w:cs="Arial"/>
          <w:b/>
          <w:bCs/>
          <w:color w:val="FFFFFF"/>
          <w:kern w:val="2"/>
          <w:sz w:val="18"/>
          <w:szCs w:val="18"/>
          <w14:ligatures w14:val="standardContextual"/>
        </w:rPr>
        <w:t>Citation:</w:t>
      </w:r>
      <w:r w:rsidRPr="002D72AD">
        <w:rPr>
          <w:rFonts w:ascii="Roboto" w:eastAsia="Calibri" w:hAnsi="Roboto" w:cs="Arial"/>
          <w:color w:val="FFFFFF"/>
          <w:kern w:val="2"/>
          <w:sz w:val="18"/>
          <w:szCs w:val="18"/>
          <w14:ligatures w14:val="standardContextual"/>
        </w:rPr>
        <w:t xml:space="preserve"> UNEP-WCMC, 2026. State of the World’s Migratory Species: Interim Report (2026). UNEP-WCMC, Cambridge, United Kingdom.</w:t>
      </w:r>
    </w:p>
    <w:p w14:paraId="4401938B" w14:textId="63881E66" w:rsidR="002D72AD" w:rsidRPr="002D72AD" w:rsidRDefault="001D5019" w:rsidP="002D72AD">
      <w:pPr>
        <w:spacing w:line="256" w:lineRule="auto"/>
        <w:rPr>
          <w:rFonts w:ascii="Roboto" w:eastAsia="Calibri" w:hAnsi="Roboto" w:cs="Arial"/>
          <w:color w:val="FFFFFF"/>
          <w:kern w:val="2"/>
          <w:sz w:val="18"/>
          <w:szCs w:val="18"/>
          <w14:ligatures w14:val="standardContextual"/>
        </w:rPr>
      </w:pPr>
      <w:r w:rsidRPr="002D72AD">
        <w:rPr>
          <w:rFonts w:ascii="Calibri" w:eastAsia="Calibri" w:hAnsi="Calibri" w:cs="Arial"/>
          <w:noProof/>
          <w:kern w:val="2"/>
          <w14:ligatures w14:val="standardContextual"/>
        </w:rPr>
        <mc:AlternateContent>
          <mc:Choice Requires="wps">
            <w:drawing>
              <wp:anchor distT="0" distB="0" distL="114300" distR="114300" simplePos="0" relativeHeight="251655680" behindDoc="1" locked="0" layoutInCell="1" allowOverlap="1" wp14:anchorId="4B444721" wp14:editId="091F8475">
                <wp:simplePos x="0" y="0"/>
                <wp:positionH relativeFrom="column">
                  <wp:posOffset>-238760</wp:posOffset>
                </wp:positionH>
                <wp:positionV relativeFrom="paragraph">
                  <wp:posOffset>186055</wp:posOffset>
                </wp:positionV>
                <wp:extent cx="6394450" cy="9385300"/>
                <wp:effectExtent l="0" t="0" r="6350" b="6350"/>
                <wp:wrapNone/>
                <wp:docPr id="336900895" name="Rectangle 1"/>
                <wp:cNvGraphicFramePr/>
                <a:graphic xmlns:a="http://schemas.openxmlformats.org/drawingml/2006/main">
                  <a:graphicData uri="http://schemas.microsoft.com/office/word/2010/wordprocessingShape">
                    <wps:wsp>
                      <wps:cNvSpPr/>
                      <wps:spPr>
                        <a:xfrm>
                          <a:off x="0" y="0"/>
                          <a:ext cx="6394450" cy="9385300"/>
                        </a:xfrm>
                        <a:prstGeom prst="rect">
                          <a:avLst/>
                        </a:prstGeom>
                        <a:solidFill>
                          <a:srgbClr val="0281AB">
                            <a:alpha val="50196"/>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BC5E0C" id="Rectangle 1" o:spid="_x0000_s1026" style="position:absolute;margin-left:-18.8pt;margin-top:14.65pt;width:503.5pt;height:739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" fillcolor="#0281ab" stroked="f" strokeweight="1pt">
                <v:fill opacity="32896f"/>
              </v:rect>
            </w:pict>
          </mc:Fallback>
        </mc:AlternateContent>
      </w:r>
      <w:r w:rsidR="002D72AD" w:rsidRPr="002D72AD">
        <w:rPr>
          <w:rFonts w:ascii="Roboto" w:eastAsia="Calibri" w:hAnsi="Roboto" w:cs="Arial"/>
          <w:b/>
          <w:bCs/>
          <w:color w:val="FFFFFF"/>
          <w:kern w:val="2"/>
          <w:sz w:val="18"/>
          <w:szCs w:val="18"/>
          <w14:ligatures w14:val="standardContextual"/>
        </w:rPr>
        <w:t>Authors:</w:t>
      </w:r>
      <w:r w:rsidR="002D72AD" w:rsidRPr="002D72AD">
        <w:rPr>
          <w:rFonts w:ascii="Roboto" w:eastAsia="Calibri" w:hAnsi="Roboto" w:cs="Arial"/>
          <w:color w:val="FFFFFF"/>
          <w:kern w:val="2"/>
          <w:sz w:val="18"/>
          <w:szCs w:val="18"/>
          <w14:ligatures w14:val="standardContextual"/>
        </w:rPr>
        <w:t xml:space="preserve"> Andrew Szopa-Comley, Frances Davis and Kelly Malsch.</w:t>
      </w:r>
    </w:p>
    <w:p w14:paraId="0B86272C" w14:textId="77777777" w:rsidR="002D72AD" w:rsidRPr="002D72AD" w:rsidRDefault="002D72AD" w:rsidP="002D72AD">
      <w:pPr>
        <w:spacing w:line="256" w:lineRule="auto"/>
        <w:rPr>
          <w:rFonts w:ascii="Roboto" w:eastAsia="Calibri" w:hAnsi="Roboto" w:cs="Arial"/>
          <w:color w:val="FFFFFF"/>
          <w:kern w:val="2"/>
          <w:sz w:val="18"/>
          <w:szCs w:val="18"/>
          <w14:ligatures w14:val="standardContextual"/>
        </w:rPr>
      </w:pPr>
      <w:r w:rsidRPr="002D72AD">
        <w:rPr>
          <w:rFonts w:ascii="Roboto" w:eastAsia="Calibri" w:hAnsi="Roboto" w:cs="Arial"/>
          <w:b/>
          <w:bCs/>
          <w:color w:val="FFFFFF"/>
          <w:kern w:val="2"/>
          <w:sz w:val="18"/>
          <w:szCs w:val="18"/>
          <w14:ligatures w14:val="standardContextual"/>
        </w:rPr>
        <w:t>Acknowledgements:</w:t>
      </w:r>
      <w:r w:rsidRPr="002D72AD">
        <w:rPr>
          <w:rFonts w:ascii="Roboto" w:eastAsia="Calibri" w:hAnsi="Roboto" w:cs="Arial"/>
          <w:color w:val="FFFFFF"/>
          <w:kern w:val="2"/>
          <w:sz w:val="18"/>
          <w:szCs w:val="18"/>
          <w14:ligatures w14:val="standardContextual"/>
        </w:rPr>
        <w:t xml:space="preserve"> This report was made possible by the generous financial contributions of the Arcadia Fund.</w:t>
      </w:r>
    </w:p>
    <w:p w14:paraId="34997723" w14:textId="77777777" w:rsidR="002D72AD" w:rsidRPr="002D72AD" w:rsidRDefault="002D72AD" w:rsidP="002D72AD">
      <w:pPr>
        <w:spacing w:line="240" w:lineRule="auto"/>
        <w:rPr>
          <w:rFonts w:ascii="Roboto" w:eastAsia="Calibri" w:hAnsi="Roboto" w:cs="Arial"/>
          <w:color w:val="FFFFFF"/>
          <w:kern w:val="2"/>
          <w:sz w:val="18"/>
          <w:szCs w:val="18"/>
          <w14:ligatures w14:val="standardContextual"/>
        </w:rPr>
      </w:pPr>
      <w:r w:rsidRPr="002D72AD">
        <w:rPr>
          <w:rFonts w:ascii="Roboto" w:eastAsia="Calibri" w:hAnsi="Roboto" w:cs="Arial"/>
          <w:color w:val="FFFFFF"/>
          <w:kern w:val="2"/>
          <w:sz w:val="18"/>
          <w:szCs w:val="18"/>
          <w14:ligatures w14:val="standardContextual"/>
        </w:rPr>
        <w:t xml:space="preserve">UNEP-WCMC would also like to express their sincere thanks to colleagues from the CMS Secretariat and members of the CMS Working Group on the State of the World’s Migratory Species for their expert input and review. UNEP-WCMC also sincerely thanks the following organisations for their valuable contributions to the report: </w:t>
      </w:r>
      <w:proofErr w:type="spellStart"/>
      <w:r w:rsidRPr="002D72AD">
        <w:rPr>
          <w:rFonts w:ascii="Roboto" w:eastAsia="Calibri" w:hAnsi="Roboto" w:cs="Arial"/>
          <w:color w:val="FFFFFF"/>
          <w:kern w:val="2"/>
          <w:sz w:val="18"/>
          <w:szCs w:val="18"/>
          <w14:ligatures w14:val="standardContextual"/>
        </w:rPr>
        <w:t>BirdLife</w:t>
      </w:r>
      <w:proofErr w:type="spellEnd"/>
      <w:r w:rsidRPr="002D72AD">
        <w:rPr>
          <w:rFonts w:ascii="Roboto" w:eastAsia="Calibri" w:hAnsi="Roboto" w:cs="Arial"/>
          <w:color w:val="FFFFFF"/>
          <w:kern w:val="2"/>
          <w:sz w:val="18"/>
          <w:szCs w:val="18"/>
          <w14:ligatures w14:val="standardContextual"/>
        </w:rPr>
        <w:t xml:space="preserve"> International for their analysis of Key Biodiversity Areas for CMS-listed species; and the Global Initiative on Ungulate Migration (GIUM), Migratory Connectivity in the Ocean (</w:t>
      </w:r>
      <w:proofErr w:type="spellStart"/>
      <w:r w:rsidRPr="002D72AD">
        <w:rPr>
          <w:rFonts w:ascii="Roboto" w:eastAsia="Calibri" w:hAnsi="Roboto" w:cs="Arial"/>
          <w:color w:val="FFFFFF"/>
          <w:kern w:val="2"/>
          <w:sz w:val="18"/>
          <w:szCs w:val="18"/>
          <w14:ligatures w14:val="standardContextual"/>
        </w:rPr>
        <w:t>MiCO</w:t>
      </w:r>
      <w:proofErr w:type="spellEnd"/>
      <w:r w:rsidRPr="002D72AD">
        <w:rPr>
          <w:rFonts w:ascii="Roboto" w:eastAsia="Calibri" w:hAnsi="Roboto" w:cs="Arial"/>
          <w:color w:val="FFFFFF"/>
          <w:kern w:val="2"/>
          <w:sz w:val="18"/>
          <w:szCs w:val="18"/>
          <w14:ligatures w14:val="standardContextual"/>
        </w:rPr>
        <w:t xml:space="preserve">) and </w:t>
      </w:r>
      <w:proofErr w:type="spellStart"/>
      <w:r w:rsidRPr="002D72AD">
        <w:rPr>
          <w:rFonts w:ascii="Roboto" w:eastAsia="Calibri" w:hAnsi="Roboto" w:cs="Arial"/>
          <w:color w:val="FFFFFF"/>
          <w:kern w:val="2"/>
          <w:sz w:val="18"/>
          <w:szCs w:val="18"/>
          <w14:ligatures w14:val="standardContextual"/>
        </w:rPr>
        <w:t>BirdLife</w:t>
      </w:r>
      <w:proofErr w:type="spellEnd"/>
      <w:r w:rsidRPr="002D72AD">
        <w:rPr>
          <w:rFonts w:ascii="Roboto" w:eastAsia="Calibri" w:hAnsi="Roboto" w:cs="Arial"/>
          <w:color w:val="FFFFFF"/>
          <w:kern w:val="2"/>
          <w:sz w:val="18"/>
          <w:szCs w:val="18"/>
          <w14:ligatures w14:val="standardContextual"/>
        </w:rPr>
        <w:t xml:space="preserve"> International for their contributions to the section on mapping migratory pathways.</w:t>
      </w:r>
    </w:p>
    <w:p w14:paraId="7E7C3D5F" w14:textId="77777777" w:rsidR="002D72AD" w:rsidRPr="002D72AD" w:rsidRDefault="002D72AD" w:rsidP="002D72AD">
      <w:pPr>
        <w:spacing w:line="240" w:lineRule="auto"/>
        <w:rPr>
          <w:rFonts w:ascii="Roboto" w:eastAsia="Calibri" w:hAnsi="Roboto" w:cs="Arial"/>
          <w:color w:val="FFFFFF"/>
          <w:kern w:val="2"/>
          <w:sz w:val="18"/>
          <w:szCs w:val="18"/>
          <w14:ligatures w14:val="standardContextual"/>
        </w:rPr>
      </w:pPr>
      <w:r w:rsidRPr="002D72AD">
        <w:rPr>
          <w:rFonts w:ascii="Roboto" w:eastAsia="Calibri" w:hAnsi="Roboto" w:cs="Arial"/>
          <w:color w:val="FFFFFF"/>
          <w:kern w:val="2"/>
          <w:sz w:val="18"/>
          <w:szCs w:val="18"/>
          <w14:ligatures w14:val="standardContextual"/>
        </w:rPr>
        <w:t>The report authors thank the following individuals for their expert contributions and/or review: Lily Bentley, Daniel Dunn and Angela Liu (University of Queensland); Janey Fugate, Grant Hopcraft, Matthew Kauffman and Thomas Mueller (GIUM); Ian Burfield, Stuart Butchart, Vicky Jones and Tom Scott (</w:t>
      </w:r>
      <w:proofErr w:type="spellStart"/>
      <w:r w:rsidRPr="002D72AD">
        <w:rPr>
          <w:rFonts w:ascii="Roboto" w:eastAsia="Calibri" w:hAnsi="Roboto" w:cs="Arial"/>
          <w:color w:val="FFFFFF"/>
          <w:kern w:val="2"/>
          <w:sz w:val="18"/>
          <w:szCs w:val="18"/>
          <w14:ligatures w14:val="standardContextual"/>
        </w:rPr>
        <w:t>BirdLife</w:t>
      </w:r>
      <w:proofErr w:type="spellEnd"/>
      <w:r w:rsidRPr="002D72AD">
        <w:rPr>
          <w:rFonts w:ascii="Roboto" w:eastAsia="Calibri" w:hAnsi="Roboto" w:cs="Arial"/>
          <w:color w:val="FFFFFF"/>
          <w:kern w:val="2"/>
          <w:sz w:val="18"/>
          <w:szCs w:val="18"/>
          <w14:ligatures w14:val="standardContextual"/>
        </w:rPr>
        <w:t xml:space="preserve"> International). </w:t>
      </w:r>
    </w:p>
    <w:p w14:paraId="7F4B6689" w14:textId="77777777" w:rsidR="002D72AD" w:rsidRPr="002D72AD" w:rsidRDefault="002D72AD" w:rsidP="002D72AD">
      <w:pPr>
        <w:spacing w:line="256" w:lineRule="auto"/>
        <w:rPr>
          <w:rFonts w:ascii="Roboto" w:eastAsia="Calibri" w:hAnsi="Roboto" w:cs="Arial"/>
          <w:b/>
          <w:bCs/>
          <w:color w:val="FFFFFF"/>
          <w:kern w:val="2"/>
          <w:sz w:val="18"/>
          <w:szCs w:val="18"/>
          <w14:ligatures w14:val="standardContextual"/>
        </w:rPr>
      </w:pPr>
      <w:r w:rsidRPr="00E7787F">
        <w:rPr>
          <w:rFonts w:ascii="Roboto" w:eastAsia="Calibri" w:hAnsi="Roboto" w:cs="Arial"/>
          <w:b/>
          <w:bCs/>
          <w:color w:val="FFFFFF"/>
          <w:kern w:val="2"/>
          <w:sz w:val="18"/>
          <w:szCs w:val="18"/>
          <w14:ligatures w14:val="standardContextual"/>
        </w:rPr>
        <w:t>Cover photo:</w:t>
      </w:r>
      <w:r w:rsidRPr="00E7787F">
        <w:rPr>
          <w:rFonts w:ascii="Roboto" w:eastAsia="Calibri" w:hAnsi="Roboto" w:cs="Arial"/>
          <w:color w:val="FFFFFF"/>
          <w:kern w:val="2"/>
          <w:sz w:val="18"/>
          <w:szCs w:val="18"/>
          <w14:ligatures w14:val="standardContextual"/>
        </w:rPr>
        <w:t xml:space="preserve"> Jaguar (</w:t>
      </w:r>
      <w:r w:rsidRPr="00E7787F">
        <w:rPr>
          <w:rFonts w:ascii="Roboto" w:eastAsia="Calibri" w:hAnsi="Roboto" w:cs="Arial"/>
          <w:i/>
          <w:iCs/>
          <w:color w:val="FFFFFF"/>
          <w:kern w:val="2"/>
          <w:sz w:val="18"/>
          <w:szCs w:val="18"/>
          <w14:ligatures w14:val="standardContextual"/>
        </w:rPr>
        <w:t>Panthera onca</w:t>
      </w:r>
      <w:r w:rsidRPr="00E7787F">
        <w:rPr>
          <w:rFonts w:ascii="Roboto" w:eastAsia="Calibri" w:hAnsi="Roboto" w:cs="Arial"/>
          <w:color w:val="FFFFFF"/>
          <w:kern w:val="2"/>
          <w:sz w:val="18"/>
          <w:szCs w:val="18"/>
          <w14:ligatures w14:val="standardContextual"/>
        </w:rPr>
        <w:t xml:space="preserve">). </w:t>
      </w:r>
      <w:r w:rsidRPr="002D72AD">
        <w:rPr>
          <w:rFonts w:ascii="Roboto" w:eastAsia="Calibri" w:hAnsi="Roboto" w:cs="Arial"/>
          <w:i/>
          <w:iCs/>
          <w:color w:val="FFFFFF"/>
          <w:kern w:val="2"/>
          <w:sz w:val="18"/>
          <w:szCs w:val="18"/>
          <w14:ligatures w14:val="standardContextual"/>
        </w:rPr>
        <w:t>Photo credit</w:t>
      </w:r>
      <w:r w:rsidRPr="002D72AD">
        <w:rPr>
          <w:rFonts w:ascii="Roboto" w:eastAsia="Calibri" w:hAnsi="Roboto" w:cs="Arial"/>
          <w:color w:val="FFFFFF"/>
          <w:kern w:val="2"/>
          <w:sz w:val="18"/>
          <w:szCs w:val="18"/>
          <w14:ligatures w14:val="standardContextual"/>
        </w:rPr>
        <w:t xml:space="preserve">: </w:t>
      </w:r>
      <w:proofErr w:type="spellStart"/>
      <w:r w:rsidRPr="002D72AD">
        <w:rPr>
          <w:rFonts w:ascii="Roboto" w:eastAsia="Calibri" w:hAnsi="Roboto" w:cs="Arial"/>
          <w:color w:val="FFFFFF"/>
          <w:kern w:val="2"/>
          <w:sz w:val="18"/>
          <w:szCs w:val="18"/>
          <w14:ligatures w14:val="standardContextual"/>
        </w:rPr>
        <w:t>Photocech</w:t>
      </w:r>
      <w:proofErr w:type="spellEnd"/>
      <w:r w:rsidRPr="002D72AD">
        <w:rPr>
          <w:rFonts w:ascii="Roboto" w:eastAsia="Calibri" w:hAnsi="Roboto" w:cs="Arial"/>
          <w:color w:val="FFFFFF"/>
          <w:kern w:val="2"/>
          <w:sz w:val="18"/>
          <w:szCs w:val="18"/>
          <w14:ligatures w14:val="standardContextual"/>
        </w:rPr>
        <w:t xml:space="preserve"> / Adobe Stock | #526706118.</w:t>
      </w:r>
      <w:r w:rsidRPr="002D72AD">
        <w:rPr>
          <w:rFonts w:ascii="Roboto" w:eastAsia="Calibri" w:hAnsi="Roboto" w:cs="Arial"/>
          <w:b/>
          <w:bCs/>
          <w:color w:val="FFFFFF"/>
          <w:kern w:val="2"/>
          <w:sz w:val="18"/>
          <w:szCs w:val="18"/>
          <w14:ligatures w14:val="standardContextual"/>
        </w:rPr>
        <w:t xml:space="preserve"> Inside cover: </w:t>
      </w:r>
      <w:r w:rsidRPr="002D72AD">
        <w:rPr>
          <w:rFonts w:ascii="Roboto" w:eastAsia="Calibri" w:hAnsi="Roboto" w:cs="Arial"/>
          <w:color w:val="FFFFFF"/>
          <w:kern w:val="2"/>
          <w:sz w:val="18"/>
          <w:szCs w:val="18"/>
          <w14:ligatures w14:val="standardContextual"/>
        </w:rPr>
        <w:t>Munk’s Devil Rays (</w:t>
      </w:r>
      <w:proofErr w:type="spellStart"/>
      <w:r w:rsidRPr="002D72AD">
        <w:rPr>
          <w:rFonts w:ascii="Roboto" w:eastAsia="Calibri" w:hAnsi="Roboto" w:cs="Arial"/>
          <w:i/>
          <w:iCs/>
          <w:color w:val="FFFFFF"/>
          <w:kern w:val="2"/>
          <w:sz w:val="18"/>
          <w:szCs w:val="18"/>
          <w14:ligatures w14:val="standardContextual"/>
        </w:rPr>
        <w:t>Mobula</w:t>
      </w:r>
      <w:proofErr w:type="spellEnd"/>
      <w:r w:rsidRPr="002D72AD">
        <w:rPr>
          <w:rFonts w:ascii="Roboto" w:eastAsia="Calibri" w:hAnsi="Roboto" w:cs="Arial"/>
          <w:i/>
          <w:iCs/>
          <w:color w:val="FFFFFF"/>
          <w:kern w:val="2"/>
          <w:sz w:val="18"/>
          <w:szCs w:val="18"/>
          <w14:ligatures w14:val="standardContextual"/>
        </w:rPr>
        <w:t xml:space="preserve"> </w:t>
      </w:r>
      <w:proofErr w:type="spellStart"/>
      <w:r w:rsidRPr="002D72AD">
        <w:rPr>
          <w:rFonts w:ascii="Roboto" w:eastAsia="Calibri" w:hAnsi="Roboto" w:cs="Arial"/>
          <w:i/>
          <w:iCs/>
          <w:color w:val="FFFFFF"/>
          <w:kern w:val="2"/>
          <w:sz w:val="18"/>
          <w:szCs w:val="18"/>
          <w14:ligatures w14:val="standardContextual"/>
        </w:rPr>
        <w:t>munkiana</w:t>
      </w:r>
      <w:proofErr w:type="spellEnd"/>
      <w:r w:rsidRPr="002D72AD">
        <w:rPr>
          <w:rFonts w:ascii="Roboto" w:eastAsia="Calibri" w:hAnsi="Roboto" w:cs="Arial"/>
          <w:color w:val="FFFFFF"/>
          <w:kern w:val="2"/>
          <w:sz w:val="18"/>
          <w:szCs w:val="18"/>
          <w14:ligatures w14:val="standardContextual"/>
        </w:rPr>
        <w:t xml:space="preserve">). </w:t>
      </w:r>
      <w:r w:rsidRPr="002D72AD">
        <w:rPr>
          <w:rFonts w:ascii="Roboto" w:eastAsia="Calibri" w:hAnsi="Roboto" w:cs="Arial"/>
          <w:i/>
          <w:iCs/>
          <w:color w:val="FFFFFF"/>
          <w:kern w:val="2"/>
          <w:sz w:val="18"/>
          <w:szCs w:val="18"/>
          <w14:ligatures w14:val="standardContextual"/>
        </w:rPr>
        <w:t>Photo credit</w:t>
      </w:r>
      <w:r w:rsidRPr="002D72AD">
        <w:rPr>
          <w:rFonts w:ascii="Roboto" w:eastAsia="Calibri" w:hAnsi="Roboto" w:cs="Arial"/>
          <w:color w:val="FFFFFF"/>
          <w:kern w:val="2"/>
          <w:sz w:val="18"/>
          <w:szCs w:val="18"/>
          <w14:ligatures w14:val="standardContextual"/>
        </w:rPr>
        <w:t>: Lars von Ritter Zahony / Ocean Image Bank.</w:t>
      </w:r>
    </w:p>
    <w:p w14:paraId="0AA98DE2" w14:textId="77777777" w:rsidR="002D72AD" w:rsidRPr="002D72AD" w:rsidRDefault="002D72AD" w:rsidP="002D72AD">
      <w:pPr>
        <w:spacing w:line="256" w:lineRule="auto"/>
        <w:rPr>
          <w:rFonts w:ascii="Roboto" w:eastAsia="Calibri" w:hAnsi="Roboto" w:cs="Arial"/>
          <w:color w:val="FF0000"/>
          <w:kern w:val="2"/>
          <w:sz w:val="18"/>
          <w:szCs w:val="18"/>
          <w14:ligatures w14:val="standardContextual"/>
        </w:rPr>
      </w:pPr>
      <w:r w:rsidRPr="002D72AD">
        <w:rPr>
          <w:rFonts w:ascii="Roboto" w:eastAsia="Calibri" w:hAnsi="Roboto" w:cs="Arial"/>
          <w:noProof/>
          <w:color w:val="FFFFFF"/>
          <w:kern w:val="2"/>
          <w:sz w:val="18"/>
          <w:szCs w:val="18"/>
          <w14:ligatures w14:val="standardContextual"/>
        </w:rPr>
        <w:drawing>
          <wp:inline distT="0" distB="0" distL="0" distR="0" wp14:anchorId="1050233B" wp14:editId="7B9FC9C6">
            <wp:extent cx="1228725" cy="361950"/>
            <wp:effectExtent l="0" t="0" r="9525" b="0"/>
            <wp:docPr id="59448002" name="Picture 23"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 black and white logo&#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28725" cy="361950"/>
                    </a:xfrm>
                    <a:prstGeom prst="rect">
                      <a:avLst/>
                    </a:prstGeom>
                    <a:noFill/>
                    <a:ln>
                      <a:noFill/>
                    </a:ln>
                  </pic:spPr>
                </pic:pic>
              </a:graphicData>
            </a:graphic>
          </wp:inline>
        </w:drawing>
      </w:r>
    </w:p>
    <w:p w14:paraId="25B4D12C" w14:textId="77777777" w:rsidR="002D72AD" w:rsidRPr="002D72AD" w:rsidRDefault="002D72AD" w:rsidP="002D72AD">
      <w:pPr>
        <w:spacing w:line="256" w:lineRule="auto"/>
        <w:rPr>
          <w:rFonts w:ascii="Roboto" w:eastAsia="Calibri" w:hAnsi="Roboto" w:cs="Arial"/>
          <w:color w:val="FFFFFF"/>
          <w:kern w:val="2"/>
          <w:sz w:val="18"/>
          <w:szCs w:val="18"/>
          <w14:ligatures w14:val="standardContextual"/>
        </w:rPr>
      </w:pPr>
      <w:r w:rsidRPr="002D72AD">
        <w:rPr>
          <w:rFonts w:ascii="Roboto" w:eastAsia="Calibri" w:hAnsi="Roboto" w:cs="Arial"/>
          <w:color w:val="FFFFFF"/>
          <w:kern w:val="2"/>
          <w:sz w:val="18"/>
          <w:szCs w:val="18"/>
          <w14:ligatures w14:val="standardContextual"/>
        </w:rPr>
        <w:t>The UN Environment Programme World Conservation Monitoring Centre (UNEP-WCMC) is a global Centre of excellence on biodiversity. The Centre operates as a collaboration between the UN Environment Programme and the UK-registered charity WCMC. Together we are confronting the global crisis facing nature.</w:t>
      </w:r>
    </w:p>
    <w:p w14:paraId="24C9560F" w14:textId="77777777" w:rsidR="002D72AD" w:rsidRPr="002D72AD" w:rsidRDefault="002D72AD" w:rsidP="002D72AD">
      <w:pPr>
        <w:spacing w:line="256" w:lineRule="auto"/>
        <w:rPr>
          <w:rFonts w:ascii="Roboto" w:eastAsia="Calibri" w:hAnsi="Roboto" w:cs="Arial"/>
          <w:color w:val="FFFFFF"/>
          <w:kern w:val="2"/>
          <w:sz w:val="18"/>
          <w:szCs w:val="18"/>
          <w14:ligatures w14:val="standardContextual"/>
        </w:rPr>
      </w:pPr>
      <w:r w:rsidRPr="002D72AD">
        <w:rPr>
          <w:rFonts w:ascii="Roboto" w:eastAsia="Calibri" w:hAnsi="Roboto" w:cs="Arial"/>
          <w:color w:val="FFFFFF"/>
          <w:kern w:val="2"/>
          <w:sz w:val="18"/>
          <w:szCs w:val="18"/>
          <w14:ligatures w14:val="standardContextual"/>
        </w:rPr>
        <w:t>This publication may be reproduced for educational or non-profit purposes without special permission, provided acknowledgement to the source is made. Reuse of any figures is subject to permission from the original rights holders. No use of this publication may be made for resale or any other commercial purpose without permission in writing from the UN Environment Programme. Applications for permission, with a statement of purpose and extent of reproduction, should be sent to the Director, UNEP-WCMC, 219 Huntingdon Road, Cambridge, CB3 0DL, UK.</w:t>
      </w:r>
    </w:p>
    <w:p w14:paraId="5AF74574" w14:textId="77777777" w:rsidR="002D72AD" w:rsidRPr="002D72AD" w:rsidRDefault="002D72AD" w:rsidP="002D72AD">
      <w:pPr>
        <w:spacing w:line="256" w:lineRule="auto"/>
        <w:rPr>
          <w:rFonts w:ascii="Roboto" w:eastAsia="Calibri" w:hAnsi="Roboto" w:cs="Arial"/>
          <w:color w:val="FFFFFF"/>
          <w:kern w:val="2"/>
          <w:sz w:val="18"/>
          <w:szCs w:val="18"/>
          <w14:ligatures w14:val="standardContextual"/>
        </w:rPr>
      </w:pPr>
      <w:r w:rsidRPr="002D72AD">
        <w:rPr>
          <w:rFonts w:ascii="Calibri" w:eastAsia="Calibri" w:hAnsi="Calibri" w:cs="Arial"/>
          <w:noProof/>
          <w:kern w:val="2"/>
          <w14:ligatures w14:val="standardContextual"/>
        </w:rPr>
        <mc:AlternateContent>
          <mc:Choice Requires="wpg">
            <w:drawing>
              <wp:anchor distT="0" distB="0" distL="114300" distR="114300" simplePos="0" relativeHeight="251656704" behindDoc="0" locked="0" layoutInCell="1" allowOverlap="1" wp14:anchorId="3D0D191D" wp14:editId="19294137">
                <wp:simplePos x="0" y="0"/>
                <wp:positionH relativeFrom="column">
                  <wp:posOffset>4274185</wp:posOffset>
                </wp:positionH>
                <wp:positionV relativeFrom="paragraph">
                  <wp:posOffset>1032510</wp:posOffset>
                </wp:positionV>
                <wp:extent cx="2114550" cy="2114550"/>
                <wp:effectExtent l="0" t="0" r="0" b="0"/>
                <wp:wrapNone/>
                <wp:docPr id="606594178" name="Group 248"/>
                <wp:cNvGraphicFramePr/>
                <a:graphic xmlns:a="http://schemas.openxmlformats.org/drawingml/2006/main">
                  <a:graphicData uri="http://schemas.microsoft.com/office/word/2010/wordprocessingGroup">
                    <wpg:wgp>
                      <wpg:cNvGrpSpPr/>
                      <wpg:grpSpPr>
                        <a:xfrm>
                          <a:off x="0" y="0"/>
                          <a:ext cx="2114550" cy="2114550"/>
                          <a:chOff x="0" y="0"/>
                          <a:chExt cx="2114550" cy="2114550"/>
                        </a:xfrm>
                      </wpg:grpSpPr>
                      <wps:wsp>
                        <wps:cNvPr id="35794616" name="Oval 35794616"/>
                        <wps:cNvSpPr/>
                        <wps:spPr>
                          <a:xfrm>
                            <a:off x="0" y="0"/>
                            <a:ext cx="2114550" cy="2114550"/>
                          </a:xfrm>
                          <a:prstGeom prst="ellipse">
                            <a:avLst/>
                          </a:prstGeom>
                          <a:solidFill>
                            <a:srgbClr val="95CC66"/>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372271678" name="Text Box 204"/>
                        <wps:cNvSpPr txBox="1"/>
                        <wps:spPr>
                          <a:xfrm>
                            <a:off x="246185" y="400930"/>
                            <a:ext cx="1638300" cy="1352550"/>
                          </a:xfrm>
                          <a:prstGeom prst="rect">
                            <a:avLst/>
                          </a:prstGeom>
                          <a:noFill/>
                          <a:ln w="6350">
                            <a:noFill/>
                          </a:ln>
                          <a:effectLst/>
                        </wps:spPr>
                        <wps:txbx>
                          <w:txbxContent>
                            <w:p w14:paraId="691800D7" w14:textId="77777777" w:rsidR="002D72AD" w:rsidRPr="002D72AD" w:rsidRDefault="002D72AD" w:rsidP="002D72AD">
                              <w:pPr>
                                <w:jc w:val="center"/>
                                <w:rPr>
                                  <w:rFonts w:ascii="Arial Narrow" w:hAnsi="Arial Narrow"/>
                                  <w:color w:val="FFFFFF"/>
                                </w:rPr>
                              </w:pPr>
                              <w:r w:rsidRPr="002D72AD">
                                <w:rPr>
                                  <w:rFonts w:ascii="Arial Narrow" w:hAnsi="Arial Narrow"/>
                                  <w:color w:val="FFFFFF"/>
                                </w:rPr>
                                <w:t>UNEP promotes environmentally sound practices globally and in its own activities. Our distribution policy aims to reduce UNEP’s carbon footprint.</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3D0D191D" id="Group 248" o:spid="_x0000_s1028" style="position:absolute;margin-left:336.55pt;margin-top:81.3pt;width:166.5pt;height:166.5pt;z-index:251656704;mso-height-relative:margin" coordsize="21145,21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">
                <v:oval id="Oval 35794616" o:spid="_x0000_s1029" style="position:absolute;width:21145;height:211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" fillcolor="#95cc66" stroked="f" strokeweight="1pt">
                  <v:stroke joinstyle="miter"/>
                </v:oval>
                <v:shape id="Text Box 204" o:spid="_x0000_s1030" type="#_x0000_t202" style="position:absolute;left:2461;top:4009;width:16383;height:1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" filled="f" stroked="f" strokeweight=".5pt">
                  <v:textbox>
                    <w:txbxContent>
                      <w:p w14:paraId="691800D7" w14:textId="77777777" w:rsidR="002D72AD" w:rsidRPr="002D72AD" w:rsidRDefault="002D72AD" w:rsidP="002D72AD">
                        <w:pPr>
                          <w:jc w:val="center"/>
                          <w:rPr>
                            <w:rFonts w:ascii="Arial Narrow" w:hAnsi="Arial Narrow"/>
                            <w:color w:val="FFFFFF"/>
                          </w:rPr>
                        </w:pPr>
                        <w:r w:rsidRPr="002D72AD">
                          <w:rPr>
                            <w:rFonts w:ascii="Arial Narrow" w:hAnsi="Arial Narrow"/>
                            <w:color w:val="FFFFFF"/>
                          </w:rPr>
                          <w:t>UNEP promotes environmentally sound practices globally and in its own activities. Our distribution policy aims to reduce UNEP’s carbon footprint.</w:t>
                        </w:r>
                      </w:p>
                    </w:txbxContent>
                  </v:textbox>
                </v:shape>
              </v:group>
            </w:pict>
          </mc:Fallback>
        </mc:AlternateContent>
      </w:r>
      <w:r w:rsidRPr="002D72AD">
        <w:rPr>
          <w:rFonts w:ascii="Roboto" w:eastAsia="Calibri" w:hAnsi="Roboto" w:cs="Arial"/>
          <w:color w:val="FFFFFF"/>
          <w:kern w:val="2"/>
          <w:sz w:val="18"/>
          <w:szCs w:val="18"/>
          <w14:ligatures w14:val="standardContextual"/>
        </w:rPr>
        <w:t>The contents of this report do not necessarily reflect the views or policies of the UN Environment Programme, contributory organisations or editors. The designations employed and the presentations of material in this report do not imply the expression of any opinion whatsoever on the part of the UN Environment Programme or contributory organisations, editors or publishers concerning the legal status of any country, territory, city area or its authorities, or concerning the delimitation of its frontiers or boundaries or the designation of its name, frontiers or boundaries. The mention of a commercial entity or product in this publication does not imply endorsement by the UN Environment Programme.</w:t>
      </w:r>
    </w:p>
    <w:p w14:paraId="5B306255" w14:textId="77777777" w:rsidR="002D72AD" w:rsidRPr="002D72AD" w:rsidRDefault="002D72AD" w:rsidP="002D72AD">
      <w:pPr>
        <w:spacing w:after="0" w:line="240" w:lineRule="auto"/>
        <w:rPr>
          <w:rFonts w:ascii="Roboto" w:eastAsia="Calibri" w:hAnsi="Roboto" w:cs="Arial"/>
          <w:b/>
          <w:bCs/>
          <w:color w:val="FFFFFF"/>
          <w:kern w:val="2"/>
          <w:sz w:val="18"/>
          <w:szCs w:val="18"/>
          <w14:ligatures w14:val="standardContextual"/>
        </w:rPr>
      </w:pPr>
      <w:r w:rsidRPr="002D72AD">
        <w:rPr>
          <w:rFonts w:ascii="Roboto" w:eastAsia="Calibri" w:hAnsi="Roboto" w:cs="Arial"/>
          <w:b/>
          <w:bCs/>
          <w:color w:val="FFFFFF"/>
          <w:kern w:val="2"/>
          <w:sz w:val="18"/>
          <w:szCs w:val="18"/>
          <w14:ligatures w14:val="standardContextual"/>
        </w:rPr>
        <w:t xml:space="preserve">United Nations Environment Programme World Conservation </w:t>
      </w:r>
    </w:p>
    <w:p w14:paraId="6A3945FF" w14:textId="77777777" w:rsidR="002D72AD" w:rsidRPr="002D72AD" w:rsidRDefault="002D72AD" w:rsidP="002D72AD">
      <w:pPr>
        <w:spacing w:after="0" w:line="240" w:lineRule="auto"/>
        <w:rPr>
          <w:rFonts w:ascii="Roboto" w:eastAsia="Calibri" w:hAnsi="Roboto" w:cs="Arial"/>
          <w:b/>
          <w:bCs/>
          <w:color w:val="FFFFFF"/>
          <w:kern w:val="2"/>
          <w:sz w:val="18"/>
          <w:szCs w:val="18"/>
          <w14:ligatures w14:val="standardContextual"/>
        </w:rPr>
      </w:pPr>
      <w:r w:rsidRPr="002D72AD">
        <w:rPr>
          <w:rFonts w:ascii="Roboto" w:eastAsia="Calibri" w:hAnsi="Roboto" w:cs="Arial"/>
          <w:b/>
          <w:bCs/>
          <w:color w:val="FFFFFF"/>
          <w:kern w:val="2"/>
          <w:sz w:val="18"/>
          <w:szCs w:val="18"/>
          <w14:ligatures w14:val="standardContextual"/>
        </w:rPr>
        <w:t>Monitoring Centre (UNEP-WCMC)</w:t>
      </w:r>
    </w:p>
    <w:p w14:paraId="323F2FCA" w14:textId="77777777" w:rsidR="002D72AD" w:rsidRPr="002D72AD" w:rsidRDefault="002D72AD" w:rsidP="002D72AD">
      <w:pPr>
        <w:spacing w:after="0" w:line="240" w:lineRule="auto"/>
        <w:rPr>
          <w:rFonts w:ascii="Roboto" w:eastAsia="Calibri" w:hAnsi="Roboto" w:cs="Arial"/>
          <w:color w:val="FFFFFF"/>
          <w:kern w:val="2"/>
          <w:sz w:val="18"/>
          <w:szCs w:val="18"/>
          <w14:ligatures w14:val="standardContextual"/>
        </w:rPr>
      </w:pPr>
      <w:r w:rsidRPr="002D72AD">
        <w:rPr>
          <w:rFonts w:ascii="Roboto" w:eastAsia="Calibri" w:hAnsi="Roboto" w:cs="Arial"/>
          <w:color w:val="FFFFFF"/>
          <w:kern w:val="2"/>
          <w:sz w:val="18"/>
          <w:szCs w:val="18"/>
          <w14:ligatures w14:val="standardContextual"/>
        </w:rPr>
        <w:t>219 Huntingdon Road,</w:t>
      </w:r>
    </w:p>
    <w:p w14:paraId="3D191E4B" w14:textId="77777777" w:rsidR="002D72AD" w:rsidRPr="002D72AD" w:rsidRDefault="002D72AD" w:rsidP="002D72AD">
      <w:pPr>
        <w:spacing w:after="0" w:line="240" w:lineRule="auto"/>
        <w:rPr>
          <w:rFonts w:ascii="Roboto" w:eastAsia="Calibri" w:hAnsi="Roboto" w:cs="Arial"/>
          <w:color w:val="FFFFFF"/>
          <w:kern w:val="2"/>
          <w:sz w:val="18"/>
          <w:szCs w:val="18"/>
          <w14:ligatures w14:val="standardContextual"/>
        </w:rPr>
      </w:pPr>
      <w:r w:rsidRPr="002D72AD">
        <w:rPr>
          <w:rFonts w:ascii="Roboto" w:eastAsia="Calibri" w:hAnsi="Roboto" w:cs="Arial"/>
          <w:color w:val="FFFFFF"/>
          <w:kern w:val="2"/>
          <w:sz w:val="18"/>
          <w:szCs w:val="18"/>
          <w14:ligatures w14:val="standardContextual"/>
        </w:rPr>
        <w:t>Cambridge CB3 0DL, UK</w:t>
      </w:r>
    </w:p>
    <w:p w14:paraId="07ABE8C9" w14:textId="77777777" w:rsidR="002D72AD" w:rsidRPr="002D72AD" w:rsidRDefault="002D72AD" w:rsidP="002D72AD">
      <w:pPr>
        <w:spacing w:after="0" w:line="240" w:lineRule="auto"/>
        <w:rPr>
          <w:rFonts w:ascii="Roboto" w:eastAsia="Calibri" w:hAnsi="Roboto" w:cs="Arial"/>
          <w:color w:val="FFFFFF"/>
          <w:kern w:val="2"/>
          <w:sz w:val="18"/>
          <w:szCs w:val="18"/>
          <w14:ligatures w14:val="standardContextual"/>
        </w:rPr>
      </w:pPr>
      <w:r w:rsidRPr="002D72AD">
        <w:rPr>
          <w:rFonts w:ascii="Roboto" w:eastAsia="Calibri" w:hAnsi="Roboto" w:cs="Arial"/>
          <w:color w:val="FFFFFF"/>
          <w:kern w:val="2"/>
          <w:sz w:val="18"/>
          <w:szCs w:val="18"/>
          <w14:ligatures w14:val="standardContextual"/>
        </w:rPr>
        <w:t>Tel: +44 1223 277314 www.unep-wcmc.org</w:t>
      </w:r>
    </w:p>
    <w:p w14:paraId="690E09B6" w14:textId="77777777" w:rsidR="002D72AD" w:rsidRPr="002D72AD" w:rsidRDefault="002D72AD" w:rsidP="002D72AD">
      <w:pPr>
        <w:spacing w:after="0" w:line="240" w:lineRule="auto"/>
        <w:rPr>
          <w:rFonts w:ascii="Roboto" w:eastAsia="Calibri" w:hAnsi="Roboto" w:cs="Arial"/>
          <w:color w:val="FFFFFF"/>
          <w:kern w:val="2"/>
          <w:sz w:val="18"/>
          <w:szCs w:val="18"/>
          <w14:ligatures w14:val="standardContextual"/>
        </w:rPr>
      </w:pPr>
      <w:r w:rsidRPr="002D72AD">
        <w:rPr>
          <w:rFonts w:ascii="Roboto" w:eastAsia="Calibri" w:hAnsi="Roboto" w:cs="Arial"/>
          <w:color w:val="FFFFFF"/>
          <w:kern w:val="2"/>
          <w:sz w:val="18"/>
          <w:szCs w:val="18"/>
          <w14:ligatures w14:val="standardContextual"/>
        </w:rPr>
        <w:t>www.unep-wcmc.org</w:t>
      </w:r>
    </w:p>
    <w:p w14:paraId="5A9768C7" w14:textId="77777777" w:rsidR="002D72AD" w:rsidRPr="002D72AD" w:rsidRDefault="002D72AD" w:rsidP="002D72AD">
      <w:pPr>
        <w:tabs>
          <w:tab w:val="left" w:pos="5715"/>
        </w:tabs>
        <w:spacing w:after="0" w:line="240" w:lineRule="auto"/>
        <w:rPr>
          <w:rFonts w:ascii="Roboto" w:eastAsia="Calibri" w:hAnsi="Roboto" w:cs="Arial"/>
          <w:b/>
          <w:bCs/>
          <w:kern w:val="2"/>
          <w:sz w:val="24"/>
          <w:szCs w:val="24"/>
          <w14:ligatures w14:val="standardContextual"/>
        </w:rPr>
      </w:pPr>
    </w:p>
    <w:p w14:paraId="7D9B7614" w14:textId="77777777" w:rsidR="002D72AD" w:rsidRPr="002D72AD" w:rsidRDefault="002D72AD" w:rsidP="002D72AD">
      <w:pPr>
        <w:spacing w:after="0" w:line="256" w:lineRule="auto"/>
        <w:rPr>
          <w:rFonts w:ascii="Roboto" w:eastAsia="Calibri" w:hAnsi="Roboto" w:cs="Arial"/>
          <w:sz w:val="24"/>
          <w:szCs w:val="24"/>
        </w:rPr>
        <w:sectPr w:rsidR="002D72AD" w:rsidRPr="002D72AD" w:rsidSect="002D72AD">
          <w:pgSz w:w="11906" w:h="16838"/>
          <w:pgMar w:top="1440" w:right="1440" w:bottom="1440" w:left="1440" w:header="708" w:footer="708" w:gutter="0"/>
          <w:pgNumType w:fmt="lowerRoman"/>
          <w:cols w:space="720"/>
        </w:sectPr>
      </w:pPr>
    </w:p>
    <w:p w14:paraId="09AF68B6" w14:textId="77777777" w:rsidR="002D72AD" w:rsidRPr="000F2FBE" w:rsidRDefault="002D72AD" w:rsidP="00C82977">
      <w:pPr>
        <w:rPr>
          <w:rFonts w:cs="Arial"/>
          <w:b/>
        </w:rPr>
      </w:pPr>
      <w:r w:rsidRPr="000F2FBE">
        <w:rPr>
          <w:rFonts w:cs="Arial"/>
          <w:b/>
        </w:rPr>
        <w:lastRenderedPageBreak/>
        <w:t>Contents</w:t>
      </w:r>
    </w:p>
    <w:p w14:paraId="2950CA23" w14:textId="19EBFC90" w:rsidR="00C82977" w:rsidRPr="000F2FBE" w:rsidRDefault="00C82977" w:rsidP="00C82977">
      <w:pPr>
        <w:pStyle w:val="TOC1"/>
        <w:tabs>
          <w:tab w:val="right" w:leader="dot" w:pos="9016"/>
        </w:tabs>
        <w:rPr>
          <w:rFonts w:ascii="Arial" w:eastAsiaTheme="minorEastAsia" w:hAnsi="Arial"/>
          <w:noProof/>
          <w:lang w:eastAsia="en-GB"/>
        </w:rPr>
      </w:pPr>
      <w:r w:rsidRPr="000F2FBE">
        <w:rPr>
          <w:rFonts w:ascii="Arial" w:hAnsi="Arial"/>
          <w:color w:val="003870"/>
        </w:rPr>
        <w:fldChar w:fldCharType="begin"/>
      </w:r>
      <w:r w:rsidRPr="000F2FBE">
        <w:rPr>
          <w:rFonts w:ascii="Arial" w:hAnsi="Arial"/>
          <w:color w:val="003870"/>
        </w:rPr>
        <w:instrText xml:space="preserve"> TOC \o "1-1" \h \z \u </w:instrText>
      </w:r>
      <w:r w:rsidRPr="000F2FBE">
        <w:rPr>
          <w:rFonts w:ascii="Arial" w:hAnsi="Arial"/>
          <w:color w:val="003870"/>
        </w:rPr>
        <w:fldChar w:fldCharType="separate"/>
      </w:r>
      <w:hyperlink w:anchor="_Toc210914218" w:history="1">
        <w:r w:rsidRPr="000F2FBE">
          <w:rPr>
            <w:rStyle w:val="Hyperlink"/>
            <w:rFonts w:ascii="Arial" w:hAnsi="Arial"/>
            <w:noProof/>
          </w:rPr>
          <w:t>Executive Summary</w:t>
        </w:r>
        <w:r w:rsidRPr="000F2FBE">
          <w:rPr>
            <w:rFonts w:ascii="Arial" w:hAnsi="Arial"/>
            <w:noProof/>
            <w:webHidden/>
          </w:rPr>
          <w:tab/>
        </w:r>
        <w:r w:rsidRPr="000F2FBE">
          <w:rPr>
            <w:rFonts w:ascii="Arial" w:hAnsi="Arial"/>
            <w:noProof/>
            <w:webHidden/>
          </w:rPr>
          <w:fldChar w:fldCharType="begin"/>
        </w:r>
        <w:r w:rsidRPr="000F2FBE">
          <w:rPr>
            <w:rFonts w:ascii="Arial" w:hAnsi="Arial"/>
            <w:noProof/>
            <w:webHidden/>
          </w:rPr>
          <w:instrText xml:space="preserve"> PAGEREF _Toc210914218 \h </w:instrText>
        </w:r>
        <w:r w:rsidRPr="000F2FBE">
          <w:rPr>
            <w:rFonts w:ascii="Arial" w:hAnsi="Arial"/>
            <w:noProof/>
            <w:webHidden/>
          </w:rPr>
        </w:r>
        <w:r w:rsidRPr="000F2FBE">
          <w:rPr>
            <w:rFonts w:ascii="Arial" w:hAnsi="Arial"/>
            <w:noProof/>
            <w:webHidden/>
          </w:rPr>
          <w:fldChar w:fldCharType="separate"/>
        </w:r>
        <w:r w:rsidR="00AC1A0B">
          <w:rPr>
            <w:rFonts w:ascii="Arial" w:hAnsi="Arial"/>
            <w:noProof/>
            <w:webHidden/>
          </w:rPr>
          <w:t>v</w:t>
        </w:r>
        <w:r w:rsidRPr="000F2FBE">
          <w:rPr>
            <w:rFonts w:ascii="Arial" w:hAnsi="Arial"/>
            <w:noProof/>
            <w:webHidden/>
          </w:rPr>
          <w:fldChar w:fldCharType="end"/>
        </w:r>
      </w:hyperlink>
    </w:p>
    <w:p w14:paraId="1B676726" w14:textId="24E53967" w:rsidR="00C82977" w:rsidRPr="000F2FBE" w:rsidRDefault="00C82977" w:rsidP="00C82977">
      <w:pPr>
        <w:pStyle w:val="TOC1"/>
        <w:tabs>
          <w:tab w:val="right" w:leader="dot" w:pos="9016"/>
        </w:tabs>
        <w:rPr>
          <w:rFonts w:ascii="Arial" w:eastAsiaTheme="minorEastAsia" w:hAnsi="Arial"/>
          <w:noProof/>
          <w:lang w:eastAsia="en-GB"/>
        </w:rPr>
      </w:pPr>
      <w:hyperlink w:anchor="_Toc210914219" w:history="1">
        <w:r w:rsidRPr="000F2FBE">
          <w:rPr>
            <w:rStyle w:val="Hyperlink"/>
            <w:rFonts w:ascii="Arial" w:hAnsi="Arial"/>
            <w:noProof/>
          </w:rPr>
          <w:t>Introduction</w:t>
        </w:r>
        <w:r w:rsidRPr="000F2FBE">
          <w:rPr>
            <w:rFonts w:ascii="Arial" w:hAnsi="Arial"/>
            <w:noProof/>
            <w:webHidden/>
          </w:rPr>
          <w:tab/>
        </w:r>
        <w:r w:rsidRPr="000F2FBE">
          <w:rPr>
            <w:rFonts w:ascii="Arial" w:hAnsi="Arial"/>
            <w:noProof/>
            <w:webHidden/>
          </w:rPr>
          <w:fldChar w:fldCharType="begin"/>
        </w:r>
        <w:r w:rsidRPr="000F2FBE">
          <w:rPr>
            <w:rFonts w:ascii="Arial" w:hAnsi="Arial"/>
            <w:noProof/>
            <w:webHidden/>
          </w:rPr>
          <w:instrText xml:space="preserve"> PAGEREF _Toc210914219 \h </w:instrText>
        </w:r>
        <w:r w:rsidRPr="000F2FBE">
          <w:rPr>
            <w:rFonts w:ascii="Arial" w:hAnsi="Arial"/>
            <w:noProof/>
            <w:webHidden/>
          </w:rPr>
        </w:r>
        <w:r w:rsidRPr="000F2FBE">
          <w:rPr>
            <w:rFonts w:ascii="Arial" w:hAnsi="Arial"/>
            <w:noProof/>
            <w:webHidden/>
          </w:rPr>
          <w:fldChar w:fldCharType="separate"/>
        </w:r>
        <w:r w:rsidR="00AC1A0B">
          <w:rPr>
            <w:rFonts w:ascii="Arial" w:hAnsi="Arial"/>
            <w:noProof/>
            <w:webHidden/>
          </w:rPr>
          <w:t>1</w:t>
        </w:r>
        <w:r w:rsidRPr="000F2FBE">
          <w:rPr>
            <w:rFonts w:ascii="Arial" w:hAnsi="Arial"/>
            <w:noProof/>
            <w:webHidden/>
          </w:rPr>
          <w:fldChar w:fldCharType="end"/>
        </w:r>
      </w:hyperlink>
    </w:p>
    <w:p w14:paraId="68ECECC0" w14:textId="5C3475D8" w:rsidR="00C82977" w:rsidRPr="000F2FBE" w:rsidRDefault="00C82977" w:rsidP="00C82977">
      <w:pPr>
        <w:pStyle w:val="TOC1"/>
        <w:tabs>
          <w:tab w:val="left" w:pos="440"/>
          <w:tab w:val="right" w:leader="dot" w:pos="9016"/>
        </w:tabs>
        <w:rPr>
          <w:rFonts w:ascii="Arial" w:eastAsiaTheme="minorEastAsia" w:hAnsi="Arial"/>
          <w:noProof/>
          <w:lang w:eastAsia="en-GB"/>
        </w:rPr>
      </w:pPr>
      <w:hyperlink w:anchor="_Toc210914220" w:history="1">
        <w:r w:rsidRPr="000F2FBE">
          <w:rPr>
            <w:rStyle w:val="Hyperlink"/>
            <w:rFonts w:ascii="Arial" w:hAnsi="Arial"/>
            <w:noProof/>
          </w:rPr>
          <w:t>1.</w:t>
        </w:r>
        <w:r w:rsidRPr="000F2FBE">
          <w:rPr>
            <w:rFonts w:ascii="Arial" w:eastAsiaTheme="minorEastAsia" w:hAnsi="Arial"/>
            <w:noProof/>
            <w:lang w:eastAsia="en-GB"/>
          </w:rPr>
          <w:tab/>
        </w:r>
        <w:r w:rsidRPr="000F2FBE">
          <w:rPr>
            <w:rStyle w:val="Hyperlink"/>
            <w:rFonts w:ascii="Arial" w:hAnsi="Arial"/>
            <w:noProof/>
          </w:rPr>
          <w:t>Changes in the conservation status of CMS-listed species</w:t>
        </w:r>
        <w:r w:rsidRPr="000F2FBE">
          <w:rPr>
            <w:rFonts w:ascii="Arial" w:hAnsi="Arial"/>
            <w:noProof/>
            <w:webHidden/>
          </w:rPr>
          <w:tab/>
        </w:r>
        <w:r w:rsidRPr="000F2FBE">
          <w:rPr>
            <w:rFonts w:ascii="Arial" w:hAnsi="Arial"/>
            <w:noProof/>
            <w:webHidden/>
          </w:rPr>
          <w:fldChar w:fldCharType="begin"/>
        </w:r>
        <w:r w:rsidRPr="000F2FBE">
          <w:rPr>
            <w:rFonts w:ascii="Arial" w:hAnsi="Arial"/>
            <w:noProof/>
            <w:webHidden/>
          </w:rPr>
          <w:instrText xml:space="preserve"> PAGEREF _Toc210914220 \h </w:instrText>
        </w:r>
        <w:r w:rsidRPr="000F2FBE">
          <w:rPr>
            <w:rFonts w:ascii="Arial" w:hAnsi="Arial"/>
            <w:noProof/>
            <w:webHidden/>
          </w:rPr>
        </w:r>
        <w:r w:rsidRPr="000F2FBE">
          <w:rPr>
            <w:rFonts w:ascii="Arial" w:hAnsi="Arial"/>
            <w:noProof/>
            <w:webHidden/>
          </w:rPr>
          <w:fldChar w:fldCharType="separate"/>
        </w:r>
        <w:r w:rsidR="00AC1A0B">
          <w:rPr>
            <w:rFonts w:ascii="Arial" w:hAnsi="Arial"/>
            <w:noProof/>
            <w:webHidden/>
          </w:rPr>
          <w:t>2</w:t>
        </w:r>
        <w:r w:rsidRPr="000F2FBE">
          <w:rPr>
            <w:rFonts w:ascii="Arial" w:hAnsi="Arial"/>
            <w:noProof/>
            <w:webHidden/>
          </w:rPr>
          <w:fldChar w:fldCharType="end"/>
        </w:r>
      </w:hyperlink>
    </w:p>
    <w:p w14:paraId="64437AAF" w14:textId="1D49C7A6" w:rsidR="00C82977" w:rsidRPr="000F2FBE" w:rsidRDefault="00C82977" w:rsidP="00C82977">
      <w:pPr>
        <w:pStyle w:val="TOC1"/>
        <w:tabs>
          <w:tab w:val="left" w:pos="440"/>
          <w:tab w:val="right" w:leader="dot" w:pos="9016"/>
        </w:tabs>
        <w:rPr>
          <w:rFonts w:ascii="Arial" w:eastAsiaTheme="minorEastAsia" w:hAnsi="Arial"/>
          <w:noProof/>
          <w:lang w:eastAsia="en-GB"/>
        </w:rPr>
      </w:pPr>
      <w:hyperlink w:anchor="_Toc210914221" w:history="1">
        <w:r w:rsidRPr="000F2FBE">
          <w:rPr>
            <w:rStyle w:val="Hyperlink"/>
            <w:rFonts w:ascii="Arial" w:hAnsi="Arial"/>
            <w:noProof/>
          </w:rPr>
          <w:t>2.</w:t>
        </w:r>
        <w:r w:rsidRPr="000F2FBE">
          <w:rPr>
            <w:rFonts w:ascii="Arial" w:eastAsiaTheme="minorEastAsia" w:hAnsi="Arial"/>
            <w:noProof/>
            <w:lang w:eastAsia="en-GB"/>
          </w:rPr>
          <w:tab/>
        </w:r>
        <w:r w:rsidRPr="000F2FBE">
          <w:rPr>
            <w:rStyle w:val="Hyperlink"/>
            <w:rFonts w:ascii="Arial" w:hAnsi="Arial"/>
            <w:noProof/>
          </w:rPr>
          <w:t>Spotlight on recently reported population changes</w:t>
        </w:r>
        <w:r w:rsidRPr="000F2FBE">
          <w:rPr>
            <w:rFonts w:ascii="Arial" w:hAnsi="Arial"/>
            <w:noProof/>
            <w:webHidden/>
          </w:rPr>
          <w:tab/>
        </w:r>
        <w:r w:rsidRPr="000F2FBE">
          <w:rPr>
            <w:rFonts w:ascii="Arial" w:hAnsi="Arial"/>
            <w:noProof/>
            <w:webHidden/>
          </w:rPr>
          <w:fldChar w:fldCharType="begin"/>
        </w:r>
        <w:r w:rsidRPr="000F2FBE">
          <w:rPr>
            <w:rFonts w:ascii="Arial" w:hAnsi="Arial"/>
            <w:noProof/>
            <w:webHidden/>
          </w:rPr>
          <w:instrText xml:space="preserve"> PAGEREF _Toc210914221 \h </w:instrText>
        </w:r>
        <w:r w:rsidRPr="000F2FBE">
          <w:rPr>
            <w:rFonts w:ascii="Arial" w:hAnsi="Arial"/>
            <w:noProof/>
            <w:webHidden/>
          </w:rPr>
        </w:r>
        <w:r w:rsidRPr="000F2FBE">
          <w:rPr>
            <w:rFonts w:ascii="Arial" w:hAnsi="Arial"/>
            <w:noProof/>
            <w:webHidden/>
          </w:rPr>
          <w:fldChar w:fldCharType="separate"/>
        </w:r>
        <w:r w:rsidR="00AC1A0B">
          <w:rPr>
            <w:rFonts w:ascii="Arial" w:hAnsi="Arial"/>
            <w:noProof/>
            <w:webHidden/>
          </w:rPr>
          <w:t>6</w:t>
        </w:r>
        <w:r w:rsidRPr="000F2FBE">
          <w:rPr>
            <w:rFonts w:ascii="Arial" w:hAnsi="Arial"/>
            <w:noProof/>
            <w:webHidden/>
          </w:rPr>
          <w:fldChar w:fldCharType="end"/>
        </w:r>
      </w:hyperlink>
    </w:p>
    <w:p w14:paraId="0BC66BDC" w14:textId="7B253434" w:rsidR="00C82977" w:rsidRPr="000F2FBE" w:rsidRDefault="00C82977" w:rsidP="00C82977">
      <w:pPr>
        <w:pStyle w:val="TOC1"/>
        <w:tabs>
          <w:tab w:val="left" w:pos="440"/>
          <w:tab w:val="right" w:leader="dot" w:pos="9016"/>
        </w:tabs>
        <w:rPr>
          <w:rFonts w:ascii="Arial" w:eastAsiaTheme="minorEastAsia" w:hAnsi="Arial"/>
          <w:noProof/>
          <w:lang w:eastAsia="en-GB"/>
        </w:rPr>
      </w:pPr>
      <w:hyperlink w:anchor="_Toc210914222" w:history="1">
        <w:r w:rsidRPr="000F2FBE">
          <w:rPr>
            <w:rStyle w:val="Hyperlink"/>
            <w:rFonts w:ascii="Arial" w:hAnsi="Arial"/>
            <w:noProof/>
          </w:rPr>
          <w:t>3.</w:t>
        </w:r>
        <w:r w:rsidRPr="000F2FBE">
          <w:rPr>
            <w:rFonts w:ascii="Arial" w:eastAsiaTheme="minorEastAsia" w:hAnsi="Arial"/>
            <w:noProof/>
            <w:lang w:eastAsia="en-GB"/>
          </w:rPr>
          <w:tab/>
        </w:r>
        <w:r w:rsidRPr="000F2FBE">
          <w:rPr>
            <w:rStyle w:val="Hyperlink"/>
            <w:rFonts w:ascii="Arial" w:hAnsi="Arial"/>
            <w:noProof/>
          </w:rPr>
          <w:t>Progress identifying and protecting important habitats for CMS-listed species</w:t>
        </w:r>
        <w:r w:rsidRPr="000F2FBE">
          <w:rPr>
            <w:rFonts w:ascii="Arial" w:hAnsi="Arial"/>
            <w:noProof/>
            <w:webHidden/>
          </w:rPr>
          <w:tab/>
        </w:r>
        <w:r w:rsidRPr="000F2FBE">
          <w:rPr>
            <w:rFonts w:ascii="Arial" w:hAnsi="Arial"/>
            <w:noProof/>
            <w:webHidden/>
          </w:rPr>
          <w:fldChar w:fldCharType="begin"/>
        </w:r>
        <w:r w:rsidRPr="000F2FBE">
          <w:rPr>
            <w:rFonts w:ascii="Arial" w:hAnsi="Arial"/>
            <w:noProof/>
            <w:webHidden/>
          </w:rPr>
          <w:instrText xml:space="preserve"> PAGEREF _Toc210914222 \h </w:instrText>
        </w:r>
        <w:r w:rsidRPr="000F2FBE">
          <w:rPr>
            <w:rFonts w:ascii="Arial" w:hAnsi="Arial"/>
            <w:noProof/>
            <w:webHidden/>
          </w:rPr>
        </w:r>
        <w:r w:rsidRPr="000F2FBE">
          <w:rPr>
            <w:rFonts w:ascii="Arial" w:hAnsi="Arial"/>
            <w:noProof/>
            <w:webHidden/>
          </w:rPr>
          <w:fldChar w:fldCharType="separate"/>
        </w:r>
        <w:r w:rsidR="00AC1A0B">
          <w:rPr>
            <w:rFonts w:ascii="Arial" w:hAnsi="Arial"/>
            <w:noProof/>
            <w:webHidden/>
          </w:rPr>
          <w:t>12</w:t>
        </w:r>
        <w:r w:rsidRPr="000F2FBE">
          <w:rPr>
            <w:rFonts w:ascii="Arial" w:hAnsi="Arial"/>
            <w:noProof/>
            <w:webHidden/>
          </w:rPr>
          <w:fldChar w:fldCharType="end"/>
        </w:r>
      </w:hyperlink>
    </w:p>
    <w:p w14:paraId="56249A0E" w14:textId="7C906F7F" w:rsidR="00C82977" w:rsidRPr="000F2FBE" w:rsidRDefault="00C82977" w:rsidP="00C82977">
      <w:pPr>
        <w:pStyle w:val="TOC1"/>
        <w:tabs>
          <w:tab w:val="left" w:pos="440"/>
          <w:tab w:val="right" w:leader="dot" w:pos="9016"/>
        </w:tabs>
        <w:rPr>
          <w:rFonts w:ascii="Arial" w:eastAsiaTheme="minorEastAsia" w:hAnsi="Arial"/>
          <w:noProof/>
          <w:lang w:eastAsia="en-GB"/>
        </w:rPr>
      </w:pPr>
      <w:hyperlink w:anchor="_Toc210914223" w:history="1">
        <w:r w:rsidRPr="000F2FBE">
          <w:rPr>
            <w:rStyle w:val="Hyperlink"/>
            <w:rFonts w:ascii="Arial" w:hAnsi="Arial"/>
            <w:noProof/>
          </w:rPr>
          <w:t>4.</w:t>
        </w:r>
        <w:r w:rsidRPr="000F2FBE">
          <w:rPr>
            <w:rFonts w:ascii="Arial" w:eastAsiaTheme="minorEastAsia" w:hAnsi="Arial"/>
            <w:noProof/>
            <w:lang w:eastAsia="en-GB"/>
          </w:rPr>
          <w:tab/>
        </w:r>
        <w:r w:rsidRPr="000F2FBE">
          <w:rPr>
            <w:rStyle w:val="Hyperlink"/>
            <w:rFonts w:ascii="Arial" w:hAnsi="Arial"/>
            <w:noProof/>
          </w:rPr>
          <w:t>Recent progress mapping migratory pathways</w:t>
        </w:r>
        <w:r w:rsidRPr="000F2FBE">
          <w:rPr>
            <w:rFonts w:ascii="Arial" w:hAnsi="Arial"/>
            <w:noProof/>
            <w:webHidden/>
          </w:rPr>
          <w:tab/>
        </w:r>
        <w:r w:rsidRPr="000F2FBE">
          <w:rPr>
            <w:rFonts w:ascii="Arial" w:hAnsi="Arial"/>
            <w:noProof/>
            <w:webHidden/>
          </w:rPr>
          <w:fldChar w:fldCharType="begin"/>
        </w:r>
        <w:r w:rsidRPr="000F2FBE">
          <w:rPr>
            <w:rFonts w:ascii="Arial" w:hAnsi="Arial"/>
            <w:noProof/>
            <w:webHidden/>
          </w:rPr>
          <w:instrText xml:space="preserve"> PAGEREF _Toc210914223 \h </w:instrText>
        </w:r>
        <w:r w:rsidRPr="000F2FBE">
          <w:rPr>
            <w:rFonts w:ascii="Arial" w:hAnsi="Arial"/>
            <w:noProof/>
            <w:webHidden/>
          </w:rPr>
        </w:r>
        <w:r w:rsidRPr="000F2FBE">
          <w:rPr>
            <w:rFonts w:ascii="Arial" w:hAnsi="Arial"/>
            <w:noProof/>
            <w:webHidden/>
          </w:rPr>
          <w:fldChar w:fldCharType="separate"/>
        </w:r>
        <w:r w:rsidR="00AC1A0B">
          <w:rPr>
            <w:rFonts w:ascii="Arial" w:hAnsi="Arial"/>
            <w:noProof/>
            <w:webHidden/>
          </w:rPr>
          <w:t>17</w:t>
        </w:r>
        <w:r w:rsidRPr="000F2FBE">
          <w:rPr>
            <w:rFonts w:ascii="Arial" w:hAnsi="Arial"/>
            <w:noProof/>
            <w:webHidden/>
          </w:rPr>
          <w:fldChar w:fldCharType="end"/>
        </w:r>
      </w:hyperlink>
    </w:p>
    <w:p w14:paraId="553701B2" w14:textId="74CBA701" w:rsidR="00C82977" w:rsidRPr="000F2FBE" w:rsidRDefault="00C82977" w:rsidP="00C82977">
      <w:pPr>
        <w:pStyle w:val="TOC1"/>
        <w:tabs>
          <w:tab w:val="right" w:leader="dot" w:pos="9016"/>
        </w:tabs>
        <w:rPr>
          <w:rFonts w:ascii="Arial" w:eastAsiaTheme="minorEastAsia" w:hAnsi="Arial"/>
          <w:noProof/>
          <w:lang w:eastAsia="en-GB"/>
        </w:rPr>
      </w:pPr>
      <w:hyperlink w:anchor="_Toc210914224" w:history="1">
        <w:r w:rsidRPr="000F2FBE">
          <w:rPr>
            <w:rStyle w:val="Hyperlink"/>
            <w:rFonts w:ascii="Arial" w:hAnsi="Arial"/>
            <w:noProof/>
          </w:rPr>
          <w:t>Conclusion</w:t>
        </w:r>
        <w:r w:rsidRPr="000F2FBE">
          <w:rPr>
            <w:rFonts w:ascii="Arial" w:hAnsi="Arial"/>
            <w:noProof/>
            <w:webHidden/>
          </w:rPr>
          <w:tab/>
        </w:r>
        <w:r w:rsidRPr="000F2FBE">
          <w:rPr>
            <w:rFonts w:ascii="Arial" w:hAnsi="Arial"/>
            <w:noProof/>
            <w:webHidden/>
          </w:rPr>
          <w:fldChar w:fldCharType="begin"/>
        </w:r>
        <w:r w:rsidRPr="000F2FBE">
          <w:rPr>
            <w:rFonts w:ascii="Arial" w:hAnsi="Arial"/>
            <w:noProof/>
            <w:webHidden/>
          </w:rPr>
          <w:instrText xml:space="preserve"> PAGEREF _Toc210914224 \h </w:instrText>
        </w:r>
        <w:r w:rsidRPr="000F2FBE">
          <w:rPr>
            <w:rFonts w:ascii="Arial" w:hAnsi="Arial"/>
            <w:noProof/>
            <w:webHidden/>
          </w:rPr>
        </w:r>
        <w:r w:rsidRPr="000F2FBE">
          <w:rPr>
            <w:rFonts w:ascii="Arial" w:hAnsi="Arial"/>
            <w:noProof/>
            <w:webHidden/>
          </w:rPr>
          <w:fldChar w:fldCharType="separate"/>
        </w:r>
        <w:r w:rsidR="00AC1A0B">
          <w:rPr>
            <w:rFonts w:ascii="Arial" w:hAnsi="Arial"/>
            <w:noProof/>
            <w:webHidden/>
          </w:rPr>
          <w:t>21</w:t>
        </w:r>
        <w:r w:rsidRPr="000F2FBE">
          <w:rPr>
            <w:rFonts w:ascii="Arial" w:hAnsi="Arial"/>
            <w:noProof/>
            <w:webHidden/>
          </w:rPr>
          <w:fldChar w:fldCharType="end"/>
        </w:r>
      </w:hyperlink>
    </w:p>
    <w:p w14:paraId="3A48F81C" w14:textId="0A45936C" w:rsidR="00C82977" w:rsidRPr="000F2FBE" w:rsidRDefault="00C82977" w:rsidP="00C82977">
      <w:pPr>
        <w:pStyle w:val="TOC1"/>
        <w:tabs>
          <w:tab w:val="right" w:leader="dot" w:pos="9016"/>
        </w:tabs>
        <w:rPr>
          <w:rFonts w:ascii="Arial" w:eastAsiaTheme="minorEastAsia" w:hAnsi="Arial"/>
          <w:noProof/>
          <w:lang w:eastAsia="en-GB"/>
        </w:rPr>
      </w:pPr>
      <w:hyperlink w:anchor="_Toc210914225" w:history="1">
        <w:r w:rsidRPr="000F2FBE">
          <w:rPr>
            <w:rStyle w:val="Hyperlink"/>
            <w:rFonts w:ascii="Arial" w:hAnsi="Arial"/>
            <w:noProof/>
          </w:rPr>
          <w:t>Appendix</w:t>
        </w:r>
        <w:r w:rsidRPr="000F2FBE">
          <w:rPr>
            <w:rFonts w:ascii="Arial" w:hAnsi="Arial"/>
            <w:noProof/>
            <w:webHidden/>
          </w:rPr>
          <w:tab/>
        </w:r>
        <w:r w:rsidRPr="000F2FBE">
          <w:rPr>
            <w:rFonts w:ascii="Arial" w:hAnsi="Arial"/>
            <w:noProof/>
            <w:webHidden/>
          </w:rPr>
          <w:fldChar w:fldCharType="begin"/>
        </w:r>
        <w:r w:rsidRPr="000F2FBE">
          <w:rPr>
            <w:rFonts w:ascii="Arial" w:hAnsi="Arial"/>
            <w:noProof/>
            <w:webHidden/>
          </w:rPr>
          <w:instrText xml:space="preserve"> PAGEREF _Toc210914225 \h </w:instrText>
        </w:r>
        <w:r w:rsidRPr="000F2FBE">
          <w:rPr>
            <w:rFonts w:ascii="Arial" w:hAnsi="Arial"/>
            <w:noProof/>
            <w:webHidden/>
          </w:rPr>
        </w:r>
        <w:r w:rsidRPr="000F2FBE">
          <w:rPr>
            <w:rFonts w:ascii="Arial" w:hAnsi="Arial"/>
            <w:noProof/>
            <w:webHidden/>
          </w:rPr>
          <w:fldChar w:fldCharType="separate"/>
        </w:r>
        <w:r w:rsidR="00AC1A0B">
          <w:rPr>
            <w:rFonts w:ascii="Arial" w:hAnsi="Arial"/>
            <w:noProof/>
            <w:webHidden/>
          </w:rPr>
          <w:t>22</w:t>
        </w:r>
        <w:r w:rsidRPr="000F2FBE">
          <w:rPr>
            <w:rFonts w:ascii="Arial" w:hAnsi="Arial"/>
            <w:noProof/>
            <w:webHidden/>
          </w:rPr>
          <w:fldChar w:fldCharType="end"/>
        </w:r>
      </w:hyperlink>
    </w:p>
    <w:p w14:paraId="1C6319F9" w14:textId="5B1728BE" w:rsidR="00C82977" w:rsidRPr="000F2FBE" w:rsidRDefault="00C82977" w:rsidP="00C82977">
      <w:pPr>
        <w:pStyle w:val="TOC1"/>
        <w:tabs>
          <w:tab w:val="right" w:leader="dot" w:pos="9016"/>
        </w:tabs>
        <w:rPr>
          <w:rFonts w:ascii="Arial" w:eastAsiaTheme="minorEastAsia" w:hAnsi="Arial"/>
          <w:noProof/>
          <w:lang w:eastAsia="en-GB"/>
        </w:rPr>
      </w:pPr>
      <w:hyperlink w:anchor="_Toc210914226" w:history="1">
        <w:r w:rsidRPr="000F2FBE">
          <w:rPr>
            <w:rStyle w:val="Hyperlink"/>
            <w:rFonts w:ascii="Arial" w:hAnsi="Arial"/>
            <w:noProof/>
          </w:rPr>
          <w:t>References</w:t>
        </w:r>
        <w:r w:rsidRPr="000F2FBE">
          <w:rPr>
            <w:rFonts w:ascii="Arial" w:hAnsi="Arial"/>
            <w:noProof/>
            <w:webHidden/>
          </w:rPr>
          <w:tab/>
        </w:r>
        <w:r w:rsidRPr="000F2FBE">
          <w:rPr>
            <w:rFonts w:ascii="Arial" w:hAnsi="Arial"/>
            <w:noProof/>
            <w:webHidden/>
          </w:rPr>
          <w:fldChar w:fldCharType="begin"/>
        </w:r>
        <w:r w:rsidRPr="000F2FBE">
          <w:rPr>
            <w:rFonts w:ascii="Arial" w:hAnsi="Arial"/>
            <w:noProof/>
            <w:webHidden/>
          </w:rPr>
          <w:instrText xml:space="preserve"> PAGEREF _Toc210914226 \h </w:instrText>
        </w:r>
        <w:r w:rsidRPr="000F2FBE">
          <w:rPr>
            <w:rFonts w:ascii="Arial" w:hAnsi="Arial"/>
            <w:noProof/>
            <w:webHidden/>
          </w:rPr>
        </w:r>
        <w:r w:rsidRPr="000F2FBE">
          <w:rPr>
            <w:rFonts w:ascii="Arial" w:hAnsi="Arial"/>
            <w:noProof/>
            <w:webHidden/>
          </w:rPr>
          <w:fldChar w:fldCharType="separate"/>
        </w:r>
        <w:r w:rsidR="00AC1A0B">
          <w:rPr>
            <w:rFonts w:ascii="Arial" w:hAnsi="Arial"/>
            <w:noProof/>
            <w:webHidden/>
          </w:rPr>
          <w:t>24</w:t>
        </w:r>
        <w:r w:rsidRPr="000F2FBE">
          <w:rPr>
            <w:rFonts w:ascii="Arial" w:hAnsi="Arial"/>
            <w:noProof/>
            <w:webHidden/>
          </w:rPr>
          <w:fldChar w:fldCharType="end"/>
        </w:r>
      </w:hyperlink>
    </w:p>
    <w:p w14:paraId="20E82A18" w14:textId="77777777" w:rsidR="002D72AD" w:rsidRPr="00C83544" w:rsidRDefault="00C82977" w:rsidP="00C82977">
      <w:pPr>
        <w:rPr>
          <w:rFonts w:ascii="Roboto" w:hAnsi="Roboto"/>
          <w:color w:val="003870"/>
        </w:rPr>
      </w:pPr>
      <w:r w:rsidRPr="000F2FBE">
        <w:rPr>
          <w:rFonts w:cs="Arial"/>
          <w:color w:val="003870"/>
        </w:rPr>
        <w:fldChar w:fldCharType="end"/>
      </w:r>
    </w:p>
    <w:p w14:paraId="05A39CE2" w14:textId="77777777" w:rsidR="002D72AD" w:rsidRPr="00DC79A2" w:rsidRDefault="002D72AD" w:rsidP="00DC79A2">
      <w:pPr>
        <w:spacing w:after="0" w:line="240" w:lineRule="auto"/>
        <w:jc w:val="both"/>
        <w:rPr>
          <w:rFonts w:cs="Arial"/>
          <w:b/>
          <w:color w:val="003870"/>
        </w:rPr>
      </w:pPr>
    </w:p>
    <w:p w14:paraId="70C64C7C" w14:textId="77777777" w:rsidR="002D72AD" w:rsidRPr="00DC79A2" w:rsidRDefault="002D72AD" w:rsidP="00DC79A2">
      <w:pPr>
        <w:spacing w:after="0" w:line="240" w:lineRule="auto"/>
        <w:jc w:val="both"/>
        <w:rPr>
          <w:rFonts w:cs="Arial"/>
          <w:b/>
          <w:color w:val="003870"/>
        </w:rPr>
        <w:sectPr w:rsidR="002D72AD" w:rsidRPr="00DC79A2" w:rsidSect="00D95944">
          <w:footerReference w:type="even" r:id="rId24"/>
          <w:pgSz w:w="11906" w:h="16838"/>
          <w:pgMar w:top="1440" w:right="1440" w:bottom="1440" w:left="1440" w:header="708" w:footer="708" w:gutter="0"/>
          <w:pgNumType w:fmt="lowerRoman" w:start="4"/>
          <w:cols w:space="708"/>
          <w:docGrid w:linePitch="360"/>
        </w:sectPr>
      </w:pPr>
    </w:p>
    <w:p w14:paraId="02712EB5" w14:textId="77777777" w:rsidR="002D72AD" w:rsidRPr="00DC79A2" w:rsidRDefault="002D72AD" w:rsidP="003A750B">
      <w:pPr>
        <w:pStyle w:val="Heading1"/>
        <w:spacing w:before="0" w:line="240" w:lineRule="auto"/>
        <w:jc w:val="both"/>
        <w:rPr>
          <w:rFonts w:ascii="Arial" w:hAnsi="Arial" w:cs="Arial"/>
          <w:b/>
          <w:color w:val="auto"/>
          <w:sz w:val="22"/>
          <w:szCs w:val="22"/>
        </w:rPr>
      </w:pPr>
      <w:bookmarkStart w:id="0" w:name="_Toc210914218"/>
      <w:r w:rsidRPr="00DC79A2">
        <w:rPr>
          <w:rFonts w:ascii="Arial" w:hAnsi="Arial" w:cs="Arial"/>
          <w:b/>
          <w:color w:val="auto"/>
          <w:sz w:val="22"/>
          <w:szCs w:val="22"/>
        </w:rPr>
        <w:lastRenderedPageBreak/>
        <w:t>Executive Summary</w:t>
      </w:r>
      <w:bookmarkEnd w:id="0"/>
    </w:p>
    <w:p w14:paraId="082FFD2D" w14:textId="77777777" w:rsidR="00DC79A2" w:rsidRPr="00DC79A2" w:rsidRDefault="00DC79A2" w:rsidP="003A750B">
      <w:pPr>
        <w:spacing w:after="0" w:line="240" w:lineRule="auto"/>
      </w:pPr>
    </w:p>
    <w:p w14:paraId="4B197A65" w14:textId="77777777" w:rsidR="002D72AD" w:rsidRDefault="002D72AD" w:rsidP="00DC79A2">
      <w:pPr>
        <w:spacing w:after="0" w:line="240" w:lineRule="auto"/>
        <w:jc w:val="both"/>
        <w:rPr>
          <w:rFonts w:cs="Arial"/>
        </w:rPr>
      </w:pPr>
      <w:r w:rsidRPr="00DC79A2">
        <w:rPr>
          <w:rFonts w:cs="Arial"/>
        </w:rPr>
        <w:t xml:space="preserve">The first </w:t>
      </w:r>
      <w:hyperlink r:id="rId25" w:history="1">
        <w:r w:rsidR="00C82977" w:rsidRPr="00DC79A2">
          <w:rPr>
            <w:rStyle w:val="Hyperlink"/>
            <w:rFonts w:cs="Arial"/>
            <w:i/>
            <w:iCs/>
          </w:rPr>
          <w:t>State of the World’s Migratory Species</w:t>
        </w:r>
      </w:hyperlink>
      <w:r w:rsidRPr="00DC79A2">
        <w:rPr>
          <w:rFonts w:cs="Arial"/>
        </w:rPr>
        <w:t xml:space="preserve"> was launched at the 14</w:t>
      </w:r>
      <w:r w:rsidRPr="00DC79A2">
        <w:rPr>
          <w:rFonts w:cs="Arial"/>
          <w:vertAlign w:val="superscript"/>
        </w:rPr>
        <w:t>th</w:t>
      </w:r>
      <w:r w:rsidRPr="00DC79A2">
        <w:rPr>
          <w:rFonts w:cs="Arial"/>
        </w:rPr>
        <w:t xml:space="preserve"> meeting of the Conference of the Parties of the Convention on the Conservation of Migratory Species of Wild Animals (CMS COP14), in February 2024. The report revealed that the extinction risk of CMS-listed species is rising, and that the same trend is evident for migratory species as a whole (including those not listed in the CMS Appendices). This concerning trajectory is the result of intensifying pressure from human activities, with many migratory species exposed to a combination of interacting threats occurring in different locations on their migratory routes.</w:t>
      </w:r>
    </w:p>
    <w:p w14:paraId="73D212CD" w14:textId="77777777" w:rsidR="00DC79A2" w:rsidRPr="00DC79A2" w:rsidRDefault="00DC79A2" w:rsidP="00DC79A2">
      <w:pPr>
        <w:spacing w:after="0" w:line="240" w:lineRule="auto"/>
        <w:jc w:val="both"/>
        <w:rPr>
          <w:rFonts w:cs="Arial"/>
        </w:rPr>
      </w:pPr>
    </w:p>
    <w:p w14:paraId="2B7947B7" w14:textId="77777777" w:rsidR="002D72AD" w:rsidRDefault="002D72AD" w:rsidP="00DC79A2">
      <w:pPr>
        <w:spacing w:after="0" w:line="240" w:lineRule="auto"/>
        <w:jc w:val="both"/>
        <w:rPr>
          <w:rFonts w:cs="Arial"/>
        </w:rPr>
      </w:pPr>
      <w:r w:rsidRPr="00DC79A2">
        <w:rPr>
          <w:rFonts w:cs="Arial"/>
        </w:rPr>
        <w:t xml:space="preserve">This interim report, produced for CMS COP15 in response to Decision 14.24 d), provides an update on major developments in the conservation status of CMS-listed species since COP14. </w:t>
      </w:r>
      <w:r w:rsidR="00C82977" w:rsidRPr="00DC79A2">
        <w:rPr>
          <w:rFonts w:cs="Arial"/>
        </w:rPr>
        <w:t>It includes an analysis of updates to the IUCN Red List of Threatened Species</w:t>
      </w:r>
      <w:r w:rsidR="00C82977" w:rsidRPr="00DC79A2">
        <w:rPr>
          <w:rFonts w:eastAsia="Calibri" w:cs="Arial"/>
          <w:vertAlign w:val="superscript"/>
        </w:rPr>
        <w:t xml:space="preserve"> </w:t>
      </w:r>
      <w:r w:rsidR="00C82977" w:rsidRPr="00DC79A2">
        <w:rPr>
          <w:rFonts w:eastAsia="Calibri" w:cs="Arial"/>
          <w:kern w:val="2"/>
          <w:vertAlign w:val="superscript"/>
          <w14:ligatures w14:val="standardContextual"/>
        </w:rPr>
        <w:t>TM</w:t>
      </w:r>
      <w:r w:rsidR="00C82977" w:rsidRPr="00DC79A2">
        <w:rPr>
          <w:rFonts w:eastAsia="Calibri" w:cs="Arial"/>
          <w:kern w:val="2"/>
          <w14:ligatures w14:val="standardContextual"/>
        </w:rPr>
        <w:t xml:space="preserve"> </w:t>
      </w:r>
      <w:r w:rsidRPr="00DC79A2">
        <w:rPr>
          <w:rFonts w:cs="Arial"/>
        </w:rPr>
        <w:t>and summarizes insights on population trends and distribution changes from recently published scientific literature. It also provides an update on the extent to which important habitats for CMS-listed species have been identified and protected. Finally, it shines a spotlight on several initiatives that are mapping the routes and pathways used by migratory species.</w:t>
      </w:r>
    </w:p>
    <w:p w14:paraId="6D227220" w14:textId="77777777" w:rsidR="00DC79A2" w:rsidRPr="00DC79A2" w:rsidRDefault="00DC79A2" w:rsidP="00DC79A2">
      <w:pPr>
        <w:spacing w:after="0" w:line="240" w:lineRule="auto"/>
        <w:jc w:val="both"/>
        <w:rPr>
          <w:rFonts w:cs="Arial"/>
        </w:rPr>
      </w:pPr>
    </w:p>
    <w:p w14:paraId="66C10BD9" w14:textId="77777777" w:rsidR="002D72AD" w:rsidRDefault="002D72AD" w:rsidP="00DC79A2">
      <w:pPr>
        <w:spacing w:after="0" w:line="240" w:lineRule="auto"/>
        <w:jc w:val="both"/>
        <w:rPr>
          <w:rFonts w:cs="Arial"/>
        </w:rPr>
      </w:pPr>
      <w:r w:rsidRPr="00DC79A2">
        <w:rPr>
          <w:rFonts w:cs="Arial"/>
        </w:rPr>
        <w:t xml:space="preserve">Updated IUCN Red List assessments have been published for approximately one third of all CMS-listed species since this dataset was </w:t>
      </w:r>
      <w:proofErr w:type="spellStart"/>
      <w:r w:rsidRPr="00DC79A2">
        <w:rPr>
          <w:rFonts w:cs="Arial"/>
        </w:rPr>
        <w:t>analyzed</w:t>
      </w:r>
      <w:proofErr w:type="spellEnd"/>
      <w:r w:rsidRPr="00DC79A2">
        <w:rPr>
          <w:rFonts w:cs="Arial"/>
        </w:rPr>
        <w:t xml:space="preserve"> in the first </w:t>
      </w:r>
      <w:r w:rsidRPr="00DC79A2">
        <w:rPr>
          <w:rFonts w:cs="Arial"/>
          <w:i/>
        </w:rPr>
        <w:t>State of the World’s Migratory Species</w:t>
      </w:r>
      <w:r w:rsidRPr="00DC79A2">
        <w:rPr>
          <w:rFonts w:cs="Arial"/>
        </w:rPr>
        <w:t xml:space="preserve">. Following these re-assessments, almost one in four CMS-listed species (24%) are now globally threatened, representing a marginal (2%) increase to the percentage (22%) reported at COP14. Of the species that were listed in the CMS Appendices prior to COP14, 34 have shifted to a new IUCN Red List category over the same period. Twenty-six of these species have moved to a more threatened IUCN Red List category, including 18 shorebirds. The majority of these shorebirds are confirmed as having undergone deteriorations in their conservation status that can be attributed to growing threats, as opposed to changes resulting from improvements in data indicating that the species is more threatened than originally determined. At the same time, seven CMS-listed species have shifted to a less threatened IUCN Red List category, reflecting some conservation successes. </w:t>
      </w:r>
    </w:p>
    <w:p w14:paraId="3FD2C502" w14:textId="77777777" w:rsidR="00DC79A2" w:rsidRPr="00DC79A2" w:rsidRDefault="00DC79A2" w:rsidP="00DC79A2">
      <w:pPr>
        <w:spacing w:after="0" w:line="240" w:lineRule="auto"/>
        <w:jc w:val="both"/>
        <w:rPr>
          <w:rFonts w:cs="Arial"/>
        </w:rPr>
      </w:pPr>
    </w:p>
    <w:p w14:paraId="16F071E8" w14:textId="77777777" w:rsidR="002D72AD" w:rsidRDefault="002D72AD" w:rsidP="00DC79A2">
      <w:pPr>
        <w:spacing w:after="0" w:line="240" w:lineRule="auto"/>
        <w:jc w:val="both"/>
        <w:rPr>
          <w:rFonts w:cs="Arial"/>
        </w:rPr>
      </w:pPr>
      <w:r w:rsidRPr="00DC79A2">
        <w:rPr>
          <w:rFonts w:cs="Arial"/>
        </w:rPr>
        <w:t>According to data from IUCN Red List assessments, the proportion of CMS-listed species with a decreasing population trend now stands at 49%, up from the 44% reported at COP14. This change may reflect improved information on population trends, rather than sudden declines in populations since COP14, but the situation is still concerning. Recently published scientific papers and reports also highlight decreasing population trends for migratory shorebirds, raptors in the African-Eurasian flyway, freshwater fish, and sharks and rays. Many of these insights reaffirm alarming trends that were already known at COP14, including the worsening conservation status of CMS-listed fish. These negative trends contrast with a more positive picture overall for many (but not all) marine turtle populations globally.</w:t>
      </w:r>
    </w:p>
    <w:p w14:paraId="15C8A3DC" w14:textId="77777777" w:rsidR="00DC79A2" w:rsidRPr="00DC79A2" w:rsidRDefault="00DC79A2" w:rsidP="00DC79A2">
      <w:pPr>
        <w:spacing w:after="0" w:line="240" w:lineRule="auto"/>
        <w:jc w:val="both"/>
        <w:rPr>
          <w:rFonts w:cs="Arial"/>
        </w:rPr>
      </w:pPr>
    </w:p>
    <w:p w14:paraId="214E7E3E" w14:textId="77777777" w:rsidR="002D72AD" w:rsidRDefault="002D72AD" w:rsidP="00DC79A2">
      <w:pPr>
        <w:spacing w:after="0" w:line="240" w:lineRule="auto"/>
        <w:jc w:val="both"/>
        <w:rPr>
          <w:rFonts w:cs="Arial"/>
        </w:rPr>
      </w:pPr>
      <w:r w:rsidRPr="00DC79A2">
        <w:rPr>
          <w:rFonts w:cs="Arial"/>
        </w:rPr>
        <w:t>Since COP14, progress has been made identifying areas that represent important habitats for CMS-listed species. To date, of the 16,589 Key Biodiversity Areas (KBAs) recognized globally, 9,372 KBAs have been identified as being important for CMS-listed species. A growing number of Important Marine Mammal Areas (IMMAs) and Important Shark and Ray Areas (ISRAs) – together totalling over 1,000 distinct areas globally – have also been identified. Many important areas for CMS-listed aquatic mammals and sharks have been delineated as part of the IMMA and ISRA networks. While important areas have now been identified for a broader range of CMS-listed species, more work is needed to comprehensively identify the networks of sites that individual species rely on throughout their life and annual cycles.</w:t>
      </w:r>
    </w:p>
    <w:p w14:paraId="1A758EE9" w14:textId="77777777" w:rsidR="00DC79A2" w:rsidRPr="00DC79A2" w:rsidRDefault="00DC79A2" w:rsidP="00DC79A2">
      <w:pPr>
        <w:spacing w:after="0" w:line="240" w:lineRule="auto"/>
        <w:jc w:val="both"/>
        <w:rPr>
          <w:rFonts w:cs="Arial"/>
        </w:rPr>
      </w:pPr>
    </w:p>
    <w:p w14:paraId="5B4DC366" w14:textId="77777777" w:rsidR="002D72AD" w:rsidRDefault="002D72AD" w:rsidP="00DC79A2">
      <w:pPr>
        <w:spacing w:after="0" w:line="240" w:lineRule="auto"/>
        <w:jc w:val="both"/>
        <w:rPr>
          <w:rFonts w:cs="Arial"/>
        </w:rPr>
      </w:pPr>
      <w:r w:rsidRPr="00DC79A2">
        <w:rPr>
          <w:rFonts w:cs="Arial"/>
        </w:rPr>
        <w:t xml:space="preserve">Significant progress has also been made </w:t>
      </w:r>
      <w:proofErr w:type="gramStart"/>
      <w:r w:rsidRPr="00DC79A2">
        <w:rPr>
          <w:rFonts w:cs="Arial"/>
        </w:rPr>
        <w:t>since</w:t>
      </w:r>
      <w:proofErr w:type="gramEnd"/>
      <w:r w:rsidRPr="00DC79A2">
        <w:rPr>
          <w:rFonts w:cs="Arial"/>
        </w:rPr>
        <w:t xml:space="preserve"> COP14 in efforts to synthesize spatial information on migratory routes, pathways and connections, by a range of different groups and initiatives. These efforts are illustrated in this report through a spotlight section highlighting the Global Initiative on Ungulate Migration (GIUM), the Migratory Connectivity in the Ocean </w:t>
      </w:r>
      <w:r w:rsidRPr="00DC79A2">
        <w:rPr>
          <w:rFonts w:cs="Arial"/>
        </w:rPr>
        <w:lastRenderedPageBreak/>
        <w:t>(</w:t>
      </w:r>
      <w:proofErr w:type="spellStart"/>
      <w:r w:rsidRPr="00DC79A2">
        <w:rPr>
          <w:rFonts w:cs="Arial"/>
        </w:rPr>
        <w:t>MiCO</w:t>
      </w:r>
      <w:proofErr w:type="spellEnd"/>
      <w:r w:rsidRPr="00DC79A2">
        <w:rPr>
          <w:rFonts w:cs="Arial"/>
        </w:rPr>
        <w:t xml:space="preserve">) system and </w:t>
      </w:r>
      <w:proofErr w:type="spellStart"/>
      <w:r w:rsidRPr="00DC79A2">
        <w:rPr>
          <w:rFonts w:cs="Arial"/>
        </w:rPr>
        <w:t>BirdLife</w:t>
      </w:r>
      <w:proofErr w:type="spellEnd"/>
      <w:r w:rsidRPr="00DC79A2">
        <w:rPr>
          <w:rFonts w:cs="Arial"/>
        </w:rPr>
        <w:t xml:space="preserve"> International’s work to identify and map six major marine flyways. Up-to-date mapping can accelerate the identification of comprehensive site networks for migratory species and help to pinpoint the human-made obstacles and anthropogenic activities that threaten to disrupt connectivity and fragment migratory routes.</w:t>
      </w:r>
    </w:p>
    <w:p w14:paraId="55195925" w14:textId="77777777" w:rsidR="003A750B" w:rsidRPr="00DC79A2" w:rsidRDefault="003A750B" w:rsidP="00DC79A2">
      <w:pPr>
        <w:spacing w:after="0" w:line="240" w:lineRule="auto"/>
        <w:jc w:val="both"/>
        <w:rPr>
          <w:rFonts w:cs="Arial"/>
        </w:rPr>
      </w:pPr>
    </w:p>
    <w:p w14:paraId="514E06B5" w14:textId="77777777" w:rsidR="002D72AD" w:rsidRDefault="002D72AD" w:rsidP="00DC79A2">
      <w:pPr>
        <w:spacing w:after="0" w:line="240" w:lineRule="auto"/>
        <w:jc w:val="both"/>
        <w:rPr>
          <w:rFonts w:cs="Arial"/>
        </w:rPr>
      </w:pPr>
      <w:r w:rsidRPr="00DC79A2">
        <w:rPr>
          <w:rFonts w:cs="Arial"/>
        </w:rPr>
        <w:t>Despite these advances, detailed scientific information on the most important habitats and migratory pathways is still lacking for many CMS-listed species, and substantial regional knowledge gaps still remain. Gaps also exist in efforts to safeguard important habitats; crucially, many of the important areas for CMS-listed species that have been identified to date lack adequate levels of protection. On average, just over half (52.6%) of the area of each KBA identified as being important for CMS-listed species is now covered by protected and conserved areas. These results suggest that there are potentially substantial gaps in the protection of sites that are important for the global persistence of for CMS-listed species globally; the identification of these unprotected sites also provides a useful basis for countries to plan, prioritize and make decisions on the designation of new protected and conserved areas.</w:t>
      </w:r>
    </w:p>
    <w:p w14:paraId="1B34E443" w14:textId="77777777" w:rsidR="003A750B" w:rsidRPr="00DC79A2" w:rsidRDefault="003A750B" w:rsidP="00DC79A2">
      <w:pPr>
        <w:spacing w:after="0" w:line="240" w:lineRule="auto"/>
        <w:jc w:val="both"/>
        <w:rPr>
          <w:rFonts w:cs="Arial"/>
        </w:rPr>
      </w:pPr>
    </w:p>
    <w:p w14:paraId="396421C0" w14:textId="77777777" w:rsidR="00C82977" w:rsidRPr="00DC79A2" w:rsidRDefault="002D72AD" w:rsidP="00DC79A2">
      <w:pPr>
        <w:spacing w:after="0" w:line="240" w:lineRule="auto"/>
        <w:jc w:val="both"/>
        <w:rPr>
          <w:rFonts w:cs="Arial"/>
        </w:rPr>
        <w:sectPr w:rsidR="00C82977" w:rsidRPr="00DC79A2" w:rsidSect="00C82977">
          <w:headerReference w:type="default" r:id="rId26"/>
          <w:pgSz w:w="11906" w:h="16838"/>
          <w:pgMar w:top="1440" w:right="1440" w:bottom="1440" w:left="1440" w:header="708" w:footer="708" w:gutter="0"/>
          <w:pgNumType w:fmt="lowerRoman"/>
          <w:cols w:space="708"/>
          <w:docGrid w:linePitch="360"/>
        </w:sectPr>
      </w:pPr>
      <w:r w:rsidRPr="00DC79A2">
        <w:rPr>
          <w:rFonts w:cs="Arial"/>
        </w:rPr>
        <w:t>Based on the findings of this report, more action will be needed to achieve Target 2.2 of the Samarkand Strategic Plan for Migratory Species, which calls for the protection, effective conservation, management and restoration of all important habitats for CMS-listed species by 2032. Accelerating efforts to identify networks of important sites, and to map the migratory pathways that link them, will be pivotal in ensuring that area-based conservation is targeted to the places where it is needed most. Ultimately, action to restore, connect and protect important habitats, and reduce the pressures facing migratory species from threats such as overexploitation, climate change and pollution, is still urgently required to secure their future.</w:t>
      </w:r>
      <w:r w:rsidR="00C82977" w:rsidRPr="00DC79A2">
        <w:rPr>
          <w:rFonts w:cs="Arial"/>
        </w:rPr>
        <w:t xml:space="preserve"> The first </w:t>
      </w:r>
      <w:hyperlink r:id="rId27" w:history="1">
        <w:r w:rsidR="00C82977" w:rsidRPr="00DC79A2">
          <w:rPr>
            <w:rStyle w:val="Hyperlink"/>
            <w:rFonts w:cs="Arial"/>
            <w:i/>
            <w:iCs/>
          </w:rPr>
          <w:t>State of the World’s Migratory Species</w:t>
        </w:r>
      </w:hyperlink>
      <w:r w:rsidR="00C82977" w:rsidRPr="00DC79A2">
        <w:rPr>
          <w:rFonts w:cs="Arial"/>
        </w:rPr>
        <w:t xml:space="preserve"> included a set of recommendations for priority actions, which provided the foundation for the Samarkand Strategic Plan for Migratory Species. Such recommended actions are still valid and, are more urgent than ever.</w:t>
      </w:r>
    </w:p>
    <w:p w14:paraId="516F8DFA" w14:textId="18DDF51B" w:rsidR="002D72AD" w:rsidRDefault="002D72AD" w:rsidP="00C15A7C">
      <w:pPr>
        <w:pStyle w:val="Heading1"/>
        <w:spacing w:before="0" w:line="240" w:lineRule="auto"/>
        <w:jc w:val="both"/>
        <w:rPr>
          <w:rFonts w:ascii="Arial" w:hAnsi="Arial" w:cs="Arial"/>
          <w:b/>
          <w:color w:val="auto"/>
          <w:sz w:val="22"/>
          <w:szCs w:val="22"/>
        </w:rPr>
      </w:pPr>
      <w:bookmarkStart w:id="1" w:name="_Toc210914219"/>
      <w:r w:rsidRPr="003D337A">
        <w:rPr>
          <w:rFonts w:ascii="Arial" w:hAnsi="Arial" w:cs="Arial"/>
          <w:b/>
          <w:color w:val="auto"/>
          <w:sz w:val="22"/>
          <w:szCs w:val="22"/>
        </w:rPr>
        <w:lastRenderedPageBreak/>
        <w:t>Introductio</w:t>
      </w:r>
      <w:bookmarkEnd w:id="1"/>
      <w:r w:rsidR="003D337A">
        <w:rPr>
          <w:rFonts w:ascii="Arial" w:hAnsi="Arial" w:cs="Arial"/>
          <w:b/>
          <w:color w:val="auto"/>
          <w:sz w:val="22"/>
          <w:szCs w:val="22"/>
        </w:rPr>
        <w:t>n</w:t>
      </w:r>
    </w:p>
    <w:p w14:paraId="1B4EA676" w14:textId="77777777" w:rsidR="003D337A" w:rsidRPr="003D337A" w:rsidRDefault="003D337A" w:rsidP="00C15A7C">
      <w:pPr>
        <w:spacing w:after="0" w:line="240" w:lineRule="auto"/>
      </w:pPr>
    </w:p>
    <w:p w14:paraId="3FA697BF" w14:textId="77777777" w:rsidR="002D72AD" w:rsidRDefault="002D72AD" w:rsidP="003D337A">
      <w:pPr>
        <w:spacing w:after="0" w:line="240" w:lineRule="auto"/>
        <w:jc w:val="both"/>
        <w:rPr>
          <w:rFonts w:cs="Arial"/>
        </w:rPr>
      </w:pPr>
      <w:r w:rsidRPr="003D337A">
        <w:rPr>
          <w:rFonts w:cs="Arial"/>
        </w:rPr>
        <w:t xml:space="preserve">The first </w:t>
      </w:r>
      <w:hyperlink r:id="rId28" w:history="1">
        <w:r w:rsidRPr="003D337A">
          <w:rPr>
            <w:rStyle w:val="Hyperlink"/>
            <w:rFonts w:cs="Arial"/>
            <w:i/>
          </w:rPr>
          <w:t>State of the World’s Migratory Species</w:t>
        </w:r>
      </w:hyperlink>
      <w:r w:rsidRPr="003D337A">
        <w:rPr>
          <w:rFonts w:cs="Arial"/>
        </w:rPr>
        <w:t xml:space="preserve"> was launched at CMS COP14 in Samarkand, Uzbekistan, in March 2024. The report provided a comprehensive overview of the conservation status of migratory species and the pressures that they face. It also highlighted examples of actions being taken to conserve these species and their habitats. </w:t>
      </w:r>
    </w:p>
    <w:p w14:paraId="560EAE55" w14:textId="77777777" w:rsidR="003D337A" w:rsidRPr="003D337A" w:rsidRDefault="003D337A" w:rsidP="003D337A">
      <w:pPr>
        <w:spacing w:after="0" w:line="240" w:lineRule="auto"/>
        <w:jc w:val="both"/>
        <w:rPr>
          <w:rFonts w:cs="Arial"/>
        </w:rPr>
      </w:pPr>
    </w:p>
    <w:p w14:paraId="751851C0" w14:textId="77777777" w:rsidR="002D72AD" w:rsidRDefault="002D72AD" w:rsidP="003D337A">
      <w:pPr>
        <w:spacing w:after="0" w:line="240" w:lineRule="auto"/>
        <w:jc w:val="both"/>
        <w:rPr>
          <w:rFonts w:cs="Arial"/>
        </w:rPr>
      </w:pPr>
      <w:r w:rsidRPr="003D337A">
        <w:rPr>
          <w:rFonts w:cs="Arial"/>
        </w:rPr>
        <w:t xml:space="preserve">One of the key messages from the </w:t>
      </w:r>
      <w:r w:rsidRPr="003D337A">
        <w:rPr>
          <w:rFonts w:cs="Arial"/>
          <w:i/>
        </w:rPr>
        <w:t>State of the World’s Migratory Species</w:t>
      </w:r>
      <w:r w:rsidRPr="003D337A">
        <w:rPr>
          <w:rFonts w:cs="Arial"/>
        </w:rPr>
        <w:t xml:space="preserve"> is that the conservation status of migratory species is deteriorating overall. Just over one in five CMS-listed species were found to be threatened with extinction, with 44% undergoing population declines. The report concluded that these trends are being driven by intense levels of anthropogenic pressure, with the main pressures across CMS-listed species as a whole identified as habitat loss, degradation and fragmentation, and overexploitation. Other key threats include pollution, climate change and invasive species.</w:t>
      </w:r>
    </w:p>
    <w:p w14:paraId="7D82F4AC" w14:textId="77777777" w:rsidR="003D337A" w:rsidRPr="003D337A" w:rsidRDefault="003D337A" w:rsidP="003D337A">
      <w:pPr>
        <w:spacing w:after="0" w:line="240" w:lineRule="auto"/>
        <w:jc w:val="both"/>
        <w:rPr>
          <w:rFonts w:cs="Arial"/>
        </w:rPr>
      </w:pPr>
    </w:p>
    <w:p w14:paraId="41052B03" w14:textId="77777777" w:rsidR="002D72AD" w:rsidRDefault="002D72AD" w:rsidP="003D337A">
      <w:pPr>
        <w:spacing w:after="0" w:line="240" w:lineRule="auto"/>
        <w:jc w:val="both"/>
        <w:rPr>
          <w:rFonts w:cs="Arial"/>
        </w:rPr>
      </w:pPr>
      <w:r w:rsidRPr="003D337A">
        <w:rPr>
          <w:rFonts w:cs="Arial"/>
        </w:rPr>
        <w:t xml:space="preserve">While the main drivers of increasing extinction risk across CMS-listed species are unlikely to have changed substantially since COP14, new information relevant to the conservation status and trends in many CMS-listed and migratory species has been published during the interim period. Recognizing the need for regular reviews of information on the status of and threats to migratory species the CMS Parties adopted </w:t>
      </w:r>
      <w:hyperlink r:id="rId29" w:history="1">
        <w:r w:rsidRPr="003D337A">
          <w:rPr>
            <w:rStyle w:val="Hyperlink"/>
            <w:rFonts w:cs="Arial"/>
          </w:rPr>
          <w:t>Resolution 14.4</w:t>
        </w:r>
      </w:hyperlink>
      <w:r w:rsidRPr="003D337A">
        <w:rPr>
          <w:rStyle w:val="Hyperlink"/>
          <w:rFonts w:cs="Arial"/>
        </w:rPr>
        <w:t xml:space="preserve"> </w:t>
      </w:r>
      <w:r w:rsidRPr="003D337A">
        <w:rPr>
          <w:rFonts w:cs="Arial"/>
        </w:rPr>
        <w:t xml:space="preserve">to help inform conservation actions. </w:t>
      </w:r>
      <w:r w:rsidR="00C82977" w:rsidRPr="003D337A">
        <w:rPr>
          <w:rFonts w:cs="Arial"/>
        </w:rPr>
        <w:t xml:space="preserve">Through this Resolution, the Parties decided that the </w:t>
      </w:r>
      <w:r w:rsidR="00C82977" w:rsidRPr="003D337A">
        <w:rPr>
          <w:rFonts w:cs="Arial"/>
          <w:i/>
          <w:iCs/>
        </w:rPr>
        <w:t>State of the World’s Migratory Species</w:t>
      </w:r>
      <w:r w:rsidRPr="003D337A">
        <w:rPr>
          <w:rFonts w:cs="Arial"/>
        </w:rPr>
        <w:t xml:space="preserve"> should be produced for alternate meetings of the Conference of the Parties, with the next report to be developed for COP16. At interim meetings, starting at COP15, Parties agreed – via Decision 14.24 d) – that the Secretariat should “</w:t>
      </w:r>
      <w:r w:rsidRPr="003D337A">
        <w:rPr>
          <w:rFonts w:cs="Arial"/>
          <w:i/>
        </w:rPr>
        <w:t>during the intersessional period prior to COP15, identify any major developments regarding the conservation status of migratory species, including emerging trends or threats, and prepare a summary for the 8th meeting of the Sessional Committee and for the attention of COP15</w:t>
      </w:r>
      <w:r w:rsidRPr="003D337A">
        <w:rPr>
          <w:rFonts w:cs="Arial"/>
        </w:rPr>
        <w:t>”.</w:t>
      </w:r>
    </w:p>
    <w:p w14:paraId="7D212FEE" w14:textId="77777777" w:rsidR="003D337A" w:rsidRPr="003D337A" w:rsidRDefault="003D337A" w:rsidP="003D337A">
      <w:pPr>
        <w:spacing w:after="0" w:line="240" w:lineRule="auto"/>
        <w:jc w:val="both"/>
        <w:rPr>
          <w:rFonts w:cs="Arial"/>
        </w:rPr>
      </w:pPr>
    </w:p>
    <w:p w14:paraId="7E4FDA18" w14:textId="77777777" w:rsidR="002D72AD" w:rsidRPr="003D337A" w:rsidRDefault="002D72AD" w:rsidP="003D337A">
      <w:pPr>
        <w:spacing w:after="0" w:line="240" w:lineRule="auto"/>
        <w:jc w:val="both"/>
        <w:rPr>
          <w:rFonts w:cs="Arial"/>
        </w:rPr>
      </w:pPr>
      <w:r w:rsidRPr="003D337A">
        <w:rPr>
          <w:rFonts w:cs="Arial"/>
        </w:rPr>
        <w:t xml:space="preserve">This short interim report, produced for CMS COP15, provides an update on recently reported changes to the conservation status, population trends and distributions of CMS-listed species (sections 1 and 2). It also summarizes recent efforts to identify and protect important habitats for migratory species (section 3), as well as recent efforts to map migratory pathways (section 4). Guidance on the content of the interim report for COP15 was provided by an Intersessional Working Group on the State of the World’s Migratory Species. As part of their work, the group reviewed and provided feedback on the approach proposed for this report by UNEP-WCMC and provided expert review of the report as it was developed. </w:t>
      </w:r>
    </w:p>
    <w:p w14:paraId="586EB9E9" w14:textId="77777777" w:rsidR="002D72AD" w:rsidRPr="003D337A" w:rsidRDefault="002D72AD" w:rsidP="00C82977">
      <w:pPr>
        <w:rPr>
          <w:rFonts w:cs="Arial"/>
        </w:rPr>
      </w:pPr>
    </w:p>
    <w:p w14:paraId="2ADF0EC4" w14:textId="77777777" w:rsidR="002D72AD" w:rsidRPr="003D337A" w:rsidRDefault="002D72AD" w:rsidP="00C82977">
      <w:pPr>
        <w:rPr>
          <w:rFonts w:cs="Arial"/>
        </w:rPr>
      </w:pPr>
    </w:p>
    <w:p w14:paraId="4A4636FD" w14:textId="77777777" w:rsidR="002D72AD" w:rsidRPr="002D72AD" w:rsidRDefault="002D72AD" w:rsidP="00C82977">
      <w:pPr>
        <w:pStyle w:val="Heading1"/>
        <w:spacing w:before="0" w:after="240"/>
        <w:rPr>
          <w:rFonts w:ascii="Roboto" w:hAnsi="Roboto"/>
          <w:b/>
          <w:color w:val="003870"/>
        </w:rPr>
      </w:pPr>
      <w:r>
        <w:rPr>
          <w:rFonts w:ascii="Roboto" w:hAnsi="Roboto"/>
          <w:b/>
          <w:color w:val="003870"/>
        </w:rPr>
        <w:br w:type="page"/>
      </w:r>
    </w:p>
    <w:p w14:paraId="02B87430" w14:textId="77777777" w:rsidR="002D72AD" w:rsidRPr="00C15A7C" w:rsidRDefault="002D72AD" w:rsidP="00C15A7C">
      <w:pPr>
        <w:pStyle w:val="Heading1"/>
        <w:numPr>
          <w:ilvl w:val="0"/>
          <w:numId w:val="40"/>
        </w:numPr>
        <w:spacing w:before="0" w:line="240" w:lineRule="auto"/>
        <w:ind w:left="357" w:hanging="357"/>
        <w:jc w:val="both"/>
        <w:rPr>
          <w:rFonts w:ascii="Arial" w:hAnsi="Arial" w:cs="Arial"/>
          <w:b/>
          <w:color w:val="auto"/>
          <w:sz w:val="22"/>
          <w:szCs w:val="22"/>
        </w:rPr>
      </w:pPr>
      <w:bookmarkStart w:id="2" w:name="_Toc210914220"/>
      <w:r w:rsidRPr="00C15A7C">
        <w:rPr>
          <w:rFonts w:ascii="Arial" w:hAnsi="Arial" w:cs="Arial"/>
          <w:b/>
          <w:color w:val="auto"/>
          <w:sz w:val="22"/>
          <w:szCs w:val="22"/>
        </w:rPr>
        <w:lastRenderedPageBreak/>
        <w:t>Changes in the conservation status of CMS-listed species</w:t>
      </w:r>
      <w:bookmarkEnd w:id="2"/>
    </w:p>
    <w:p w14:paraId="1FE4F809" w14:textId="77777777" w:rsidR="00C15A7C" w:rsidRPr="00C15A7C" w:rsidRDefault="00C15A7C" w:rsidP="00C15A7C"/>
    <w:p w14:paraId="794DF49B" w14:textId="77777777" w:rsidR="002D72AD" w:rsidRDefault="002D72AD" w:rsidP="00C15A7C">
      <w:pPr>
        <w:spacing w:after="0" w:line="240" w:lineRule="auto"/>
        <w:jc w:val="both"/>
        <w:rPr>
          <w:rFonts w:cs="Arial"/>
        </w:rPr>
      </w:pPr>
      <w:r w:rsidRPr="00C15A7C">
        <w:rPr>
          <w:rFonts w:cs="Arial"/>
        </w:rPr>
        <w:t xml:space="preserve">The first </w:t>
      </w:r>
      <w:hyperlink r:id="rId30" w:history="1">
        <w:r w:rsidRPr="00C15A7C">
          <w:rPr>
            <w:rStyle w:val="Hyperlink"/>
            <w:rFonts w:cs="Arial"/>
            <w:i/>
          </w:rPr>
          <w:t>State of the World’s Migratory Species</w:t>
        </w:r>
      </w:hyperlink>
      <w:r w:rsidRPr="00C15A7C">
        <w:rPr>
          <w:rFonts w:cs="Arial"/>
          <w:i/>
        </w:rPr>
        <w:t xml:space="preserve"> </w:t>
      </w:r>
      <w:r w:rsidRPr="00C15A7C">
        <w:rPr>
          <w:rFonts w:cs="Arial"/>
        </w:rPr>
        <w:t xml:space="preserve">provided an overview of the conservation status of CMS-listed species, including an analysis of data from the IUCN Red List of Threatened </w:t>
      </w:r>
      <w:proofErr w:type="spellStart"/>
      <w:r w:rsidRPr="00C15A7C">
        <w:rPr>
          <w:rFonts w:cs="Arial"/>
        </w:rPr>
        <w:t>Species</w:t>
      </w:r>
      <w:r w:rsidRPr="00C15A7C">
        <w:rPr>
          <w:rFonts w:cs="Arial"/>
          <w:vertAlign w:val="superscript"/>
        </w:rPr>
        <w:t>TM</w:t>
      </w:r>
      <w:proofErr w:type="spellEnd"/>
      <w:r w:rsidRPr="00C15A7C">
        <w:rPr>
          <w:rFonts w:cs="Arial"/>
          <w:vertAlign w:val="superscript"/>
        </w:rPr>
        <w:t xml:space="preserve"> </w:t>
      </w:r>
      <w:r w:rsidRPr="00C15A7C">
        <w:rPr>
          <w:rFonts w:cs="Arial"/>
        </w:rPr>
        <w:t>that were available at the time of writing (September 2025</w:t>
      </w:r>
      <w:r w:rsidR="00C82977" w:rsidRPr="00C15A7C">
        <w:rPr>
          <w:rFonts w:cs="Arial"/>
        </w:rPr>
        <w:t>)</w:t>
      </w:r>
      <w:r w:rsidR="00C82977" w:rsidRPr="00C15A7C">
        <w:rPr>
          <w:rStyle w:val="FootnoteReference"/>
          <w:rFonts w:cs="Arial"/>
        </w:rPr>
        <w:footnoteReference w:id="2"/>
      </w:r>
      <w:r w:rsidR="00C82977" w:rsidRPr="00C15A7C">
        <w:rPr>
          <w:rFonts w:cs="Arial"/>
        </w:rPr>
        <w:t>.</w:t>
      </w:r>
      <w:r w:rsidRPr="00C15A7C">
        <w:rPr>
          <w:rFonts w:cs="Arial"/>
        </w:rPr>
        <w:t xml:space="preserve"> The IUCN Red List assigns species to broad categories of extinction risk, based on a standardized set of scientifically rigorous </w:t>
      </w:r>
      <w:hyperlink r:id="rId31" w:history="1">
        <w:r w:rsidRPr="00C15A7C">
          <w:rPr>
            <w:rStyle w:val="Hyperlink"/>
            <w:rFonts w:cs="Arial"/>
          </w:rPr>
          <w:t>criteria</w:t>
        </w:r>
      </w:hyperlink>
      <w:r w:rsidRPr="00C15A7C">
        <w:rPr>
          <w:rFonts w:cs="Arial"/>
        </w:rPr>
        <w:t xml:space="preserve">. </w:t>
      </w:r>
    </w:p>
    <w:p w14:paraId="27CCECCE" w14:textId="77777777" w:rsidR="00C15A7C" w:rsidRPr="00C15A7C" w:rsidRDefault="00C15A7C" w:rsidP="00C15A7C">
      <w:pPr>
        <w:spacing w:after="0" w:line="240" w:lineRule="auto"/>
        <w:jc w:val="both"/>
        <w:rPr>
          <w:rFonts w:cs="Arial"/>
        </w:rPr>
      </w:pPr>
    </w:p>
    <w:p w14:paraId="3EADCDBB" w14:textId="77777777" w:rsidR="002D72AD" w:rsidRPr="00C15A7C" w:rsidRDefault="00C82977" w:rsidP="00C15A7C">
      <w:pPr>
        <w:spacing w:after="0" w:line="240" w:lineRule="auto"/>
        <w:jc w:val="both"/>
        <w:rPr>
          <w:rFonts w:cs="Arial"/>
        </w:rPr>
      </w:pPr>
      <w:r w:rsidRPr="00C15A7C">
        <w:rPr>
          <w:rFonts w:cs="Arial"/>
        </w:rPr>
        <w:t>Since the previous analysis, which used version 2022-2 of the IUCN Red List, 386 of the 1200 CMS-listed species</w:t>
      </w:r>
      <w:r w:rsidRPr="00C15A7C">
        <w:rPr>
          <w:rStyle w:val="FootnoteReference"/>
          <w:rFonts w:cs="Arial"/>
        </w:rPr>
        <w:footnoteReference w:id="3"/>
      </w:r>
      <w:r w:rsidRPr="00C15A7C">
        <w:rPr>
          <w:rFonts w:cs="Arial"/>
        </w:rPr>
        <w:t xml:space="preserve"> have been re-assessed, excluding species that were listed at COP14.</w:t>
      </w:r>
      <w:r w:rsidR="002D72AD" w:rsidRPr="00C15A7C">
        <w:rPr>
          <w:rFonts w:cs="Arial"/>
        </w:rPr>
        <w:t xml:space="preserve"> A closer look at the changes that have occurred within this group of re-assessed species can provide valuable insights on changes in conservation status. As global IUCN Red List assessments were used as the source of information for the majority (97%) of CMS-listed species, the IUCN Red List categories presented in this analysis mostly reflect global extinction risk</w:t>
      </w:r>
      <w:r w:rsidR="002D72AD" w:rsidRPr="00C15A7C">
        <w:rPr>
          <w:rStyle w:val="FootnoteReference"/>
          <w:rFonts w:cs="Arial"/>
        </w:rPr>
        <w:footnoteReference w:id="4"/>
      </w:r>
      <w:r w:rsidR="002D72AD" w:rsidRPr="00C15A7C">
        <w:rPr>
          <w:rFonts w:cs="Arial"/>
        </w:rPr>
        <w:t>.</w:t>
      </w:r>
    </w:p>
    <w:p w14:paraId="2CBA4D3C" w14:textId="77777777" w:rsidR="002D72AD" w:rsidRPr="00C15A7C" w:rsidRDefault="002D72AD" w:rsidP="00C15A7C">
      <w:pPr>
        <w:spacing w:after="0" w:line="240" w:lineRule="auto"/>
        <w:jc w:val="both"/>
        <w:rPr>
          <w:rFonts w:cs="Arial"/>
          <w:b/>
          <w:color w:val="003870"/>
        </w:rPr>
      </w:pPr>
    </w:p>
    <w:p w14:paraId="0231C986" w14:textId="77777777" w:rsidR="002D72AD" w:rsidRPr="00C15A7C" w:rsidRDefault="002D72AD" w:rsidP="00C15A7C">
      <w:pPr>
        <w:spacing w:after="0" w:line="240" w:lineRule="auto"/>
        <w:jc w:val="both"/>
        <w:rPr>
          <w:rFonts w:cs="Arial"/>
          <w:b/>
        </w:rPr>
      </w:pPr>
      <w:r w:rsidRPr="00C15A7C">
        <w:rPr>
          <w:rFonts w:cs="Arial"/>
          <w:b/>
        </w:rPr>
        <w:t>Changes in the IUCN Red List category of CMS-listed species</w:t>
      </w:r>
    </w:p>
    <w:p w14:paraId="1138738A" w14:textId="77777777" w:rsidR="00C15A7C" w:rsidRPr="00C15A7C" w:rsidRDefault="00C15A7C" w:rsidP="00C15A7C">
      <w:pPr>
        <w:spacing w:after="0" w:line="240" w:lineRule="auto"/>
        <w:jc w:val="both"/>
        <w:rPr>
          <w:rFonts w:cs="Arial"/>
          <w:b/>
          <w:color w:val="003870"/>
        </w:rPr>
      </w:pPr>
    </w:p>
    <w:p w14:paraId="4B0CBB2C" w14:textId="77777777" w:rsidR="002D72AD" w:rsidRPr="00C15A7C" w:rsidRDefault="002D72AD" w:rsidP="00C15A7C">
      <w:pPr>
        <w:spacing w:after="0" w:line="240" w:lineRule="auto"/>
        <w:jc w:val="both"/>
        <w:rPr>
          <w:rFonts w:cs="Arial"/>
        </w:rPr>
      </w:pPr>
      <w:r w:rsidRPr="00C15A7C">
        <w:rPr>
          <w:rFonts w:cs="Arial"/>
        </w:rPr>
        <w:t xml:space="preserve">Thirty-four (9%) of the 392 re-assessed CMS-listed species have been re-classified to a different IUCN Red List category since 2022. Twenty-six of these species have shifted to a more threatened category, while seven species have moved to a less threatened category (see </w:t>
      </w:r>
      <w:r w:rsidRPr="00C15A7C">
        <w:rPr>
          <w:rFonts w:cs="Arial"/>
          <w:b/>
        </w:rPr>
        <w:t xml:space="preserve">Appendix Table 1 </w:t>
      </w:r>
      <w:r w:rsidRPr="00C15A7C">
        <w:rPr>
          <w:rFonts w:cs="Arial"/>
        </w:rPr>
        <w:t>for further details)</w:t>
      </w:r>
      <w:r w:rsidRPr="00C15A7C">
        <w:rPr>
          <w:rStyle w:val="FootnoteReference"/>
          <w:rFonts w:cs="Arial"/>
        </w:rPr>
        <w:footnoteReference w:id="5"/>
      </w:r>
      <w:r w:rsidRPr="00C15A7C">
        <w:rPr>
          <w:rFonts w:cs="Arial"/>
        </w:rPr>
        <w:t>. The total number of globally threatened</w:t>
      </w:r>
      <w:r w:rsidRPr="00C15A7C">
        <w:rPr>
          <w:rStyle w:val="FootnoteReference"/>
          <w:rFonts w:cs="Arial"/>
        </w:rPr>
        <w:footnoteReference w:id="6"/>
      </w:r>
      <w:r w:rsidRPr="00C15A7C">
        <w:rPr>
          <w:rFonts w:cs="Arial"/>
        </w:rPr>
        <w:t xml:space="preserve"> CMS-listed species now stands at 284, representing 24% of all CMS-listed species (</w:t>
      </w:r>
      <w:r w:rsidRPr="00C15A7C">
        <w:rPr>
          <w:rFonts w:cs="Arial"/>
          <w:b/>
        </w:rPr>
        <w:t>Figure 1.1a</w:t>
      </w:r>
      <w:r w:rsidRPr="00C15A7C">
        <w:rPr>
          <w:rFonts w:cs="Arial"/>
        </w:rPr>
        <w:t xml:space="preserve">), up slightly from the 22% reported in the first </w:t>
      </w:r>
      <w:r w:rsidRPr="00C15A7C">
        <w:rPr>
          <w:rFonts w:cs="Arial"/>
          <w:i/>
        </w:rPr>
        <w:t>State of the World’s Migratory Species</w:t>
      </w:r>
      <w:r w:rsidRPr="00C15A7C">
        <w:rPr>
          <w:rStyle w:val="FootnoteReference"/>
          <w:rFonts w:cs="Arial"/>
        </w:rPr>
        <w:footnoteReference w:id="7"/>
      </w:r>
      <w:r w:rsidRPr="00C15A7C">
        <w:rPr>
          <w:rFonts w:cs="Arial"/>
        </w:rPr>
        <w:t xml:space="preserve">. </w:t>
      </w:r>
    </w:p>
    <w:p w14:paraId="4275683E" w14:textId="77777777" w:rsidR="002D72AD" w:rsidRPr="00C15A7C" w:rsidRDefault="002D72AD" w:rsidP="00C15A7C">
      <w:pPr>
        <w:spacing w:after="0" w:line="240" w:lineRule="auto"/>
        <w:jc w:val="both"/>
        <w:rPr>
          <w:rFonts w:cs="Arial"/>
        </w:rPr>
      </w:pPr>
    </w:p>
    <w:p w14:paraId="2D2CFA86" w14:textId="77777777" w:rsidR="002D72AD" w:rsidRDefault="00C82977" w:rsidP="00C82977">
      <w:pPr>
        <w:spacing w:after="0"/>
        <w:rPr>
          <w:rFonts w:ascii="Roboto" w:hAnsi="Roboto"/>
        </w:rPr>
      </w:pPr>
      <w:r>
        <w:rPr>
          <w:rFonts w:ascii="Roboto" w:hAnsi="Roboto"/>
          <w:noProof/>
        </w:rPr>
        <w:lastRenderedPageBreak/>
        <w:drawing>
          <wp:inline distT="0" distB="0" distL="0" distR="0" wp14:anchorId="296F9415" wp14:editId="594A0270">
            <wp:extent cx="5731510" cy="3726180"/>
            <wp:effectExtent l="0" t="0" r="2540" b="7620"/>
            <wp:docPr id="436220583" name="Picture 3"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220583" name="Picture 3" descr="A screenshot of a graph&#10;&#10;AI-generated content may be incorrect."/>
                    <pic:cNvPicPr/>
                  </pic:nvPicPr>
                  <pic:blipFill rotWithShape="1">
                    <a:blip r:embed="rId32" cstate="print">
                      <a:extLst>
                        <a:ext uri="{28A0092B-C50C-407E-A947-70E740481C1C}">
                          <a14:useLocalDpi xmlns:a14="http://schemas.microsoft.com/office/drawing/2010/main" val="0"/>
                        </a:ext>
                      </a:extLst>
                    </a:blip>
                    <a:srcRect t="2820" b="5219"/>
                    <a:stretch/>
                  </pic:blipFill>
                  <pic:spPr bwMode="auto">
                    <a:xfrm>
                      <a:off x="0" y="0"/>
                      <a:ext cx="5731510" cy="3726180"/>
                    </a:xfrm>
                    <a:prstGeom prst="rect">
                      <a:avLst/>
                    </a:prstGeom>
                    <a:ln>
                      <a:noFill/>
                    </a:ln>
                    <a:extLst>
                      <a:ext uri="{53640926-AAD7-44D8-BBD7-CCE9431645EC}">
                        <a14:shadowObscured xmlns:a14="http://schemas.microsoft.com/office/drawing/2010/main"/>
                      </a:ext>
                    </a:extLst>
                  </pic:spPr>
                </pic:pic>
              </a:graphicData>
            </a:graphic>
          </wp:inline>
        </w:drawing>
      </w:r>
    </w:p>
    <w:p w14:paraId="3193C504" w14:textId="77777777" w:rsidR="002D72AD" w:rsidRDefault="002D72AD" w:rsidP="00C15A7C">
      <w:pPr>
        <w:spacing w:after="0" w:line="240" w:lineRule="auto"/>
        <w:jc w:val="both"/>
        <w:rPr>
          <w:rFonts w:cs="Arial"/>
          <w:sz w:val="20"/>
          <w:szCs w:val="20"/>
        </w:rPr>
      </w:pPr>
      <w:r w:rsidRPr="00C15A7C">
        <w:rPr>
          <w:rFonts w:cs="Arial"/>
          <w:b/>
          <w:sz w:val="20"/>
          <w:szCs w:val="20"/>
        </w:rPr>
        <w:t>Figure 1.1:</w:t>
      </w:r>
      <w:r w:rsidRPr="00C15A7C">
        <w:rPr>
          <w:rFonts w:cs="Arial"/>
          <w:sz w:val="20"/>
          <w:szCs w:val="20"/>
        </w:rPr>
        <w:t xml:space="preserve"> </w:t>
      </w:r>
      <w:r w:rsidRPr="00C15A7C">
        <w:rPr>
          <w:rFonts w:cs="Arial"/>
          <w:b/>
          <w:sz w:val="20"/>
          <w:szCs w:val="20"/>
        </w:rPr>
        <w:t>a) Proportion and number of CMS-listed species in each IUCN Red List category.</w:t>
      </w:r>
      <w:r w:rsidRPr="00C15A7C">
        <w:rPr>
          <w:rFonts w:cs="Arial"/>
          <w:sz w:val="20"/>
          <w:szCs w:val="20"/>
        </w:rPr>
        <w:t xml:space="preserve"> In the main graphic, each circle represents 1% of the 1,200 CMS-listed species. The key below shows the total number of CMS-listed species that are currently in each category. The red numbers and arrows show the </w:t>
      </w:r>
      <w:r w:rsidRPr="00C15A7C">
        <w:rPr>
          <w:rFonts w:cs="Arial"/>
          <w:b/>
          <w:sz w:val="20"/>
          <w:szCs w:val="20"/>
        </w:rPr>
        <w:t>net change</w:t>
      </w:r>
      <w:r w:rsidRPr="00C15A7C">
        <w:rPr>
          <w:rFonts w:cs="Arial"/>
          <w:sz w:val="20"/>
          <w:szCs w:val="20"/>
        </w:rPr>
        <w:t xml:space="preserve"> between the </w:t>
      </w:r>
      <w:r w:rsidRPr="00C15A7C">
        <w:rPr>
          <w:rFonts w:cs="Arial"/>
          <w:i/>
          <w:sz w:val="20"/>
          <w:szCs w:val="20"/>
        </w:rPr>
        <w:t xml:space="preserve">State of the World’s Migratory Species </w:t>
      </w:r>
      <w:r w:rsidRPr="00C15A7C">
        <w:rPr>
          <w:rFonts w:cs="Arial"/>
          <w:sz w:val="20"/>
          <w:szCs w:val="20"/>
        </w:rPr>
        <w:t>and this report</w:t>
      </w:r>
      <w:r w:rsidRPr="00C15A7C">
        <w:rPr>
          <w:rFonts w:cs="Arial"/>
          <w:b/>
          <w:sz w:val="20"/>
          <w:szCs w:val="20"/>
        </w:rPr>
        <w:t>*</w:t>
      </w:r>
      <w:r w:rsidRPr="00C15A7C">
        <w:rPr>
          <w:rFonts w:cs="Arial"/>
          <w:sz w:val="20"/>
          <w:szCs w:val="20"/>
        </w:rPr>
        <w:t xml:space="preserve">. Net changes exclude species that were listed at COP14, and species listed at the population level for which relevant regional-level assessments have become available since the </w:t>
      </w:r>
      <w:r w:rsidRPr="00C15A7C">
        <w:rPr>
          <w:rFonts w:cs="Arial"/>
          <w:i/>
          <w:sz w:val="20"/>
          <w:szCs w:val="20"/>
        </w:rPr>
        <w:t>State of the World’s Migratory Species</w:t>
      </w:r>
      <w:r w:rsidRPr="00C15A7C">
        <w:rPr>
          <w:rFonts w:cs="Arial"/>
          <w:sz w:val="20"/>
          <w:szCs w:val="20"/>
        </w:rPr>
        <w:t xml:space="preserve">. Net changes may reflect both deteriorations/improvements in conservation status due to growing/reduced threats, or changes in status due to improvements in knowledge. </w:t>
      </w:r>
      <w:r w:rsidRPr="00C15A7C">
        <w:rPr>
          <w:rFonts w:cs="Arial"/>
          <w:b/>
          <w:sz w:val="20"/>
          <w:szCs w:val="20"/>
        </w:rPr>
        <w:t xml:space="preserve">b) Change in the population trends of individual CMS-listed species between the </w:t>
      </w:r>
      <w:r w:rsidRPr="00C15A7C">
        <w:rPr>
          <w:rFonts w:cs="Arial"/>
          <w:b/>
          <w:i/>
          <w:sz w:val="20"/>
          <w:szCs w:val="20"/>
        </w:rPr>
        <w:t xml:space="preserve">State of the World’s Migratory Species </w:t>
      </w:r>
      <w:r w:rsidRPr="00C15A7C">
        <w:rPr>
          <w:rFonts w:cs="Arial"/>
          <w:b/>
          <w:sz w:val="20"/>
          <w:szCs w:val="20"/>
        </w:rPr>
        <w:t xml:space="preserve">and this report*. </w:t>
      </w:r>
      <w:r w:rsidRPr="00C15A7C">
        <w:rPr>
          <w:rFonts w:cs="Arial"/>
          <w:sz w:val="20"/>
          <w:szCs w:val="20"/>
        </w:rPr>
        <w:t xml:space="preserve">The key shows the total number of CMS-listed species in each population trend category; taxa that were added to the CMS Appendices at COP14 are excluded from the chart. </w:t>
      </w:r>
    </w:p>
    <w:p w14:paraId="25D07E2C" w14:textId="77777777" w:rsidR="00C15A7C" w:rsidRPr="00C15A7C" w:rsidRDefault="00C15A7C" w:rsidP="00C15A7C">
      <w:pPr>
        <w:spacing w:after="0" w:line="240" w:lineRule="auto"/>
        <w:jc w:val="both"/>
        <w:rPr>
          <w:rFonts w:cs="Arial"/>
          <w:sz w:val="20"/>
          <w:szCs w:val="20"/>
        </w:rPr>
      </w:pPr>
    </w:p>
    <w:p w14:paraId="0CF9F83B" w14:textId="77777777" w:rsidR="002D72AD" w:rsidRPr="00C15A7C" w:rsidRDefault="002D72AD" w:rsidP="00C82977">
      <w:pPr>
        <w:rPr>
          <w:rFonts w:cs="Arial"/>
          <w:i/>
          <w:sz w:val="20"/>
          <w:szCs w:val="20"/>
        </w:rPr>
      </w:pPr>
      <w:r w:rsidRPr="00C15A7C">
        <w:rPr>
          <w:rFonts w:cs="Arial"/>
          <w:b/>
          <w:sz w:val="20"/>
          <w:szCs w:val="20"/>
        </w:rPr>
        <w:t>*</w:t>
      </w:r>
      <w:r w:rsidRPr="00C15A7C">
        <w:rPr>
          <w:rFonts w:cs="Arial"/>
          <w:i/>
          <w:sz w:val="20"/>
          <w:szCs w:val="20"/>
        </w:rPr>
        <w:t xml:space="preserve">The State of the World’s Migratory Species used data from IUCN Red List assessments published up to 2022 (IUCN Red List version 2022-2); this report uses the latest IUCN Red List data (version 2025-1, released March 2025) that was available at the time of writing (September 2025). One CMS-listed species, </w:t>
      </w:r>
      <w:r w:rsidRPr="00C15A7C">
        <w:rPr>
          <w:rFonts w:cs="Arial"/>
          <w:sz w:val="20"/>
          <w:szCs w:val="20"/>
        </w:rPr>
        <w:t xml:space="preserve">Gazella </w:t>
      </w:r>
      <w:proofErr w:type="spellStart"/>
      <w:r w:rsidRPr="00C15A7C">
        <w:rPr>
          <w:rFonts w:cs="Arial"/>
          <w:sz w:val="20"/>
          <w:szCs w:val="20"/>
        </w:rPr>
        <w:t>erlangeri</w:t>
      </w:r>
      <w:proofErr w:type="spellEnd"/>
      <w:r w:rsidRPr="00C15A7C">
        <w:rPr>
          <w:rFonts w:cs="Arial"/>
          <w:i/>
          <w:sz w:val="20"/>
          <w:szCs w:val="20"/>
        </w:rPr>
        <w:t>, has not been assessed by the IUCN Red List.</w:t>
      </w:r>
    </w:p>
    <w:p w14:paraId="6CB4B7BD" w14:textId="77777777" w:rsidR="002D72AD" w:rsidRPr="00C15A7C" w:rsidRDefault="00C82977" w:rsidP="00C15A7C">
      <w:pPr>
        <w:spacing w:line="240" w:lineRule="auto"/>
        <w:jc w:val="both"/>
        <w:rPr>
          <w:rFonts w:cs="Arial"/>
          <w:color w:val="000000" w:themeColor="text1"/>
          <w:sz w:val="20"/>
          <w:szCs w:val="20"/>
        </w:rPr>
      </w:pPr>
      <w:r w:rsidRPr="00C15A7C">
        <w:rPr>
          <w:rFonts w:cs="Arial"/>
          <w:noProof/>
          <w:color w:val="000000" w:themeColor="text1"/>
          <w:sz w:val="20"/>
          <w:szCs w:val="20"/>
        </w:rPr>
        <w:drawing>
          <wp:anchor distT="0" distB="0" distL="114300" distR="114300" simplePos="0" relativeHeight="251663872" behindDoc="0" locked="0" layoutInCell="1" allowOverlap="1" wp14:anchorId="232F1536" wp14:editId="123A7F95">
            <wp:simplePos x="0" y="0"/>
            <wp:positionH relativeFrom="margin">
              <wp:align>left</wp:align>
            </wp:positionH>
            <wp:positionV relativeFrom="paragraph">
              <wp:posOffset>44904</wp:posOffset>
            </wp:positionV>
            <wp:extent cx="3221990" cy="2148840"/>
            <wp:effectExtent l="0" t="0" r="0" b="3810"/>
            <wp:wrapSquare wrapText="bothSides"/>
            <wp:docPr id="479173149" name="Picture 2" descr="A bird standing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73149" name="Picture 2" descr="A bird standing in a field&#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21990" cy="2148840"/>
                    </a:xfrm>
                    <a:prstGeom prst="rect">
                      <a:avLst/>
                    </a:prstGeom>
                  </pic:spPr>
                </pic:pic>
              </a:graphicData>
            </a:graphic>
            <wp14:sizeRelH relativeFrom="page">
              <wp14:pctWidth>0</wp14:pctWidth>
            </wp14:sizeRelH>
            <wp14:sizeRelV relativeFrom="page">
              <wp14:pctHeight>0</wp14:pctHeight>
            </wp14:sizeRelV>
          </wp:anchor>
        </w:drawing>
      </w:r>
      <w:r w:rsidR="002D72AD" w:rsidRPr="00C15A7C">
        <w:rPr>
          <w:rFonts w:cs="Arial"/>
          <w:i/>
          <w:color w:val="000000" w:themeColor="text1"/>
          <w:sz w:val="20"/>
          <w:szCs w:val="20"/>
        </w:rPr>
        <w:t>Photo caption</w:t>
      </w:r>
      <w:r w:rsidR="002D72AD" w:rsidRPr="00C15A7C">
        <w:rPr>
          <w:rFonts w:cs="Arial"/>
          <w:color w:val="000000" w:themeColor="text1"/>
          <w:sz w:val="20"/>
          <w:szCs w:val="20"/>
        </w:rPr>
        <w:t>: The CMS Appendix I-listed Great Bustard (</w:t>
      </w:r>
      <w:r w:rsidR="002D72AD" w:rsidRPr="00C15A7C">
        <w:rPr>
          <w:rFonts w:cs="Arial"/>
          <w:i/>
          <w:color w:val="000000" w:themeColor="text1"/>
          <w:sz w:val="20"/>
          <w:szCs w:val="20"/>
        </w:rPr>
        <w:t xml:space="preserve">Otis </w:t>
      </w:r>
      <w:proofErr w:type="spellStart"/>
      <w:r w:rsidR="002D72AD" w:rsidRPr="00C15A7C">
        <w:rPr>
          <w:rFonts w:cs="Arial"/>
          <w:i/>
          <w:color w:val="000000" w:themeColor="text1"/>
          <w:sz w:val="20"/>
          <w:szCs w:val="20"/>
        </w:rPr>
        <w:t>tarda</w:t>
      </w:r>
      <w:proofErr w:type="spellEnd"/>
      <w:r w:rsidR="002D72AD" w:rsidRPr="00C15A7C">
        <w:rPr>
          <w:rFonts w:cs="Arial"/>
          <w:color w:val="000000" w:themeColor="text1"/>
          <w:sz w:val="20"/>
          <w:szCs w:val="20"/>
        </w:rPr>
        <w:t>), categorized as Vulnerable in 2017, was re-classified as Endangered in 2023. Great Bustards face a range of pressures, including the loss and fragmentation of habitat (caused by agricultural intensification and infrastructure development), illegal taking and disturbance</w:t>
      </w:r>
      <w:r w:rsidR="002D72AD" w:rsidRPr="00C15A7C">
        <w:rPr>
          <w:rFonts w:cs="Arial"/>
          <w:color w:val="000000" w:themeColor="text1"/>
          <w:sz w:val="20"/>
          <w:szCs w:val="20"/>
          <w:vertAlign w:val="superscript"/>
        </w:rPr>
        <w:t>1</w:t>
      </w:r>
      <w:r w:rsidR="002D72AD" w:rsidRPr="00C15A7C">
        <w:rPr>
          <w:rFonts w:cs="Arial"/>
          <w:color w:val="000000" w:themeColor="text1"/>
          <w:sz w:val="20"/>
          <w:szCs w:val="20"/>
        </w:rPr>
        <w:t xml:space="preserve">. </w:t>
      </w:r>
      <w:r w:rsidR="002D72AD" w:rsidRPr="00C15A7C">
        <w:rPr>
          <w:rFonts w:cs="Arial"/>
          <w:i/>
          <w:color w:val="000000" w:themeColor="text1"/>
          <w:sz w:val="20"/>
          <w:szCs w:val="20"/>
        </w:rPr>
        <w:t>Photo credit</w:t>
      </w:r>
      <w:r w:rsidR="002D72AD" w:rsidRPr="00C15A7C">
        <w:rPr>
          <w:rFonts w:cs="Arial"/>
          <w:color w:val="000000" w:themeColor="text1"/>
          <w:sz w:val="20"/>
          <w:szCs w:val="20"/>
        </w:rPr>
        <w:t xml:space="preserve">: </w:t>
      </w:r>
      <w:hyperlink r:id="rId34" w:history="1">
        <w:r w:rsidR="002D72AD" w:rsidRPr="00C15A7C">
          <w:rPr>
            <w:rStyle w:val="Hyperlink"/>
            <w:rFonts w:cs="Arial"/>
            <w:sz w:val="20"/>
            <w:szCs w:val="20"/>
          </w:rPr>
          <w:t>Adobe Stock | #536283277</w:t>
        </w:r>
      </w:hyperlink>
      <w:r w:rsidR="002D72AD" w:rsidRPr="00C15A7C">
        <w:rPr>
          <w:rFonts w:cs="Arial"/>
          <w:color w:val="000000" w:themeColor="text1"/>
          <w:sz w:val="20"/>
          <w:szCs w:val="20"/>
        </w:rPr>
        <w:t>.</w:t>
      </w:r>
    </w:p>
    <w:p w14:paraId="6BF9B25D" w14:textId="77777777" w:rsidR="002D72AD" w:rsidRPr="00C15A7C" w:rsidRDefault="002D72AD" w:rsidP="00C82977">
      <w:pPr>
        <w:rPr>
          <w:rFonts w:cs="Arial"/>
          <w:i/>
          <w:sz w:val="20"/>
          <w:szCs w:val="20"/>
        </w:rPr>
      </w:pPr>
    </w:p>
    <w:p w14:paraId="653C786B" w14:textId="77777777" w:rsidR="002D72AD" w:rsidRDefault="002D72AD" w:rsidP="00C82977"/>
    <w:p w14:paraId="0A96AAFB" w14:textId="77777777" w:rsidR="00B36E8D" w:rsidRPr="00F0643D" w:rsidRDefault="00B36E8D" w:rsidP="00C82977"/>
    <w:p w14:paraId="5BE48A98" w14:textId="5E0CF13F" w:rsidR="002D72AD" w:rsidRDefault="002D72AD" w:rsidP="00C15A7C">
      <w:pPr>
        <w:pStyle w:val="Heading2"/>
        <w:spacing w:before="0" w:line="240" w:lineRule="auto"/>
        <w:jc w:val="both"/>
        <w:rPr>
          <w:rFonts w:ascii="Arial" w:hAnsi="Arial" w:cs="Arial"/>
          <w:i/>
          <w:color w:val="auto"/>
          <w:sz w:val="22"/>
          <w:szCs w:val="22"/>
        </w:rPr>
      </w:pPr>
      <w:r w:rsidRPr="00B36E8D">
        <w:rPr>
          <w:rFonts w:ascii="Arial" w:hAnsi="Arial" w:cs="Arial"/>
          <w:i/>
          <w:color w:val="auto"/>
          <w:sz w:val="22"/>
          <w:szCs w:val="22"/>
        </w:rPr>
        <w:lastRenderedPageBreak/>
        <w:t>Species that have moved to a more threatened category</w:t>
      </w:r>
    </w:p>
    <w:p w14:paraId="3DF98D88" w14:textId="77777777" w:rsidR="00B36E8D" w:rsidRPr="00B36E8D" w:rsidRDefault="00B36E8D" w:rsidP="00B36E8D">
      <w:pPr>
        <w:spacing w:after="0" w:line="240" w:lineRule="auto"/>
      </w:pPr>
    </w:p>
    <w:p w14:paraId="69A5CE5F" w14:textId="77777777" w:rsidR="002D72AD" w:rsidRDefault="002D72AD" w:rsidP="00C15A7C">
      <w:pPr>
        <w:spacing w:after="0" w:line="240" w:lineRule="auto"/>
        <w:jc w:val="both"/>
        <w:rPr>
          <w:rFonts w:cs="Arial"/>
        </w:rPr>
      </w:pPr>
      <w:r w:rsidRPr="00B36E8D">
        <w:rPr>
          <w:rFonts w:cs="Arial"/>
        </w:rPr>
        <w:t xml:space="preserve">Nineteen (73%) of the 26 species that have recently moved to a more threatened category are now categorized as Vulnerable, Endangered or Critically Endangered (see </w:t>
      </w:r>
      <w:r w:rsidRPr="00B36E8D">
        <w:rPr>
          <w:rFonts w:cs="Arial"/>
          <w:b/>
        </w:rPr>
        <w:t>Appendix Table 1</w:t>
      </w:r>
      <w:r w:rsidRPr="00B36E8D">
        <w:rPr>
          <w:rFonts w:cs="Arial"/>
        </w:rPr>
        <w:t xml:space="preserve">). Of these 19 globally threatened species, 12 were previously categorized as Least Concern or Near Threatened in the preceding assessment. A further seven species were previously categorized as globally threatened but have shifted to an even more threatened category: four of these species are now Endangered and three are now Critically Endangered. </w:t>
      </w:r>
    </w:p>
    <w:p w14:paraId="0896C86B" w14:textId="77777777" w:rsidR="00B36E8D" w:rsidRPr="00B36E8D" w:rsidRDefault="00B36E8D" w:rsidP="00C15A7C">
      <w:pPr>
        <w:spacing w:after="0" w:line="240" w:lineRule="auto"/>
        <w:jc w:val="both"/>
        <w:rPr>
          <w:rFonts w:cs="Arial"/>
        </w:rPr>
      </w:pPr>
    </w:p>
    <w:p w14:paraId="18EAF498" w14:textId="77777777" w:rsidR="002D72AD" w:rsidRDefault="002D72AD" w:rsidP="00C15A7C">
      <w:pPr>
        <w:widowControl w:val="0"/>
        <w:spacing w:after="0" w:line="240" w:lineRule="auto"/>
        <w:jc w:val="both"/>
        <w:rPr>
          <w:rFonts w:cs="Arial"/>
        </w:rPr>
      </w:pPr>
      <w:r w:rsidRPr="00B36E8D">
        <w:rPr>
          <w:rFonts w:cs="Arial"/>
        </w:rPr>
        <w:t>Eighteen (69%) of the 26 CMS-listed species that moved to a more threatened category are migratory shorebirds, of which nine are now assessed as Vulnerable. At least 14t of these species have been confirmed as undergoing a deterioration in their global conservation status since 1988 that can be attributed to increased threats, rather than improvements in information</w:t>
      </w:r>
      <w:r w:rsidRPr="00B36E8D">
        <w:rPr>
          <w:rFonts w:cs="Arial"/>
          <w:vertAlign w:val="superscript"/>
        </w:rPr>
        <w:t>2</w:t>
      </w:r>
      <w:r w:rsidRPr="00B36E8D">
        <w:rPr>
          <w:rFonts w:cs="Arial"/>
        </w:rPr>
        <w:t>.</w:t>
      </w:r>
    </w:p>
    <w:p w14:paraId="01C24D65" w14:textId="77777777" w:rsidR="00B36E8D" w:rsidRPr="00B36E8D" w:rsidRDefault="00B36E8D" w:rsidP="00C15A7C">
      <w:pPr>
        <w:widowControl w:val="0"/>
        <w:spacing w:after="0" w:line="240" w:lineRule="auto"/>
        <w:jc w:val="both"/>
        <w:rPr>
          <w:rFonts w:cs="Arial"/>
        </w:rPr>
      </w:pPr>
    </w:p>
    <w:p w14:paraId="08B63C25" w14:textId="77777777" w:rsidR="002D72AD" w:rsidRPr="00B36E8D" w:rsidRDefault="00C82977" w:rsidP="00B36E8D">
      <w:pPr>
        <w:spacing w:after="0"/>
        <w:jc w:val="both"/>
        <w:rPr>
          <w:rFonts w:cs="Arial"/>
          <w:i/>
          <w:sz w:val="20"/>
          <w:szCs w:val="20"/>
        </w:rPr>
      </w:pPr>
      <w:r w:rsidRPr="00B36E8D">
        <w:rPr>
          <w:rFonts w:cs="Arial"/>
          <w:noProof/>
          <w:sz w:val="20"/>
          <w:szCs w:val="20"/>
        </w:rPr>
        <w:drawing>
          <wp:anchor distT="0" distB="0" distL="114300" distR="114300" simplePos="0" relativeHeight="251662848" behindDoc="0" locked="0" layoutInCell="1" allowOverlap="1" wp14:anchorId="1591C262" wp14:editId="78272EC7">
            <wp:simplePos x="0" y="0"/>
            <wp:positionH relativeFrom="margin">
              <wp:posOffset>7620</wp:posOffset>
            </wp:positionH>
            <wp:positionV relativeFrom="paragraph">
              <wp:posOffset>10795</wp:posOffset>
            </wp:positionV>
            <wp:extent cx="2632075" cy="2920365"/>
            <wp:effectExtent l="0" t="0" r="0" b="0"/>
            <wp:wrapSquare wrapText="bothSides"/>
            <wp:docPr id="1984474495" name="Picture 4" descr="A bird standing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474495" name="Picture 4" descr="A bird standing on the ground&#10;&#10;Description automatically generated"/>
                    <pic:cNvPicPr/>
                  </pic:nvPicPr>
                  <pic:blipFill rotWithShape="1">
                    <a:blip r:embed="rId35" cstate="print">
                      <a:extLst>
                        <a:ext uri="{28A0092B-C50C-407E-A947-70E740481C1C}">
                          <a14:useLocalDpi xmlns:a14="http://schemas.microsoft.com/office/drawing/2010/main" val="0"/>
                        </a:ext>
                      </a:extLst>
                    </a:blip>
                    <a:srcRect l="20075" r="19837"/>
                    <a:stretch/>
                  </pic:blipFill>
                  <pic:spPr bwMode="auto">
                    <a:xfrm flipH="1">
                      <a:off x="0" y="0"/>
                      <a:ext cx="2632075" cy="2920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72AD" w:rsidRPr="00B36E8D">
        <w:rPr>
          <w:rFonts w:cs="Arial"/>
          <w:i/>
          <w:sz w:val="20"/>
          <w:szCs w:val="20"/>
        </w:rPr>
        <w:t>Photo caption</w:t>
      </w:r>
      <w:r w:rsidR="002D72AD" w:rsidRPr="00B36E8D">
        <w:rPr>
          <w:rFonts w:cs="Arial"/>
          <w:sz w:val="20"/>
          <w:szCs w:val="20"/>
        </w:rPr>
        <w:t>: Like several other CMS-listed shorebirds, the CMS Appendix I-listed Buff-breasted Sandpiper (</w:t>
      </w:r>
      <w:r w:rsidR="002D72AD" w:rsidRPr="00B36E8D">
        <w:rPr>
          <w:rFonts w:cs="Arial"/>
          <w:i/>
          <w:sz w:val="20"/>
          <w:szCs w:val="20"/>
        </w:rPr>
        <w:t xml:space="preserve">Calidris </w:t>
      </w:r>
      <w:proofErr w:type="spellStart"/>
      <w:r w:rsidR="002D72AD" w:rsidRPr="00B36E8D">
        <w:rPr>
          <w:rFonts w:cs="Arial"/>
          <w:i/>
          <w:sz w:val="20"/>
          <w:szCs w:val="20"/>
        </w:rPr>
        <w:t>subruficollis</w:t>
      </w:r>
      <w:proofErr w:type="spellEnd"/>
      <w:r w:rsidR="002D72AD" w:rsidRPr="00B36E8D">
        <w:rPr>
          <w:rFonts w:cs="Arial"/>
          <w:sz w:val="20"/>
          <w:szCs w:val="20"/>
        </w:rPr>
        <w:t>) has recently been re-categorized from Near Threatened to Vulnerable, following the publication of an updated IUCN Red List assessment for this species in 2024. This species undertakes a 30,000 km round-trip migration from its Arctic breeding grounds to non-breeding areas in southern South America but faces an uncertain future due to habitat loss and climate change</w:t>
      </w:r>
      <w:r w:rsidR="002D72AD" w:rsidRPr="00B36E8D">
        <w:rPr>
          <w:rFonts w:cs="Arial"/>
          <w:sz w:val="20"/>
          <w:szCs w:val="20"/>
          <w:vertAlign w:val="superscript"/>
        </w:rPr>
        <w:t>3</w:t>
      </w:r>
      <w:r w:rsidR="002D72AD" w:rsidRPr="00B36E8D">
        <w:rPr>
          <w:rFonts w:cs="Arial"/>
          <w:sz w:val="20"/>
          <w:szCs w:val="20"/>
        </w:rPr>
        <w:t xml:space="preserve">. </w:t>
      </w:r>
      <w:r w:rsidR="002D72AD" w:rsidRPr="00B36E8D">
        <w:rPr>
          <w:rFonts w:cs="Arial"/>
          <w:i/>
          <w:sz w:val="20"/>
          <w:szCs w:val="20"/>
        </w:rPr>
        <w:t>Photo credit</w:t>
      </w:r>
      <w:r w:rsidR="002D72AD" w:rsidRPr="00B36E8D">
        <w:rPr>
          <w:rFonts w:cs="Arial"/>
          <w:sz w:val="20"/>
          <w:szCs w:val="20"/>
        </w:rPr>
        <w:t xml:space="preserve">: </w:t>
      </w:r>
      <w:hyperlink r:id="rId36" w:history="1">
        <w:r w:rsidR="002D72AD" w:rsidRPr="00B36E8D">
          <w:rPr>
            <w:rStyle w:val="Hyperlink"/>
            <w:rFonts w:cs="Arial"/>
            <w:sz w:val="20"/>
            <w:szCs w:val="20"/>
          </w:rPr>
          <w:t>Adobe Stock | #402858055</w:t>
        </w:r>
      </w:hyperlink>
      <w:r w:rsidR="002D72AD" w:rsidRPr="00B36E8D">
        <w:rPr>
          <w:rFonts w:cs="Arial"/>
          <w:sz w:val="20"/>
          <w:szCs w:val="20"/>
        </w:rPr>
        <w:t>.</w:t>
      </w:r>
    </w:p>
    <w:p w14:paraId="522E1183" w14:textId="77777777" w:rsidR="002D72AD" w:rsidRPr="001C4609" w:rsidRDefault="002D72AD" w:rsidP="00C82977">
      <w:pPr>
        <w:spacing w:after="0"/>
        <w:rPr>
          <w:rFonts w:ascii="Roboto" w:hAnsi="Roboto"/>
          <w:sz w:val="20"/>
          <w:szCs w:val="20"/>
        </w:rPr>
      </w:pPr>
    </w:p>
    <w:p w14:paraId="4C629FA9" w14:textId="77777777" w:rsidR="002D72AD" w:rsidRDefault="002D72AD" w:rsidP="00C82977">
      <w:pPr>
        <w:pStyle w:val="Heading2"/>
        <w:spacing w:before="0" w:after="240"/>
        <w:rPr>
          <w:rFonts w:ascii="Roboto" w:hAnsi="Roboto"/>
          <w:i/>
          <w:color w:val="003870"/>
          <w:sz w:val="22"/>
          <w:szCs w:val="22"/>
        </w:rPr>
      </w:pPr>
    </w:p>
    <w:p w14:paraId="7E9404C3" w14:textId="77777777" w:rsidR="002D72AD" w:rsidRDefault="002D72AD" w:rsidP="00C82977"/>
    <w:p w14:paraId="0F879C09" w14:textId="77777777" w:rsidR="002D72AD" w:rsidRDefault="002D72AD" w:rsidP="00C82977"/>
    <w:p w14:paraId="6079CE06" w14:textId="77777777" w:rsidR="002D72AD" w:rsidRPr="00950922" w:rsidRDefault="002D72AD" w:rsidP="00C82977"/>
    <w:p w14:paraId="3BE1A455" w14:textId="77777777" w:rsidR="002D72AD" w:rsidRDefault="002D72AD" w:rsidP="00B36E8D">
      <w:pPr>
        <w:pStyle w:val="Heading2"/>
        <w:spacing w:before="0" w:line="240" w:lineRule="auto"/>
        <w:jc w:val="both"/>
        <w:rPr>
          <w:rFonts w:ascii="Arial" w:hAnsi="Arial" w:cs="Arial"/>
          <w:i/>
          <w:color w:val="auto"/>
          <w:sz w:val="22"/>
          <w:szCs w:val="22"/>
        </w:rPr>
      </w:pPr>
      <w:r w:rsidRPr="00B36E8D">
        <w:rPr>
          <w:rFonts w:ascii="Arial" w:hAnsi="Arial" w:cs="Arial"/>
          <w:i/>
          <w:color w:val="auto"/>
          <w:sz w:val="22"/>
          <w:szCs w:val="22"/>
        </w:rPr>
        <w:t>Species that have moved to a less threatened category</w:t>
      </w:r>
    </w:p>
    <w:p w14:paraId="05CBA7A7" w14:textId="77777777" w:rsidR="00B36E8D" w:rsidRPr="00B36E8D" w:rsidRDefault="00B36E8D" w:rsidP="00943DBF">
      <w:pPr>
        <w:spacing w:after="0" w:line="240" w:lineRule="auto"/>
      </w:pPr>
    </w:p>
    <w:p w14:paraId="5A6A16C9" w14:textId="77777777" w:rsidR="002D72AD" w:rsidRPr="00B36E8D" w:rsidRDefault="002D72AD" w:rsidP="00B36E8D">
      <w:pPr>
        <w:spacing w:after="80" w:line="240" w:lineRule="auto"/>
        <w:jc w:val="both"/>
        <w:rPr>
          <w:rFonts w:cs="Arial"/>
        </w:rPr>
      </w:pPr>
      <w:r w:rsidRPr="00B36E8D">
        <w:rPr>
          <w:rFonts w:cs="Arial"/>
        </w:rPr>
        <w:t xml:space="preserve">Seven CMS-listed species have an improved conservation status since 2022. These include four bird species that have moved from Near Threatened to Least Concern (see </w:t>
      </w:r>
      <w:r w:rsidRPr="00B36E8D">
        <w:rPr>
          <w:rFonts w:cs="Arial"/>
          <w:b/>
        </w:rPr>
        <w:t>Appendix Table 1</w:t>
      </w:r>
      <w:r w:rsidRPr="00B36E8D">
        <w:rPr>
          <w:rFonts w:cs="Arial"/>
        </w:rPr>
        <w:t>), as well as the following examples of conservation successes:</w:t>
      </w:r>
    </w:p>
    <w:p w14:paraId="32F908EB" w14:textId="77777777" w:rsidR="002D72AD" w:rsidRPr="00B36E8D" w:rsidRDefault="002D72AD" w:rsidP="0024268D">
      <w:pPr>
        <w:pStyle w:val="ListParagraph"/>
        <w:numPr>
          <w:ilvl w:val="0"/>
          <w:numId w:val="6"/>
        </w:numPr>
        <w:spacing w:after="80" w:line="240" w:lineRule="auto"/>
        <w:ind w:left="567" w:hanging="567"/>
        <w:contextualSpacing w:val="0"/>
        <w:jc w:val="both"/>
        <w:rPr>
          <w:rFonts w:cs="Arial"/>
        </w:rPr>
      </w:pPr>
      <w:r w:rsidRPr="00B36E8D">
        <w:rPr>
          <w:rFonts w:cs="Arial"/>
        </w:rPr>
        <w:t>Following a successful reintroduction project in Chad, the Scimitar-horned Oryx (</w:t>
      </w:r>
      <w:r w:rsidRPr="00B36E8D">
        <w:rPr>
          <w:rFonts w:cs="Arial"/>
          <w:i/>
        </w:rPr>
        <w:t>Oryx </w:t>
      </w:r>
      <w:proofErr w:type="spellStart"/>
      <w:r w:rsidRPr="00B36E8D">
        <w:rPr>
          <w:rFonts w:cs="Arial"/>
          <w:i/>
        </w:rPr>
        <w:t>dammah</w:t>
      </w:r>
      <w:proofErr w:type="spellEnd"/>
      <w:r w:rsidRPr="00B36E8D">
        <w:rPr>
          <w:rFonts w:cs="Arial"/>
        </w:rPr>
        <w:t>) has been re-categorized from Extinct in the Wild to Endangered. The reintroduction has led to the establishment of a viable wild population, which numbered approximately 575 individuals in 2022</w:t>
      </w:r>
      <w:r w:rsidRPr="00B36E8D">
        <w:rPr>
          <w:rFonts w:cs="Arial"/>
          <w:vertAlign w:val="superscript"/>
        </w:rPr>
        <w:t>4</w:t>
      </w:r>
      <w:r w:rsidRPr="00B36E8D">
        <w:rPr>
          <w:rFonts w:cs="Arial"/>
        </w:rPr>
        <w:t>.</w:t>
      </w:r>
    </w:p>
    <w:p w14:paraId="16D7E86E" w14:textId="77777777" w:rsidR="002D72AD" w:rsidRPr="00B36E8D" w:rsidRDefault="002D72AD" w:rsidP="0024268D">
      <w:pPr>
        <w:pStyle w:val="ListParagraph"/>
        <w:numPr>
          <w:ilvl w:val="0"/>
          <w:numId w:val="6"/>
        </w:numPr>
        <w:spacing w:after="80" w:line="240" w:lineRule="auto"/>
        <w:ind w:left="567" w:hanging="567"/>
        <w:contextualSpacing w:val="0"/>
        <w:jc w:val="both"/>
        <w:rPr>
          <w:rFonts w:cs="Arial"/>
        </w:rPr>
      </w:pPr>
      <w:r w:rsidRPr="00B36E8D">
        <w:rPr>
          <w:rFonts w:cs="Arial"/>
        </w:rPr>
        <w:t>Recent population growth and range expansion has led to the Mediterranean Monk Seal (</w:t>
      </w:r>
      <w:r w:rsidRPr="00B36E8D">
        <w:rPr>
          <w:rFonts w:cs="Arial"/>
          <w:i/>
        </w:rPr>
        <w:t>Monachus monachus</w:t>
      </w:r>
      <w:r w:rsidRPr="00B36E8D">
        <w:rPr>
          <w:rFonts w:cs="Arial"/>
        </w:rPr>
        <w:t>) being re-categorized from Endangered to Vulnerable</w:t>
      </w:r>
      <w:r w:rsidRPr="00B36E8D">
        <w:rPr>
          <w:rFonts w:cs="Arial"/>
          <w:vertAlign w:val="superscript"/>
        </w:rPr>
        <w:t>5</w:t>
      </w:r>
      <w:r w:rsidRPr="00B36E8D">
        <w:rPr>
          <w:rFonts w:cs="Arial"/>
        </w:rPr>
        <w:t>. However, the global population still remains small, at under 1000 individuals, and is still subject to pressures including the loss of optimal pupping and foraging habitat and negative interactions with fisheries</w:t>
      </w:r>
      <w:r w:rsidRPr="00B36E8D">
        <w:rPr>
          <w:rFonts w:cs="Arial"/>
          <w:vertAlign w:val="superscript"/>
        </w:rPr>
        <w:t>6</w:t>
      </w:r>
      <w:r w:rsidRPr="00B36E8D">
        <w:rPr>
          <w:rFonts w:cs="Arial"/>
        </w:rPr>
        <w:t>.</w:t>
      </w:r>
    </w:p>
    <w:p w14:paraId="73FC7B41" w14:textId="77777777" w:rsidR="002D72AD" w:rsidRPr="00B36E8D" w:rsidRDefault="002D72AD" w:rsidP="0024268D">
      <w:pPr>
        <w:pStyle w:val="ListParagraph"/>
        <w:numPr>
          <w:ilvl w:val="0"/>
          <w:numId w:val="6"/>
        </w:numPr>
        <w:spacing w:after="80" w:line="240" w:lineRule="auto"/>
        <w:ind w:left="567" w:hanging="567"/>
        <w:contextualSpacing w:val="0"/>
        <w:jc w:val="both"/>
        <w:rPr>
          <w:rFonts w:cs="Arial"/>
        </w:rPr>
      </w:pPr>
      <w:r w:rsidRPr="00B36E8D">
        <w:rPr>
          <w:rFonts w:cs="Arial"/>
        </w:rPr>
        <w:t>Saiga Antelope (</w:t>
      </w:r>
      <w:r w:rsidRPr="00B36E8D">
        <w:rPr>
          <w:rFonts w:cs="Arial"/>
          <w:i/>
        </w:rPr>
        <w:t xml:space="preserve">Saiga </w:t>
      </w:r>
      <w:proofErr w:type="spellStart"/>
      <w:r w:rsidRPr="00B36E8D">
        <w:rPr>
          <w:rFonts w:cs="Arial"/>
          <w:i/>
        </w:rPr>
        <w:t>tatarica</w:t>
      </w:r>
      <w:proofErr w:type="spellEnd"/>
      <w:r w:rsidRPr="00B36E8D">
        <w:rPr>
          <w:rFonts w:cs="Arial"/>
        </w:rPr>
        <w:t>) populations have rebounded spectacularly in parts of their range after disease outbreaks during the 2010s, moving the species from globally Endangered to Near Threatened. This recovery reflects intensified conservation efforts in Kazakhstan, including expanded anti-poaching initiatives, the protection of key habitats and engagement with local communities</w:t>
      </w:r>
      <w:r w:rsidRPr="00B36E8D">
        <w:rPr>
          <w:rFonts w:cs="Arial"/>
          <w:vertAlign w:val="superscript"/>
        </w:rPr>
        <w:t>7</w:t>
      </w:r>
      <w:r w:rsidRPr="00B36E8D">
        <w:rPr>
          <w:rFonts w:cs="Arial"/>
        </w:rPr>
        <w:t xml:space="preserve">. Saiga remain threatened in some </w:t>
      </w:r>
      <w:r w:rsidRPr="00B36E8D">
        <w:rPr>
          <w:rFonts w:cs="Arial"/>
        </w:rPr>
        <w:lastRenderedPageBreak/>
        <w:t>areas and Range States, and are absent from other parts of their former range; the long-term recovery of the species depends on sustained conservation measures</w:t>
      </w:r>
      <w:r w:rsidRPr="00B36E8D">
        <w:rPr>
          <w:rFonts w:cs="Arial"/>
          <w:vertAlign w:val="superscript"/>
        </w:rPr>
        <w:t>8</w:t>
      </w:r>
      <w:r w:rsidRPr="00B36E8D">
        <w:rPr>
          <w:rFonts w:cs="Arial"/>
        </w:rPr>
        <w:t>.</w:t>
      </w:r>
    </w:p>
    <w:p w14:paraId="38116EC4" w14:textId="77777777" w:rsidR="002D72AD" w:rsidRDefault="00C82977" w:rsidP="003E7324">
      <w:pPr>
        <w:pStyle w:val="NormalWeb"/>
        <w:spacing w:after="0" w:afterAutospacing="0"/>
      </w:pPr>
      <w:r>
        <w:rPr>
          <w:noProof/>
        </w:rPr>
        <w:drawing>
          <wp:inline distT="0" distB="0" distL="0" distR="0" wp14:anchorId="5228CE5B" wp14:editId="074C6D77">
            <wp:extent cx="5651500" cy="3675965"/>
            <wp:effectExtent l="0" t="0" r="6350" b="1270"/>
            <wp:docPr id="1874729332" name="Picture 2" descr="A group of people in a c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729332" name="Picture 2" descr="A group of people in a cage&#10;&#10;AI-generated content may be incorrect."/>
                    <pic:cNvPicPr>
                      <a:picLocks noChangeAspect="1" noChangeArrowheads="1"/>
                    </pic:cNvPicPr>
                  </pic:nvPicPr>
                  <pic:blipFill rotWithShape="1">
                    <a:blip r:embed="rId37">
                      <a:extLst>
                        <a:ext uri="{28A0092B-C50C-407E-A947-70E740481C1C}">
                          <a14:useLocalDpi xmlns:a14="http://schemas.microsoft.com/office/drawing/2010/main" val="0"/>
                        </a:ext>
                      </a:extLst>
                    </a:blip>
                    <a:srcRect l="14680" t="9147" r="3268" b="10473"/>
                    <a:stretch/>
                  </pic:blipFill>
                  <pic:spPr bwMode="auto">
                    <a:xfrm>
                      <a:off x="0" y="0"/>
                      <a:ext cx="5666744" cy="3685881"/>
                    </a:xfrm>
                    <a:prstGeom prst="rect">
                      <a:avLst/>
                    </a:prstGeom>
                    <a:noFill/>
                    <a:ln>
                      <a:noFill/>
                    </a:ln>
                    <a:extLst>
                      <a:ext uri="{53640926-AAD7-44D8-BBD7-CCE9431645EC}">
                        <a14:shadowObscured xmlns:a14="http://schemas.microsoft.com/office/drawing/2010/main"/>
                      </a:ext>
                    </a:extLst>
                  </pic:spPr>
                </pic:pic>
              </a:graphicData>
            </a:graphic>
          </wp:inline>
        </w:drawing>
      </w:r>
    </w:p>
    <w:p w14:paraId="0FD31C50" w14:textId="77777777" w:rsidR="002D72AD" w:rsidRPr="0024268D" w:rsidRDefault="002D72AD" w:rsidP="000F2FBE">
      <w:pPr>
        <w:spacing w:before="40" w:after="0" w:line="240" w:lineRule="auto"/>
        <w:jc w:val="both"/>
        <w:rPr>
          <w:rFonts w:cs="Arial"/>
          <w:sz w:val="20"/>
          <w:szCs w:val="20"/>
        </w:rPr>
      </w:pPr>
      <w:r w:rsidRPr="0024268D">
        <w:rPr>
          <w:rFonts w:cs="Arial"/>
          <w:i/>
          <w:sz w:val="20"/>
          <w:szCs w:val="20"/>
        </w:rPr>
        <w:t>Photo caption</w:t>
      </w:r>
      <w:r w:rsidRPr="0024268D">
        <w:rPr>
          <w:rFonts w:cs="Arial"/>
          <w:sz w:val="20"/>
          <w:szCs w:val="20"/>
        </w:rPr>
        <w:t>: Scimitar-horned Oryx (</w:t>
      </w:r>
      <w:r w:rsidRPr="0024268D">
        <w:rPr>
          <w:rFonts w:cs="Arial"/>
          <w:i/>
          <w:sz w:val="20"/>
          <w:szCs w:val="20"/>
        </w:rPr>
        <w:t xml:space="preserve">Oryx </w:t>
      </w:r>
      <w:proofErr w:type="spellStart"/>
      <w:r w:rsidRPr="0024268D">
        <w:rPr>
          <w:rFonts w:cs="Arial"/>
          <w:i/>
          <w:sz w:val="20"/>
          <w:szCs w:val="20"/>
        </w:rPr>
        <w:t>dammah</w:t>
      </w:r>
      <w:proofErr w:type="spellEnd"/>
      <w:r w:rsidRPr="0024268D">
        <w:rPr>
          <w:rFonts w:cs="Arial"/>
          <w:sz w:val="20"/>
          <w:szCs w:val="20"/>
        </w:rPr>
        <w:t xml:space="preserve">) being released as part of a successful reintroduction project in Chad in 2016. The species was categorized as Extinct in the Wild by the IUCN Red List in 2000 but has recently been re-categorized to Endangered following successful reintroduction efforts. </w:t>
      </w:r>
      <w:r w:rsidRPr="0024268D">
        <w:rPr>
          <w:rFonts w:cs="Arial"/>
          <w:i/>
          <w:sz w:val="20"/>
          <w:szCs w:val="20"/>
        </w:rPr>
        <w:t>Photo credit</w:t>
      </w:r>
      <w:r w:rsidRPr="0024268D">
        <w:rPr>
          <w:rFonts w:cs="Arial"/>
          <w:sz w:val="20"/>
          <w:szCs w:val="20"/>
        </w:rPr>
        <w:t xml:space="preserve">: </w:t>
      </w:r>
      <w:hyperlink r:id="rId38" w:history="1">
        <w:r w:rsidRPr="0024268D">
          <w:rPr>
            <w:rStyle w:val="Hyperlink"/>
            <w:rFonts w:cs="Arial"/>
            <w:sz w:val="20"/>
            <w:szCs w:val="20"/>
          </w:rPr>
          <w:t>Smithsonian’s National Zoo</w:t>
        </w:r>
      </w:hyperlink>
      <w:r w:rsidRPr="0024268D">
        <w:rPr>
          <w:rFonts w:cs="Arial"/>
          <w:sz w:val="20"/>
          <w:szCs w:val="20"/>
        </w:rPr>
        <w:t xml:space="preserve"> / Environmental Agency—Abu Dhabi (EAD), licenced under </w:t>
      </w:r>
      <w:hyperlink r:id="rId39" w:history="1">
        <w:r w:rsidRPr="0024268D">
          <w:rPr>
            <w:rStyle w:val="Hyperlink"/>
            <w:rFonts w:cs="Arial"/>
            <w:sz w:val="20"/>
            <w:szCs w:val="20"/>
          </w:rPr>
          <w:t>CC BY-NC-ND 2.0</w:t>
        </w:r>
      </w:hyperlink>
      <w:r w:rsidRPr="0024268D">
        <w:rPr>
          <w:rFonts w:cs="Arial"/>
          <w:sz w:val="20"/>
          <w:szCs w:val="20"/>
        </w:rPr>
        <w:t xml:space="preserve">. </w:t>
      </w:r>
    </w:p>
    <w:p w14:paraId="30F1EB00" w14:textId="77777777" w:rsidR="002D72AD" w:rsidRPr="0024268D" w:rsidRDefault="002D72AD" w:rsidP="0024268D">
      <w:pPr>
        <w:spacing w:after="0" w:line="240" w:lineRule="auto"/>
        <w:jc w:val="both"/>
        <w:rPr>
          <w:rFonts w:cs="Arial"/>
          <w:b/>
          <w:color w:val="003870"/>
          <w:sz w:val="20"/>
          <w:szCs w:val="20"/>
        </w:rPr>
      </w:pPr>
    </w:p>
    <w:p w14:paraId="4BD132D8" w14:textId="77777777" w:rsidR="002D72AD" w:rsidRPr="0024268D" w:rsidRDefault="002D72AD" w:rsidP="0024268D">
      <w:pPr>
        <w:spacing w:after="0" w:line="240" w:lineRule="auto"/>
        <w:jc w:val="both"/>
        <w:rPr>
          <w:rFonts w:cs="Arial"/>
          <w:b/>
        </w:rPr>
      </w:pPr>
      <w:r w:rsidRPr="0024268D">
        <w:rPr>
          <w:rFonts w:cs="Arial"/>
          <w:b/>
        </w:rPr>
        <w:t>Changes in population trends</w:t>
      </w:r>
    </w:p>
    <w:p w14:paraId="4C2DD9BB" w14:textId="77777777" w:rsidR="0024268D" w:rsidRPr="0024268D" w:rsidRDefault="0024268D" w:rsidP="0024268D">
      <w:pPr>
        <w:spacing w:after="0" w:line="240" w:lineRule="auto"/>
        <w:jc w:val="both"/>
        <w:rPr>
          <w:rFonts w:cs="Arial"/>
          <w:b/>
        </w:rPr>
      </w:pPr>
    </w:p>
    <w:p w14:paraId="33986C20" w14:textId="77777777" w:rsidR="002D72AD" w:rsidRDefault="002D72AD" w:rsidP="0024268D">
      <w:pPr>
        <w:spacing w:after="0" w:line="240" w:lineRule="auto"/>
        <w:jc w:val="both"/>
        <w:rPr>
          <w:rFonts w:cs="Arial"/>
        </w:rPr>
      </w:pPr>
      <w:r w:rsidRPr="0024268D">
        <w:rPr>
          <w:rFonts w:cs="Arial"/>
        </w:rPr>
        <w:t>Updates to the IUCN Red List have also resulted in changes to population trends of CMS-listed species. Excluding the ten entirely new species and subspecies that were added to the CMS Appendices at COP14</w:t>
      </w:r>
      <w:r w:rsidRPr="0024268D">
        <w:rPr>
          <w:rStyle w:val="FootnoteReference"/>
          <w:rFonts w:cs="Arial"/>
        </w:rPr>
        <w:footnoteReference w:id="8"/>
      </w:r>
      <w:r w:rsidRPr="0024268D">
        <w:rPr>
          <w:rFonts w:cs="Arial"/>
        </w:rPr>
        <w:t xml:space="preserve">, the overall proportion of CMS-listed species with an increasing or stable population trend has declined from 43% (520 species) to 38% (459 species). This change has largely been driven by the 67 Appendix II birds that have been re-assigned from the “stable” to the “decreasing” category, as indicated by the transitions shown in </w:t>
      </w:r>
      <w:r w:rsidRPr="0024268D">
        <w:rPr>
          <w:rFonts w:cs="Arial"/>
          <w:b/>
        </w:rPr>
        <w:t>Figure 1.1b</w:t>
      </w:r>
      <w:r w:rsidRPr="0024268D">
        <w:rPr>
          <w:rFonts w:cs="Arial"/>
        </w:rPr>
        <w:t xml:space="preserve">. By contrast, in terms of positive trends, one terrestrial mammal (the Saiga Antelope, </w:t>
      </w:r>
      <w:r w:rsidRPr="0024268D">
        <w:rPr>
          <w:rFonts w:cs="Arial"/>
          <w:i/>
        </w:rPr>
        <w:t>Saiga </w:t>
      </w:r>
      <w:proofErr w:type="spellStart"/>
      <w:r w:rsidRPr="0024268D">
        <w:rPr>
          <w:rFonts w:cs="Arial"/>
          <w:i/>
        </w:rPr>
        <w:t>tatarica</w:t>
      </w:r>
      <w:proofErr w:type="spellEnd"/>
      <w:r w:rsidRPr="0024268D">
        <w:rPr>
          <w:rFonts w:cs="Arial"/>
        </w:rPr>
        <w:t>) and fourteen birds that were previously classified as “decreasing” now have either “increasing” or “stable” population trends.</w:t>
      </w:r>
    </w:p>
    <w:p w14:paraId="1B45A92E" w14:textId="77777777" w:rsidR="0024268D" w:rsidRPr="0024268D" w:rsidRDefault="0024268D" w:rsidP="0024268D">
      <w:pPr>
        <w:spacing w:after="0" w:line="240" w:lineRule="auto"/>
        <w:jc w:val="both"/>
        <w:rPr>
          <w:rFonts w:cs="Arial"/>
        </w:rPr>
      </w:pPr>
    </w:p>
    <w:p w14:paraId="7978D16D" w14:textId="42B9CDB2" w:rsidR="0024268D" w:rsidRDefault="002D72AD" w:rsidP="0024268D">
      <w:pPr>
        <w:spacing w:after="0" w:line="240" w:lineRule="auto"/>
        <w:jc w:val="both"/>
        <w:rPr>
          <w:rFonts w:cs="Arial"/>
        </w:rPr>
      </w:pPr>
      <w:r w:rsidRPr="0024268D">
        <w:rPr>
          <w:rFonts w:cs="Arial"/>
        </w:rPr>
        <w:t xml:space="preserve">The growth in the number of species with declining populations is likely to reflect the integration of additional long-term trend data within IUCN Red List assessments, rather than abrupt decreases during the time period since COP14. This update nonetheless presents a concerning picture: the total number of CMS-listed species that have decreasing population trends now stands at 592, or </w:t>
      </w:r>
      <w:r w:rsidRPr="0024268D">
        <w:rPr>
          <w:rFonts w:cs="Arial"/>
          <w:b/>
        </w:rPr>
        <w:t>almost half (49%) of all CMS-listed species</w:t>
      </w:r>
      <w:r w:rsidRPr="0024268D">
        <w:rPr>
          <w:rFonts w:cs="Arial"/>
        </w:rPr>
        <w:t xml:space="preserve">, up from the 44% reported in the </w:t>
      </w:r>
      <w:r w:rsidRPr="0024268D">
        <w:rPr>
          <w:rFonts w:cs="Arial"/>
          <w:i/>
        </w:rPr>
        <w:t>State of the World’s Migratory Species</w:t>
      </w:r>
      <w:r w:rsidRPr="0024268D">
        <w:rPr>
          <w:rFonts w:cs="Arial"/>
        </w:rPr>
        <w:t>.</w:t>
      </w:r>
      <w:r w:rsidR="0024268D">
        <w:rPr>
          <w:rFonts w:cs="Arial"/>
        </w:rPr>
        <w:br w:type="page"/>
      </w:r>
    </w:p>
    <w:p w14:paraId="2B073F94" w14:textId="77777777" w:rsidR="002D72AD" w:rsidRDefault="002D72AD" w:rsidP="0024268D">
      <w:pPr>
        <w:pStyle w:val="Heading1"/>
        <w:numPr>
          <w:ilvl w:val="0"/>
          <w:numId w:val="40"/>
        </w:numPr>
        <w:spacing w:before="0" w:line="240" w:lineRule="auto"/>
        <w:ind w:left="357" w:hanging="357"/>
        <w:jc w:val="both"/>
        <w:rPr>
          <w:rFonts w:ascii="Arial" w:hAnsi="Arial" w:cs="Arial"/>
          <w:b/>
          <w:bCs/>
          <w:color w:val="auto"/>
          <w:sz w:val="22"/>
          <w:szCs w:val="22"/>
        </w:rPr>
      </w:pPr>
      <w:bookmarkStart w:id="3" w:name="_Toc210914221"/>
      <w:r w:rsidRPr="0024268D">
        <w:rPr>
          <w:rFonts w:ascii="Arial" w:hAnsi="Arial" w:cs="Arial"/>
          <w:b/>
          <w:color w:val="auto"/>
          <w:sz w:val="22"/>
          <w:szCs w:val="22"/>
        </w:rPr>
        <w:lastRenderedPageBreak/>
        <w:t>Spotlight on recent</w:t>
      </w:r>
      <w:r w:rsidRPr="0024268D">
        <w:rPr>
          <w:rFonts w:ascii="Arial" w:hAnsi="Arial" w:cs="Arial"/>
          <w:b/>
          <w:bCs/>
          <w:color w:val="auto"/>
          <w:sz w:val="22"/>
          <w:szCs w:val="22"/>
        </w:rPr>
        <w:t>ly reported population changes</w:t>
      </w:r>
      <w:bookmarkEnd w:id="3"/>
    </w:p>
    <w:p w14:paraId="2E6E7297" w14:textId="77777777" w:rsidR="0024268D" w:rsidRPr="0024268D" w:rsidRDefault="0024268D" w:rsidP="0024268D">
      <w:pPr>
        <w:spacing w:after="0" w:line="240" w:lineRule="auto"/>
      </w:pPr>
    </w:p>
    <w:p w14:paraId="501EE9B4" w14:textId="77777777" w:rsidR="002D72AD" w:rsidRPr="0024268D" w:rsidRDefault="002D72AD" w:rsidP="0024268D">
      <w:pPr>
        <w:spacing w:after="0" w:line="240" w:lineRule="auto"/>
        <w:jc w:val="both"/>
        <w:rPr>
          <w:rFonts w:cs="Arial"/>
        </w:rPr>
      </w:pPr>
      <w:r w:rsidRPr="0024268D">
        <w:rPr>
          <w:rFonts w:cs="Arial"/>
        </w:rPr>
        <w:t>Since CMS COP14, several scientific papers, assessments and reports have been published that provide updated information on trends in population abundance and changes in the distribution of migratory species across the globe. This section presents a brief synthesis of key findings from selected papers and assessments published between late 2023</w:t>
      </w:r>
      <w:r w:rsidRPr="0024268D">
        <w:rPr>
          <w:rStyle w:val="FootnoteReference"/>
          <w:rFonts w:cs="Arial"/>
        </w:rPr>
        <w:footnoteReference w:id="9"/>
      </w:r>
      <w:r w:rsidRPr="0024268D">
        <w:rPr>
          <w:rFonts w:cs="Arial"/>
        </w:rPr>
        <w:t xml:space="preserve"> up until the time of writing (September 2025)</w:t>
      </w:r>
      <w:r w:rsidRPr="0024268D">
        <w:rPr>
          <w:rStyle w:val="FootnoteReference"/>
          <w:rFonts w:cs="Arial"/>
        </w:rPr>
        <w:footnoteReference w:id="10"/>
      </w:r>
      <w:r w:rsidRPr="0024268D">
        <w:rPr>
          <w:rFonts w:cs="Arial"/>
        </w:rPr>
        <w:t>. The aim of this section is to provide updates on key global or regional trends in some CMS-listed and non-CMS migratory species rather than to present a systematic survey or analysis of all of the relevant literature and data.</w:t>
      </w:r>
    </w:p>
    <w:p w14:paraId="4CF88F88" w14:textId="77777777" w:rsidR="00C82977" w:rsidRPr="0024268D" w:rsidRDefault="00C82977" w:rsidP="0024268D">
      <w:pPr>
        <w:spacing w:after="0" w:line="240" w:lineRule="auto"/>
        <w:jc w:val="both"/>
        <w:rPr>
          <w:rFonts w:cs="Arial"/>
          <w:b/>
          <w:bCs/>
          <w:color w:val="003870"/>
        </w:rPr>
      </w:pPr>
    </w:p>
    <w:p w14:paraId="76A738E2" w14:textId="77777777" w:rsidR="002D72AD" w:rsidRDefault="002D72AD" w:rsidP="0024268D">
      <w:pPr>
        <w:spacing w:after="0" w:line="240" w:lineRule="auto"/>
        <w:jc w:val="both"/>
        <w:rPr>
          <w:rFonts w:cs="Arial"/>
          <w:b/>
        </w:rPr>
      </w:pPr>
      <w:r w:rsidRPr="0024268D">
        <w:rPr>
          <w:rFonts w:cs="Arial"/>
          <w:b/>
        </w:rPr>
        <w:t>Population changes reported across multiple taxonomic groups</w:t>
      </w:r>
    </w:p>
    <w:p w14:paraId="5E6291EB" w14:textId="77777777" w:rsidR="0024268D" w:rsidRPr="0024268D" w:rsidRDefault="0024268D" w:rsidP="0024268D">
      <w:pPr>
        <w:spacing w:after="0" w:line="240" w:lineRule="auto"/>
        <w:jc w:val="both"/>
        <w:rPr>
          <w:rFonts w:cs="Arial"/>
          <w:b/>
        </w:rPr>
      </w:pPr>
    </w:p>
    <w:p w14:paraId="083E2633" w14:textId="77777777" w:rsidR="002D72AD" w:rsidRDefault="002D72AD" w:rsidP="0024268D">
      <w:pPr>
        <w:spacing w:after="0" w:line="240" w:lineRule="auto"/>
        <w:jc w:val="both"/>
        <w:rPr>
          <w:rFonts w:cs="Arial"/>
          <w:i/>
        </w:rPr>
      </w:pPr>
      <w:r w:rsidRPr="0024268D">
        <w:rPr>
          <w:rFonts w:cs="Arial"/>
          <w:i/>
        </w:rPr>
        <w:t>Impacts of avian influenza</w:t>
      </w:r>
    </w:p>
    <w:p w14:paraId="328C9539" w14:textId="77777777" w:rsidR="0024268D" w:rsidRPr="0024268D" w:rsidRDefault="0024268D" w:rsidP="0024268D">
      <w:pPr>
        <w:spacing w:after="0" w:line="240" w:lineRule="auto"/>
        <w:jc w:val="both"/>
        <w:rPr>
          <w:rFonts w:cs="Arial"/>
          <w:i/>
        </w:rPr>
      </w:pPr>
    </w:p>
    <w:p w14:paraId="534C1BD0" w14:textId="77777777" w:rsidR="002D72AD" w:rsidRPr="0024268D" w:rsidRDefault="002D72AD" w:rsidP="0024268D">
      <w:pPr>
        <w:pStyle w:val="ListParagraph"/>
        <w:numPr>
          <w:ilvl w:val="0"/>
          <w:numId w:val="7"/>
        </w:numPr>
        <w:spacing w:after="80" w:line="240" w:lineRule="auto"/>
        <w:ind w:left="567" w:hanging="567"/>
        <w:contextualSpacing w:val="0"/>
        <w:jc w:val="both"/>
        <w:rPr>
          <w:rFonts w:cs="Arial"/>
          <w:color w:val="000000" w:themeColor="text1"/>
        </w:rPr>
      </w:pPr>
      <w:r w:rsidRPr="0024268D">
        <w:rPr>
          <w:rFonts w:cs="Arial"/>
          <w:color w:val="000000" w:themeColor="text1"/>
        </w:rPr>
        <w:t>Since 2021, H5N1 highly pathogenic avian influenza (HPAI) has been detected in an unusually broad host range of birds and mammals and caused substantial mortality in many populations of birds and aquatic mammals across multiple continents</w:t>
      </w:r>
      <w:r w:rsidRPr="0024268D">
        <w:rPr>
          <w:rFonts w:cs="Arial"/>
          <w:color w:val="000000" w:themeColor="text1"/>
          <w:vertAlign w:val="superscript"/>
        </w:rPr>
        <w:t>1,2</w:t>
      </w:r>
      <w:r w:rsidRPr="0024268D">
        <w:rPr>
          <w:rFonts w:cs="Arial"/>
          <w:color w:val="000000" w:themeColor="text1"/>
        </w:rPr>
        <w:t>. Reported mass mortality events have affected a range of avian CMS-listed species, including Critically Endangered African Penguins (</w:t>
      </w:r>
      <w:r w:rsidRPr="0024268D">
        <w:rPr>
          <w:rFonts w:cs="Arial"/>
          <w:i/>
          <w:color w:val="000000" w:themeColor="text1"/>
        </w:rPr>
        <w:t xml:space="preserve">Spheniscus </w:t>
      </w:r>
      <w:proofErr w:type="spellStart"/>
      <w:r w:rsidRPr="0024268D">
        <w:rPr>
          <w:rFonts w:cs="Arial"/>
          <w:i/>
          <w:color w:val="000000" w:themeColor="text1"/>
        </w:rPr>
        <w:t>demersus</w:t>
      </w:r>
      <w:proofErr w:type="spellEnd"/>
      <w:r w:rsidRPr="0024268D">
        <w:rPr>
          <w:rFonts w:cs="Arial"/>
          <w:color w:val="000000" w:themeColor="text1"/>
        </w:rPr>
        <w:t>), Vulnerable Humboldt Penguins (</w:t>
      </w:r>
      <w:r w:rsidRPr="0024268D">
        <w:rPr>
          <w:rFonts w:cs="Arial"/>
          <w:i/>
          <w:color w:val="000000" w:themeColor="text1"/>
        </w:rPr>
        <w:t xml:space="preserve">Spheniscus </w:t>
      </w:r>
      <w:proofErr w:type="spellStart"/>
      <w:r w:rsidRPr="0024268D">
        <w:rPr>
          <w:rFonts w:cs="Arial"/>
          <w:i/>
          <w:color w:val="000000" w:themeColor="text1"/>
        </w:rPr>
        <w:t>humboldti</w:t>
      </w:r>
      <w:proofErr w:type="spellEnd"/>
      <w:r w:rsidRPr="0024268D">
        <w:rPr>
          <w:rFonts w:cs="Arial"/>
          <w:color w:val="000000" w:themeColor="text1"/>
        </w:rPr>
        <w:t>) and Near Threatened Peruvian Pelicans (</w:t>
      </w:r>
      <w:r w:rsidRPr="0024268D">
        <w:rPr>
          <w:rFonts w:cs="Arial"/>
          <w:i/>
          <w:color w:val="000000" w:themeColor="text1"/>
        </w:rPr>
        <w:t xml:space="preserve">Pelecanus </w:t>
      </w:r>
      <w:proofErr w:type="spellStart"/>
      <w:r w:rsidRPr="0024268D">
        <w:rPr>
          <w:rFonts w:cs="Arial"/>
          <w:i/>
          <w:color w:val="000000" w:themeColor="text1"/>
        </w:rPr>
        <w:t>thagus</w:t>
      </w:r>
      <w:proofErr w:type="spellEnd"/>
      <w:r w:rsidRPr="0024268D">
        <w:rPr>
          <w:rFonts w:cs="Arial"/>
          <w:color w:val="000000" w:themeColor="text1"/>
        </w:rPr>
        <w:t>) in South America, Near Threatened Dalmatian Pelicans (</w:t>
      </w:r>
      <w:r w:rsidRPr="0024268D">
        <w:rPr>
          <w:rFonts w:cs="Arial"/>
          <w:i/>
          <w:color w:val="000000" w:themeColor="text1"/>
        </w:rPr>
        <w:t>Pelecanus crispus</w:t>
      </w:r>
      <w:r w:rsidRPr="0024268D">
        <w:rPr>
          <w:rFonts w:cs="Arial"/>
          <w:color w:val="000000" w:themeColor="text1"/>
        </w:rPr>
        <w:t>) in Europe and Vulnerable Hooded (</w:t>
      </w:r>
      <w:r w:rsidRPr="0024268D">
        <w:rPr>
          <w:rFonts w:cs="Arial"/>
          <w:i/>
          <w:color w:val="000000" w:themeColor="text1"/>
        </w:rPr>
        <w:t xml:space="preserve">Grus </w:t>
      </w:r>
      <w:proofErr w:type="spellStart"/>
      <w:r w:rsidRPr="0024268D">
        <w:rPr>
          <w:rFonts w:cs="Arial"/>
          <w:i/>
          <w:color w:val="000000" w:themeColor="text1"/>
        </w:rPr>
        <w:t>monacha</w:t>
      </w:r>
      <w:proofErr w:type="spellEnd"/>
      <w:r w:rsidRPr="0024268D">
        <w:rPr>
          <w:rFonts w:cs="Arial"/>
          <w:color w:val="000000" w:themeColor="text1"/>
        </w:rPr>
        <w:t>) and Red-crowned Cranes (</w:t>
      </w:r>
      <w:r w:rsidRPr="0024268D">
        <w:rPr>
          <w:rFonts w:cs="Arial"/>
          <w:i/>
          <w:color w:val="000000" w:themeColor="text1"/>
        </w:rPr>
        <w:t xml:space="preserve">Grus </w:t>
      </w:r>
      <w:proofErr w:type="spellStart"/>
      <w:r w:rsidRPr="0024268D">
        <w:rPr>
          <w:rFonts w:cs="Arial"/>
          <w:i/>
          <w:color w:val="000000" w:themeColor="text1"/>
        </w:rPr>
        <w:t>japonensis</w:t>
      </w:r>
      <w:proofErr w:type="spellEnd"/>
      <w:r w:rsidRPr="0024268D">
        <w:rPr>
          <w:rFonts w:cs="Arial"/>
          <w:color w:val="000000" w:themeColor="text1"/>
        </w:rPr>
        <w:t>) in Asia</w:t>
      </w:r>
      <w:r w:rsidRPr="0024268D">
        <w:rPr>
          <w:rFonts w:cs="Arial"/>
          <w:color w:val="000000" w:themeColor="text1"/>
          <w:vertAlign w:val="superscript"/>
        </w:rPr>
        <w:t>3-6-44</w:t>
      </w:r>
      <w:r w:rsidRPr="0024268D">
        <w:rPr>
          <w:rFonts w:cs="Arial"/>
          <w:color w:val="000000" w:themeColor="text1"/>
        </w:rPr>
        <w:t>. Mass mortality events have also been recorded in CMS-listed aquatic mammals, such as the South American Sea Lion (</w:t>
      </w:r>
      <w:proofErr w:type="spellStart"/>
      <w:r w:rsidRPr="0024268D">
        <w:rPr>
          <w:rFonts w:cs="Arial"/>
          <w:i/>
          <w:color w:val="000000" w:themeColor="text1"/>
        </w:rPr>
        <w:t>Otaria</w:t>
      </w:r>
      <w:proofErr w:type="spellEnd"/>
      <w:r w:rsidRPr="0024268D">
        <w:rPr>
          <w:rFonts w:cs="Arial"/>
          <w:i/>
          <w:color w:val="000000" w:themeColor="text1"/>
        </w:rPr>
        <w:t xml:space="preserve"> </w:t>
      </w:r>
      <w:proofErr w:type="spellStart"/>
      <w:r w:rsidRPr="0024268D">
        <w:rPr>
          <w:rFonts w:cs="Arial"/>
          <w:i/>
          <w:color w:val="000000" w:themeColor="text1"/>
        </w:rPr>
        <w:t>byronia</w:t>
      </w:r>
      <w:proofErr w:type="spellEnd"/>
      <w:r w:rsidRPr="0024268D">
        <w:rPr>
          <w:rFonts w:cs="Arial"/>
          <w:color w:val="000000" w:themeColor="text1"/>
        </w:rPr>
        <w:t>) and the South American Fur Seal (</w:t>
      </w:r>
      <w:r w:rsidRPr="0024268D">
        <w:rPr>
          <w:rFonts w:cs="Arial"/>
          <w:i/>
          <w:color w:val="000000" w:themeColor="text1"/>
        </w:rPr>
        <w:t>Arctocephalus australis</w:t>
      </w:r>
      <w:r w:rsidRPr="0024268D">
        <w:rPr>
          <w:rFonts w:cs="Arial"/>
          <w:color w:val="000000" w:themeColor="text1"/>
        </w:rPr>
        <w:t>)</w:t>
      </w:r>
      <w:r w:rsidRPr="0024268D">
        <w:rPr>
          <w:rFonts w:cs="Arial"/>
          <w:color w:val="000000" w:themeColor="text1"/>
          <w:vertAlign w:val="superscript"/>
        </w:rPr>
        <w:t>3</w:t>
      </w:r>
      <w:r w:rsidRPr="0024268D">
        <w:rPr>
          <w:rFonts w:cs="Arial"/>
          <w:color w:val="000000" w:themeColor="text1"/>
        </w:rPr>
        <w:t>.</w:t>
      </w:r>
    </w:p>
    <w:p w14:paraId="29D3D7A0" w14:textId="77777777" w:rsidR="002D72AD" w:rsidRPr="0024268D" w:rsidRDefault="002D72AD" w:rsidP="0024268D">
      <w:pPr>
        <w:pStyle w:val="ListParagraph"/>
        <w:numPr>
          <w:ilvl w:val="0"/>
          <w:numId w:val="7"/>
        </w:numPr>
        <w:spacing w:after="0" w:line="240" w:lineRule="auto"/>
        <w:ind w:left="567" w:hanging="567"/>
        <w:contextualSpacing w:val="0"/>
        <w:jc w:val="both"/>
        <w:rPr>
          <w:rFonts w:cs="Arial"/>
          <w:color w:val="000000" w:themeColor="text1"/>
        </w:rPr>
      </w:pPr>
      <w:r w:rsidRPr="0024268D">
        <w:rPr>
          <w:rFonts w:cs="Arial"/>
          <w:color w:val="000000" w:themeColor="text1"/>
        </w:rPr>
        <w:t>Although the long-term impacts of HPAI are uncertain, these disease outbreaks have added to the pressures already faced by migratory species. The emergence of HPAI is especially concerning for long-lived migratory species that are sensitive to any increases in mortality</w:t>
      </w:r>
      <w:r w:rsidRPr="0024268D">
        <w:rPr>
          <w:rFonts w:cs="Arial"/>
          <w:color w:val="000000" w:themeColor="text1"/>
          <w:vertAlign w:val="superscript"/>
        </w:rPr>
        <w:t>1</w:t>
      </w:r>
      <w:r w:rsidRPr="0024268D">
        <w:rPr>
          <w:rFonts w:cs="Arial"/>
          <w:color w:val="000000" w:themeColor="text1"/>
        </w:rPr>
        <w:t xml:space="preserve">. </w:t>
      </w:r>
    </w:p>
    <w:p w14:paraId="60296F5E" w14:textId="77777777" w:rsidR="0024268D" w:rsidRPr="00F96CF4" w:rsidRDefault="0024268D" w:rsidP="00F96CF4">
      <w:pPr>
        <w:spacing w:after="0" w:line="240" w:lineRule="auto"/>
        <w:jc w:val="both"/>
        <w:rPr>
          <w:rFonts w:cs="Arial"/>
          <w:b/>
        </w:rPr>
      </w:pPr>
    </w:p>
    <w:p w14:paraId="3F03DF87" w14:textId="77F72A94" w:rsidR="002D72AD" w:rsidRPr="00F96CF4" w:rsidRDefault="002D72AD" w:rsidP="00F96CF4">
      <w:pPr>
        <w:spacing w:after="0" w:line="240" w:lineRule="auto"/>
        <w:jc w:val="both"/>
        <w:rPr>
          <w:rFonts w:cs="Arial"/>
          <w:b/>
        </w:rPr>
      </w:pPr>
      <w:r w:rsidRPr="00F96CF4">
        <w:rPr>
          <w:rFonts w:cs="Arial"/>
          <w:b/>
        </w:rPr>
        <w:t>Terrestrial mammals</w:t>
      </w:r>
    </w:p>
    <w:p w14:paraId="5DDF1F56" w14:textId="77777777" w:rsidR="0024268D" w:rsidRPr="00F96CF4" w:rsidRDefault="0024268D" w:rsidP="00F96CF4">
      <w:pPr>
        <w:spacing w:after="0" w:line="240" w:lineRule="auto"/>
        <w:jc w:val="both"/>
        <w:rPr>
          <w:rFonts w:cs="Arial"/>
          <w:b/>
        </w:rPr>
      </w:pPr>
    </w:p>
    <w:p w14:paraId="12A3260C" w14:textId="77777777" w:rsidR="002D72AD" w:rsidRPr="00F96CF4" w:rsidRDefault="002D72AD" w:rsidP="00F96CF4">
      <w:pPr>
        <w:spacing w:after="0" w:line="240" w:lineRule="auto"/>
        <w:jc w:val="both"/>
        <w:rPr>
          <w:rFonts w:cs="Arial"/>
          <w:i/>
        </w:rPr>
      </w:pPr>
      <w:r w:rsidRPr="00F96CF4">
        <w:rPr>
          <w:rFonts w:cs="Arial"/>
          <w:i/>
        </w:rPr>
        <w:t>Ungulates</w:t>
      </w:r>
    </w:p>
    <w:p w14:paraId="577B156B" w14:textId="77777777" w:rsidR="0024268D" w:rsidRPr="00F96CF4" w:rsidRDefault="0024268D" w:rsidP="00F96CF4">
      <w:pPr>
        <w:spacing w:after="0" w:line="240" w:lineRule="auto"/>
        <w:jc w:val="both"/>
        <w:rPr>
          <w:rFonts w:cs="Arial"/>
          <w:i/>
        </w:rPr>
      </w:pPr>
    </w:p>
    <w:p w14:paraId="17F75255" w14:textId="77777777" w:rsidR="002D72AD" w:rsidRPr="0024268D" w:rsidRDefault="002D72AD" w:rsidP="00943DBF">
      <w:pPr>
        <w:pStyle w:val="ListParagraph"/>
        <w:numPr>
          <w:ilvl w:val="0"/>
          <w:numId w:val="8"/>
        </w:numPr>
        <w:spacing w:after="80" w:line="240" w:lineRule="auto"/>
        <w:ind w:left="567" w:hanging="567"/>
        <w:contextualSpacing w:val="0"/>
        <w:jc w:val="both"/>
        <w:rPr>
          <w:rFonts w:cs="Arial"/>
        </w:rPr>
      </w:pPr>
      <w:r w:rsidRPr="0024268D">
        <w:rPr>
          <w:rFonts w:cs="Arial"/>
        </w:rPr>
        <w:t>The expansion of infrastructure, such as roads, railroads, fences and pipelines, represents a significant challenge to migratory ungulates</w:t>
      </w:r>
      <w:r w:rsidRPr="0024268D">
        <w:rPr>
          <w:rFonts w:cs="Arial"/>
          <w:vertAlign w:val="superscript"/>
        </w:rPr>
        <w:t>7</w:t>
      </w:r>
      <w:r w:rsidRPr="0024268D">
        <w:rPr>
          <w:rFonts w:cs="Arial"/>
        </w:rPr>
        <w:t>. These obstacles are increasingly constraining the movements of CMS-listed ungulates, especially in regions such as Central Asia</w:t>
      </w:r>
      <w:r w:rsidRPr="0024268D">
        <w:rPr>
          <w:rFonts w:cs="Arial"/>
          <w:vertAlign w:val="superscript"/>
        </w:rPr>
        <w:t>8</w:t>
      </w:r>
      <w:r w:rsidRPr="0024268D">
        <w:rPr>
          <w:rFonts w:cs="Arial"/>
        </w:rPr>
        <w:t xml:space="preserve"> (see </w:t>
      </w:r>
      <w:r w:rsidRPr="0024268D">
        <w:rPr>
          <w:rFonts w:cs="Arial"/>
          <w:b/>
        </w:rPr>
        <w:t>Section 4</w:t>
      </w:r>
      <w:r w:rsidRPr="0024268D">
        <w:rPr>
          <w:rFonts w:cs="Arial"/>
        </w:rPr>
        <w:t xml:space="preserve"> – </w:t>
      </w:r>
      <w:r w:rsidRPr="0024268D">
        <w:rPr>
          <w:rFonts w:cs="Arial"/>
          <w:i/>
        </w:rPr>
        <w:t>Mapping the world’s ungulate migrations</w:t>
      </w:r>
      <w:r w:rsidRPr="0024268D">
        <w:rPr>
          <w:rFonts w:cs="Arial"/>
        </w:rPr>
        <w:t xml:space="preserve"> for additional insights). For example, between 2002 and 2021, mobility declined significantly for the Mongolian Gazelle (</w:t>
      </w:r>
      <w:proofErr w:type="spellStart"/>
      <w:r w:rsidRPr="0024268D">
        <w:rPr>
          <w:rFonts w:cs="Arial"/>
          <w:i/>
        </w:rPr>
        <w:t>Procapra</w:t>
      </w:r>
      <w:proofErr w:type="spellEnd"/>
      <w:r w:rsidRPr="0024268D">
        <w:rPr>
          <w:rFonts w:cs="Arial"/>
          <w:i/>
        </w:rPr>
        <w:t xml:space="preserve"> </w:t>
      </w:r>
      <w:proofErr w:type="spellStart"/>
      <w:r w:rsidRPr="0024268D">
        <w:rPr>
          <w:rFonts w:cs="Arial"/>
          <w:i/>
        </w:rPr>
        <w:t>gutturosa</w:t>
      </w:r>
      <w:proofErr w:type="spellEnd"/>
      <w:r w:rsidRPr="0024268D">
        <w:rPr>
          <w:rFonts w:cs="Arial"/>
        </w:rPr>
        <w:t>), a nomadic species that makes some of the longest distance movements ever recorded</w:t>
      </w:r>
      <w:r w:rsidRPr="0024268D">
        <w:rPr>
          <w:rFonts w:cs="Arial"/>
          <w:vertAlign w:val="superscript"/>
        </w:rPr>
        <w:t>9</w:t>
      </w:r>
      <w:r w:rsidRPr="0024268D">
        <w:rPr>
          <w:rFonts w:cs="Arial"/>
        </w:rPr>
        <w:t>. Increasing traffic volume leading to a loss of connectivity appears to be a key factor in the decline</w:t>
      </w:r>
      <w:r w:rsidRPr="0024268D">
        <w:rPr>
          <w:rFonts w:cs="Arial"/>
          <w:vertAlign w:val="superscript"/>
        </w:rPr>
        <w:t>9</w:t>
      </w:r>
      <w:r w:rsidRPr="0024268D">
        <w:rPr>
          <w:rFonts w:cs="Arial"/>
        </w:rPr>
        <w:t xml:space="preserve">. </w:t>
      </w:r>
    </w:p>
    <w:p w14:paraId="061E54A9" w14:textId="77777777" w:rsidR="002D72AD" w:rsidRPr="0024268D" w:rsidRDefault="002D72AD" w:rsidP="0024268D">
      <w:pPr>
        <w:pStyle w:val="ListParagraph"/>
        <w:numPr>
          <w:ilvl w:val="0"/>
          <w:numId w:val="8"/>
        </w:numPr>
        <w:spacing w:after="0" w:line="240" w:lineRule="auto"/>
        <w:ind w:left="567" w:hanging="567"/>
        <w:contextualSpacing w:val="0"/>
        <w:jc w:val="both"/>
        <w:rPr>
          <w:rFonts w:cs="Arial"/>
        </w:rPr>
      </w:pPr>
      <w:r w:rsidRPr="0024268D">
        <w:rPr>
          <w:rFonts w:cs="Arial"/>
        </w:rPr>
        <w:t>The rapid proliferation of fencing has had a profound impact on many ungulate species around the world. For example, the Mara-Loita Blue Wildebeest (</w:t>
      </w:r>
      <w:proofErr w:type="spellStart"/>
      <w:r w:rsidRPr="0024268D">
        <w:rPr>
          <w:rFonts w:cs="Arial"/>
          <w:i/>
        </w:rPr>
        <w:t>Connochaetus</w:t>
      </w:r>
      <w:proofErr w:type="spellEnd"/>
      <w:r w:rsidRPr="0024268D">
        <w:rPr>
          <w:rFonts w:cs="Arial"/>
          <w:i/>
        </w:rPr>
        <w:t xml:space="preserve"> </w:t>
      </w:r>
      <w:proofErr w:type="spellStart"/>
      <w:r w:rsidRPr="0024268D">
        <w:rPr>
          <w:rFonts w:cs="Arial"/>
          <w:i/>
        </w:rPr>
        <w:t>taurinus</w:t>
      </w:r>
      <w:proofErr w:type="spellEnd"/>
      <w:r w:rsidRPr="0024268D">
        <w:rPr>
          <w:rFonts w:cs="Arial"/>
        </w:rPr>
        <w:t>) population has declined by 75% since the late 1970s after land use changes were permitted throughout their range</w:t>
      </w:r>
      <w:r w:rsidRPr="0024268D">
        <w:rPr>
          <w:rFonts w:cs="Arial"/>
          <w:vertAlign w:val="superscript"/>
        </w:rPr>
        <w:t>10</w:t>
      </w:r>
      <w:r w:rsidRPr="0024268D">
        <w:rPr>
          <w:rFonts w:cs="Arial"/>
        </w:rPr>
        <w:t>. The population has sustained further declines since 2021, coinciding with the rapid expansion of fencing</w:t>
      </w:r>
      <w:r w:rsidRPr="0024268D">
        <w:rPr>
          <w:rFonts w:cs="Arial"/>
          <w:vertAlign w:val="superscript"/>
        </w:rPr>
        <w:t>11</w:t>
      </w:r>
      <w:r w:rsidRPr="0024268D">
        <w:rPr>
          <w:rFonts w:cs="Arial"/>
        </w:rPr>
        <w:t>. This contrasts with the situation in the Serengeti-Mara population, which has remained stable because its entire migratory range is under some form of protection on both sides of the Kenya-Tanzania border</w:t>
      </w:r>
      <w:r w:rsidRPr="0024268D">
        <w:rPr>
          <w:rFonts w:cs="Arial"/>
          <w:vertAlign w:val="superscript"/>
        </w:rPr>
        <w:t>10</w:t>
      </w:r>
      <w:r w:rsidRPr="0024268D">
        <w:rPr>
          <w:rFonts w:cs="Arial"/>
        </w:rPr>
        <w:t xml:space="preserve">. </w:t>
      </w:r>
    </w:p>
    <w:p w14:paraId="54A27956" w14:textId="77777777" w:rsidR="002D72AD" w:rsidRDefault="002D72AD" w:rsidP="00943DBF">
      <w:pPr>
        <w:pStyle w:val="ListParagraph"/>
        <w:numPr>
          <w:ilvl w:val="0"/>
          <w:numId w:val="8"/>
        </w:numPr>
        <w:spacing w:after="0" w:line="240" w:lineRule="auto"/>
        <w:ind w:left="567" w:hanging="567"/>
        <w:contextualSpacing w:val="0"/>
        <w:jc w:val="both"/>
        <w:rPr>
          <w:rFonts w:cs="Arial"/>
        </w:rPr>
      </w:pPr>
      <w:r w:rsidRPr="0024268D">
        <w:rPr>
          <w:rFonts w:cs="Arial"/>
        </w:rPr>
        <w:lastRenderedPageBreak/>
        <w:t>Across the Arctic, populations of migratory tundra Caribou (</w:t>
      </w:r>
      <w:r w:rsidRPr="0024268D">
        <w:rPr>
          <w:rFonts w:cs="Arial"/>
          <w:i/>
        </w:rPr>
        <w:t>Rangifer tarandus</w:t>
      </w:r>
      <w:r w:rsidRPr="0024268D">
        <w:rPr>
          <w:rFonts w:cs="Arial"/>
        </w:rPr>
        <w:t>) have declined overall by 65% over the past 20-30 years, with indications that populations are increasingly being affected by climate change and the expansion of human infrastructure such as mines and roads</w:t>
      </w:r>
      <w:r w:rsidRPr="0024268D">
        <w:rPr>
          <w:rFonts w:cs="Arial"/>
          <w:vertAlign w:val="superscript"/>
        </w:rPr>
        <w:t>12</w:t>
      </w:r>
      <w:r w:rsidRPr="0024268D">
        <w:rPr>
          <w:rFonts w:cs="Arial"/>
        </w:rPr>
        <w:t>. Many Caribou and Wild Reindeer populations that occur further south are also under threat due to the loss and fragmentation of important forest habitat</w:t>
      </w:r>
      <w:r w:rsidRPr="0024268D">
        <w:rPr>
          <w:rFonts w:cs="Arial"/>
          <w:vertAlign w:val="superscript"/>
        </w:rPr>
        <w:t>13</w:t>
      </w:r>
      <w:r w:rsidRPr="0024268D">
        <w:rPr>
          <w:rFonts w:cs="Arial"/>
        </w:rPr>
        <w:t>. Although Caribou are not CMS-listed, their migrations play a central role in the tundra ecosystem and are of immense value to Arctic Indigenous cultures</w:t>
      </w:r>
      <w:r w:rsidRPr="0024268D">
        <w:rPr>
          <w:rFonts w:cs="Arial"/>
          <w:vertAlign w:val="superscript"/>
        </w:rPr>
        <w:t>12</w:t>
      </w:r>
      <w:r w:rsidRPr="0024268D">
        <w:rPr>
          <w:rFonts w:cs="Arial"/>
        </w:rPr>
        <w:t>.</w:t>
      </w:r>
    </w:p>
    <w:p w14:paraId="1B9BBE89" w14:textId="77777777" w:rsidR="00B3196D" w:rsidRDefault="00B3196D" w:rsidP="0024268D">
      <w:pPr>
        <w:spacing w:after="0" w:line="240" w:lineRule="auto"/>
        <w:jc w:val="both"/>
        <w:rPr>
          <w:rFonts w:cs="Arial"/>
          <w:i/>
          <w:sz w:val="20"/>
          <w:szCs w:val="20"/>
        </w:rPr>
      </w:pPr>
    </w:p>
    <w:p w14:paraId="7815BCF1" w14:textId="48FD70A6" w:rsidR="00C82977" w:rsidRPr="0024268D" w:rsidRDefault="00C82977" w:rsidP="0024268D">
      <w:pPr>
        <w:spacing w:after="0" w:line="240" w:lineRule="auto"/>
        <w:jc w:val="both"/>
        <w:rPr>
          <w:rFonts w:cs="Arial"/>
        </w:rPr>
      </w:pPr>
      <w:r w:rsidRPr="00943DBF">
        <w:rPr>
          <w:rFonts w:cs="Arial"/>
          <w:noProof/>
          <w:sz w:val="20"/>
          <w:szCs w:val="20"/>
        </w:rPr>
        <w:drawing>
          <wp:anchor distT="0" distB="0" distL="114300" distR="114300" simplePos="0" relativeHeight="251664896" behindDoc="0" locked="0" layoutInCell="1" allowOverlap="1" wp14:anchorId="351CC153" wp14:editId="693D3132">
            <wp:simplePos x="0" y="0"/>
            <wp:positionH relativeFrom="column">
              <wp:posOffset>0</wp:posOffset>
            </wp:positionH>
            <wp:positionV relativeFrom="paragraph">
              <wp:posOffset>-2540</wp:posOffset>
            </wp:positionV>
            <wp:extent cx="3520635" cy="2346960"/>
            <wp:effectExtent l="0" t="0" r="3810" b="0"/>
            <wp:wrapSquare wrapText="bothSides"/>
            <wp:docPr id="365658233" name="Picture 1" descr="A llama standing in a field with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658233" name="Picture 1" descr="A llama standing in a field with mountains in the background&#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520635" cy="2346960"/>
                    </a:xfrm>
                    <a:prstGeom prst="rect">
                      <a:avLst/>
                    </a:prstGeom>
                  </pic:spPr>
                </pic:pic>
              </a:graphicData>
            </a:graphic>
            <wp14:sizeRelH relativeFrom="page">
              <wp14:pctWidth>0</wp14:pctWidth>
            </wp14:sizeRelH>
            <wp14:sizeRelV relativeFrom="page">
              <wp14:pctHeight>0</wp14:pctHeight>
            </wp14:sizeRelV>
          </wp:anchor>
        </w:drawing>
      </w:r>
      <w:r w:rsidR="002D72AD" w:rsidRPr="00943DBF">
        <w:rPr>
          <w:rFonts w:cs="Arial"/>
          <w:i/>
          <w:sz w:val="20"/>
          <w:szCs w:val="20"/>
        </w:rPr>
        <w:t>Photo caption</w:t>
      </w:r>
      <w:r w:rsidR="002D72AD" w:rsidRPr="00943DBF">
        <w:rPr>
          <w:rFonts w:cs="Arial"/>
          <w:sz w:val="20"/>
          <w:szCs w:val="20"/>
        </w:rPr>
        <w:t>: Listed in CMS Appendix II at COP14, Guanacos (</w:t>
      </w:r>
      <w:r w:rsidR="002D72AD" w:rsidRPr="00943DBF">
        <w:rPr>
          <w:rFonts w:cs="Arial"/>
          <w:i/>
          <w:sz w:val="20"/>
          <w:szCs w:val="20"/>
        </w:rPr>
        <w:t>Llama guanicoe</w:t>
      </w:r>
      <w:r w:rsidR="002D72AD" w:rsidRPr="00943DBF">
        <w:rPr>
          <w:rFonts w:cs="Arial"/>
          <w:sz w:val="20"/>
          <w:szCs w:val="20"/>
        </w:rPr>
        <w:t>) exist in isolated populations across their range, which encompasses several South American countries. Entanglement in fences is the main threat to Guanaco migrations in Patagonia, which typically involve short-distance movements between high-altitude summer and low-elevation winter ranges</w:t>
      </w:r>
      <w:r w:rsidR="002D72AD" w:rsidRPr="00943DBF">
        <w:rPr>
          <w:rFonts w:cs="Arial"/>
          <w:sz w:val="20"/>
          <w:szCs w:val="20"/>
          <w:vertAlign w:val="superscript"/>
        </w:rPr>
        <w:t>14</w:t>
      </w:r>
      <w:r w:rsidR="002D72AD" w:rsidRPr="00943DBF">
        <w:rPr>
          <w:rFonts w:cs="Arial"/>
          <w:sz w:val="20"/>
          <w:szCs w:val="20"/>
        </w:rPr>
        <w:t>.</w:t>
      </w:r>
      <w:r w:rsidR="002D72AD" w:rsidRPr="00943DBF">
        <w:rPr>
          <w:rFonts w:cs="Arial"/>
          <w:i/>
          <w:sz w:val="20"/>
          <w:szCs w:val="20"/>
        </w:rPr>
        <w:t xml:space="preserve"> </w:t>
      </w:r>
      <w:r w:rsidRPr="00943DBF">
        <w:rPr>
          <w:rFonts w:cs="Arial"/>
          <w:i/>
          <w:iCs/>
          <w:sz w:val="20"/>
          <w:szCs w:val="20"/>
        </w:rPr>
        <w:t>Photo credit</w:t>
      </w:r>
      <w:r w:rsidRPr="00943DBF">
        <w:rPr>
          <w:rFonts w:cs="Arial"/>
          <w:sz w:val="20"/>
          <w:szCs w:val="20"/>
        </w:rPr>
        <w:t xml:space="preserve">: </w:t>
      </w:r>
      <w:hyperlink r:id="rId41" w:history="1">
        <w:r w:rsidRPr="00943DBF">
          <w:rPr>
            <w:rStyle w:val="Hyperlink"/>
            <w:rFonts w:cs="Arial"/>
            <w:sz w:val="20"/>
            <w:szCs w:val="20"/>
          </w:rPr>
          <w:t>Adobe Stock | #83783149</w:t>
        </w:r>
      </w:hyperlink>
      <w:r w:rsidRPr="0024268D">
        <w:rPr>
          <w:rFonts w:cs="Arial"/>
          <w:sz w:val="20"/>
          <w:szCs w:val="20"/>
        </w:rPr>
        <w:t>.</w:t>
      </w:r>
    </w:p>
    <w:p w14:paraId="74FE6E8C" w14:textId="77777777" w:rsidR="002D72AD" w:rsidRPr="0024268D" w:rsidRDefault="002D72AD" w:rsidP="0024268D">
      <w:pPr>
        <w:spacing w:after="0" w:line="240" w:lineRule="auto"/>
        <w:jc w:val="both"/>
        <w:rPr>
          <w:rFonts w:cs="Arial"/>
          <w:b/>
          <w:color w:val="003870"/>
        </w:rPr>
      </w:pPr>
    </w:p>
    <w:p w14:paraId="3D12D23C" w14:textId="77777777" w:rsidR="002D72AD" w:rsidRPr="0024268D" w:rsidRDefault="002D72AD" w:rsidP="0024268D">
      <w:pPr>
        <w:spacing w:after="0" w:line="240" w:lineRule="auto"/>
        <w:jc w:val="both"/>
        <w:rPr>
          <w:rFonts w:cs="Arial"/>
          <w:b/>
          <w:color w:val="003870"/>
        </w:rPr>
      </w:pPr>
    </w:p>
    <w:p w14:paraId="10766D92" w14:textId="77777777" w:rsidR="00943DBF" w:rsidRDefault="00943DBF" w:rsidP="0024268D">
      <w:pPr>
        <w:spacing w:after="0" w:line="240" w:lineRule="auto"/>
        <w:jc w:val="both"/>
        <w:rPr>
          <w:rFonts w:cs="Arial"/>
          <w:b/>
          <w:color w:val="003870"/>
        </w:rPr>
      </w:pPr>
    </w:p>
    <w:p w14:paraId="495BD8C2" w14:textId="77777777" w:rsidR="00943DBF" w:rsidRPr="008D74FD" w:rsidRDefault="00943DBF" w:rsidP="0024268D">
      <w:pPr>
        <w:spacing w:after="0" w:line="240" w:lineRule="auto"/>
        <w:jc w:val="both"/>
        <w:rPr>
          <w:rFonts w:cs="Arial"/>
          <w:b/>
        </w:rPr>
      </w:pPr>
    </w:p>
    <w:p w14:paraId="5FE3DA95" w14:textId="2A563C81" w:rsidR="002D72AD" w:rsidRDefault="002D72AD" w:rsidP="0024268D">
      <w:pPr>
        <w:spacing w:after="0" w:line="240" w:lineRule="auto"/>
        <w:jc w:val="both"/>
        <w:rPr>
          <w:rFonts w:cs="Arial"/>
          <w:b/>
        </w:rPr>
      </w:pPr>
      <w:r w:rsidRPr="008D74FD">
        <w:rPr>
          <w:rFonts w:cs="Arial"/>
          <w:b/>
        </w:rPr>
        <w:t>Birds</w:t>
      </w:r>
    </w:p>
    <w:p w14:paraId="09723877" w14:textId="77777777" w:rsidR="008D74FD" w:rsidRPr="008D74FD" w:rsidRDefault="008D74FD" w:rsidP="0024268D">
      <w:pPr>
        <w:spacing w:after="0" w:line="240" w:lineRule="auto"/>
        <w:jc w:val="both"/>
        <w:rPr>
          <w:rFonts w:cs="Arial"/>
          <w:b/>
        </w:rPr>
      </w:pPr>
    </w:p>
    <w:p w14:paraId="43456B5B" w14:textId="77777777" w:rsidR="002D72AD" w:rsidRDefault="002D72AD" w:rsidP="0024268D">
      <w:pPr>
        <w:spacing w:after="0" w:line="240" w:lineRule="auto"/>
        <w:jc w:val="both"/>
        <w:rPr>
          <w:rFonts w:cs="Arial"/>
          <w:i/>
        </w:rPr>
      </w:pPr>
      <w:r w:rsidRPr="008D74FD">
        <w:rPr>
          <w:rFonts w:cs="Arial"/>
          <w:i/>
        </w:rPr>
        <w:t>African-Eurasian raptors and other landbirds</w:t>
      </w:r>
    </w:p>
    <w:p w14:paraId="04866525" w14:textId="77777777" w:rsidR="008D74FD" w:rsidRPr="008D74FD" w:rsidRDefault="008D74FD" w:rsidP="0024268D">
      <w:pPr>
        <w:spacing w:after="0" w:line="240" w:lineRule="auto"/>
        <w:jc w:val="both"/>
        <w:rPr>
          <w:rFonts w:cs="Arial"/>
          <w:i/>
        </w:rPr>
      </w:pPr>
    </w:p>
    <w:p w14:paraId="59346B1B" w14:textId="77777777" w:rsidR="002D72AD" w:rsidRPr="0024268D" w:rsidRDefault="002D72AD" w:rsidP="008D74FD">
      <w:pPr>
        <w:pStyle w:val="ListParagraph"/>
        <w:numPr>
          <w:ilvl w:val="0"/>
          <w:numId w:val="9"/>
        </w:numPr>
        <w:spacing w:after="80" w:line="240" w:lineRule="auto"/>
        <w:ind w:left="567" w:hanging="567"/>
        <w:contextualSpacing w:val="0"/>
        <w:jc w:val="both"/>
        <w:rPr>
          <w:rFonts w:cs="Arial"/>
        </w:rPr>
      </w:pPr>
      <w:r w:rsidRPr="0024268D">
        <w:rPr>
          <w:rFonts w:cs="Arial"/>
        </w:rPr>
        <w:t xml:space="preserve">According to the recent </w:t>
      </w:r>
      <w:hyperlink r:id="rId42" w:history="1">
        <w:r w:rsidRPr="0024268D">
          <w:rPr>
            <w:rStyle w:val="Hyperlink"/>
            <w:rFonts w:cs="Arial"/>
          </w:rPr>
          <w:t>Raptors MOU Conservation Status Assessment Report</w:t>
        </w:r>
      </w:hyperlink>
      <w:r w:rsidRPr="0024268D">
        <w:rPr>
          <w:rFonts w:cs="Arial"/>
        </w:rPr>
        <w:t>, the global populations of over half (53%) of the 93 species listed on Annex 1 of the Raptors MOU are declining, with a particularly high proportion of vultures and eagles showing decreasing population trends</w:t>
      </w:r>
      <w:r w:rsidRPr="0024268D">
        <w:rPr>
          <w:rFonts w:cs="Arial"/>
          <w:vertAlign w:val="superscript"/>
        </w:rPr>
        <w:t>15</w:t>
      </w:r>
      <w:r w:rsidRPr="0024268D">
        <w:rPr>
          <w:rFonts w:cs="Arial"/>
        </w:rPr>
        <w:t xml:space="preserve">. For example, a recent study found that African raptor species associated with savanna habitats have undergone </w:t>
      </w:r>
      <w:hyperlink r:id="rId43" w:history="1">
        <w:r w:rsidRPr="0024268D">
          <w:rPr>
            <w:rStyle w:val="Hyperlink"/>
            <w:rFonts w:cs="Arial"/>
          </w:rPr>
          <w:t>widespread declines</w:t>
        </w:r>
      </w:hyperlink>
      <w:r w:rsidRPr="0024268D">
        <w:rPr>
          <w:rFonts w:cs="Arial"/>
        </w:rPr>
        <w:t xml:space="preserve"> over the past 20-40 years, based on road transect surveys undertaken across the continent</w:t>
      </w:r>
      <w:r w:rsidRPr="0024268D">
        <w:rPr>
          <w:rFonts w:cs="Arial"/>
          <w:vertAlign w:val="superscript"/>
        </w:rPr>
        <w:t>16</w:t>
      </w:r>
      <w:r w:rsidRPr="0024268D">
        <w:rPr>
          <w:rFonts w:cs="Arial"/>
        </w:rPr>
        <w:t xml:space="preserve">. </w:t>
      </w:r>
    </w:p>
    <w:p w14:paraId="4AFDDDF9" w14:textId="77777777" w:rsidR="002D72AD" w:rsidRPr="0024268D" w:rsidRDefault="002D72AD" w:rsidP="008D74FD">
      <w:pPr>
        <w:pStyle w:val="ListParagraph"/>
        <w:numPr>
          <w:ilvl w:val="0"/>
          <w:numId w:val="9"/>
        </w:numPr>
        <w:spacing w:after="80" w:line="240" w:lineRule="auto"/>
        <w:ind w:left="567" w:hanging="567"/>
        <w:contextualSpacing w:val="0"/>
        <w:jc w:val="both"/>
        <w:rPr>
          <w:rFonts w:cs="Arial"/>
        </w:rPr>
      </w:pPr>
      <w:r w:rsidRPr="0024268D">
        <w:rPr>
          <w:rFonts w:cs="Arial"/>
        </w:rPr>
        <w:t xml:space="preserve">The </w:t>
      </w:r>
      <w:hyperlink r:id="rId44" w:history="1">
        <w:r w:rsidRPr="0024268D">
          <w:rPr>
            <w:rStyle w:val="Hyperlink"/>
            <w:rFonts w:cs="Arial"/>
          </w:rPr>
          <w:t>Mid-Term Implementation Review</w:t>
        </w:r>
      </w:hyperlink>
      <w:r w:rsidRPr="0024268D">
        <w:rPr>
          <w:rFonts w:cs="Arial"/>
        </w:rPr>
        <w:t xml:space="preserve"> of the Vulture Multi-species Action Plan to conserve African-Eurasian Vultures (Vulture MSAP) provides a detailed update on current situation facing vultures in this region</w:t>
      </w:r>
      <w:r w:rsidRPr="0024268D">
        <w:rPr>
          <w:rFonts w:cs="Arial"/>
          <w:vertAlign w:val="superscript"/>
        </w:rPr>
        <w:t>17</w:t>
      </w:r>
      <w:r w:rsidRPr="0024268D">
        <w:rPr>
          <w:rFonts w:cs="Arial"/>
        </w:rPr>
        <w:t>. Most European vulture populations are recovering or stable, and there are also signs that South Asian populations have stabilized at a low level following a historic collapse in numbers driven by unintentional poisoning</w:t>
      </w:r>
      <w:r w:rsidRPr="0024268D">
        <w:rPr>
          <w:rFonts w:cs="Arial"/>
          <w:vertAlign w:val="superscript"/>
        </w:rPr>
        <w:t>17,18</w:t>
      </w:r>
      <w:r w:rsidRPr="0024268D">
        <w:rPr>
          <w:rFonts w:cs="Arial"/>
        </w:rPr>
        <w:t>. These trends have been attributed to improvements in legislation and active conservation management</w:t>
      </w:r>
      <w:r w:rsidRPr="0024268D">
        <w:rPr>
          <w:rFonts w:cs="Arial"/>
          <w:vertAlign w:val="superscript"/>
        </w:rPr>
        <w:t>17,19</w:t>
      </w:r>
      <w:r w:rsidRPr="0024268D">
        <w:rPr>
          <w:rFonts w:cs="Arial"/>
        </w:rPr>
        <w:t>. However, many vulture populations are still declining rapidly, particularly in Africa</w:t>
      </w:r>
      <w:r w:rsidRPr="0024268D">
        <w:rPr>
          <w:rFonts w:cs="Arial"/>
          <w:vertAlign w:val="superscript"/>
        </w:rPr>
        <w:t>17</w:t>
      </w:r>
      <w:r w:rsidRPr="0024268D">
        <w:rPr>
          <w:rFonts w:cs="Arial"/>
        </w:rPr>
        <w:t xml:space="preserve">. </w:t>
      </w:r>
    </w:p>
    <w:p w14:paraId="08397A45" w14:textId="77777777" w:rsidR="002D72AD" w:rsidRPr="0024268D" w:rsidRDefault="002D72AD" w:rsidP="008D74FD">
      <w:pPr>
        <w:pStyle w:val="ListParagraph"/>
        <w:numPr>
          <w:ilvl w:val="0"/>
          <w:numId w:val="9"/>
        </w:numPr>
        <w:spacing w:after="80" w:line="240" w:lineRule="auto"/>
        <w:ind w:left="567" w:hanging="567"/>
        <w:contextualSpacing w:val="0"/>
        <w:jc w:val="both"/>
        <w:rPr>
          <w:rFonts w:cs="Arial"/>
          <w:i/>
        </w:rPr>
      </w:pPr>
      <w:r w:rsidRPr="0024268D">
        <w:rPr>
          <w:rFonts w:cs="Arial"/>
        </w:rPr>
        <w:t>The main pressures facing raptors in Africa and Eurasia are habitat loss and illegal taking, including hunting and trapping, intentional and unintentional poisoning, and taking for belief-based use, along with electrocution and collisions with energy infrastructure</w:t>
      </w:r>
      <w:r w:rsidRPr="0024268D">
        <w:rPr>
          <w:rFonts w:cs="Arial"/>
          <w:vertAlign w:val="superscript"/>
        </w:rPr>
        <w:t>15</w:t>
      </w:r>
      <w:r w:rsidRPr="0024268D">
        <w:rPr>
          <w:rFonts w:cs="Arial"/>
        </w:rPr>
        <w:t xml:space="preserve">. Information on mortality events derived from </w:t>
      </w:r>
      <w:hyperlink r:id="rId45" w:history="1">
        <w:r w:rsidRPr="0024268D">
          <w:rPr>
            <w:rStyle w:val="Hyperlink"/>
            <w:rFonts w:cs="Arial"/>
          </w:rPr>
          <w:t>tracking data</w:t>
        </w:r>
      </w:hyperlink>
      <w:r w:rsidRPr="0024268D">
        <w:rPr>
          <w:rFonts w:cs="Arial"/>
        </w:rPr>
        <w:t xml:space="preserve"> has confirmed that electrocution and collisions with energy infrastructure are a significant cause of human-induced mortality for migratory raptors in the African-Eurasian flyway, alongside illegal killing and poisoning</w:t>
      </w:r>
      <w:r w:rsidRPr="0024268D">
        <w:rPr>
          <w:rFonts w:cs="Arial"/>
          <w:vertAlign w:val="superscript"/>
        </w:rPr>
        <w:t>20</w:t>
      </w:r>
      <w:r w:rsidRPr="0024268D">
        <w:rPr>
          <w:rFonts w:cs="Arial"/>
        </w:rPr>
        <w:t xml:space="preserve">. </w:t>
      </w:r>
    </w:p>
    <w:p w14:paraId="20145042" w14:textId="77777777" w:rsidR="002D72AD" w:rsidRPr="008D74FD" w:rsidRDefault="002D72AD" w:rsidP="00B37A19">
      <w:pPr>
        <w:pStyle w:val="ListParagraph"/>
        <w:numPr>
          <w:ilvl w:val="0"/>
          <w:numId w:val="7"/>
        </w:numPr>
        <w:spacing w:after="0" w:line="240" w:lineRule="auto"/>
        <w:ind w:left="567" w:hanging="567"/>
        <w:contextualSpacing w:val="0"/>
        <w:jc w:val="both"/>
        <w:rPr>
          <w:rFonts w:cs="Arial"/>
          <w:i/>
          <w:sz w:val="20"/>
          <w:szCs w:val="20"/>
        </w:rPr>
      </w:pPr>
      <w:r w:rsidRPr="008D74FD">
        <w:rPr>
          <w:rFonts w:cs="Arial"/>
        </w:rPr>
        <w:t xml:space="preserve">Looking beyond raptors, the distributions of other Palearctic migrants contracted substantially in Kenya between 1970 and 2023, according to a </w:t>
      </w:r>
      <w:hyperlink r:id="rId46" w:history="1">
        <w:r w:rsidRPr="008D74FD">
          <w:rPr>
            <w:rStyle w:val="Hyperlink"/>
            <w:rFonts w:cs="Arial"/>
          </w:rPr>
          <w:t>cross-comparison</w:t>
        </w:r>
      </w:hyperlink>
      <w:r w:rsidRPr="008D74FD">
        <w:rPr>
          <w:rFonts w:cs="Arial"/>
        </w:rPr>
        <w:t xml:space="preserve"> of earlier bird atlas maps with more recent citizen science data</w:t>
      </w:r>
      <w:r w:rsidRPr="008D74FD">
        <w:rPr>
          <w:rFonts w:cs="Arial"/>
          <w:vertAlign w:val="superscript"/>
        </w:rPr>
        <w:t>21</w:t>
      </w:r>
      <w:r w:rsidRPr="008D74FD">
        <w:rPr>
          <w:rFonts w:cs="Arial"/>
        </w:rPr>
        <w:t>. These range losses mirror general declines in the population abundance of long-distance Afro-Palearctic migrants in Europe between 1980 and 2017</w:t>
      </w:r>
      <w:r w:rsidRPr="008D74FD">
        <w:rPr>
          <w:rFonts w:cs="Arial"/>
          <w:vertAlign w:val="superscript"/>
        </w:rPr>
        <w:t>22</w:t>
      </w:r>
      <w:r w:rsidRPr="008D74FD">
        <w:rPr>
          <w:rFonts w:cs="Arial"/>
        </w:rPr>
        <w:t xml:space="preserve">. Long-distance migrants dependent on </w:t>
      </w:r>
      <w:r w:rsidRPr="008D74FD">
        <w:rPr>
          <w:rFonts w:cs="Arial"/>
        </w:rPr>
        <w:lastRenderedPageBreak/>
        <w:t>agricultural systems appear to be suffering the greatest declines, exacerbated by climate change impacts</w:t>
      </w:r>
      <w:r w:rsidRPr="008D74FD">
        <w:rPr>
          <w:rFonts w:cs="Arial"/>
          <w:vertAlign w:val="superscript"/>
        </w:rPr>
        <w:t>22,23</w:t>
      </w:r>
      <w:r w:rsidRPr="008D74FD">
        <w:rPr>
          <w:rFonts w:cs="Arial"/>
        </w:rPr>
        <w:t xml:space="preserve">. </w:t>
      </w:r>
    </w:p>
    <w:p w14:paraId="12CFE84E" w14:textId="77777777" w:rsidR="00305BA4" w:rsidRPr="008D74FD" w:rsidRDefault="00305BA4" w:rsidP="00B37A19">
      <w:pPr>
        <w:pStyle w:val="ListParagraph"/>
        <w:spacing w:after="0" w:line="240" w:lineRule="auto"/>
        <w:contextualSpacing w:val="0"/>
        <w:jc w:val="both"/>
        <w:rPr>
          <w:rFonts w:cs="Arial"/>
          <w:i/>
          <w:iCs/>
          <w:sz w:val="20"/>
          <w:szCs w:val="20"/>
        </w:rPr>
      </w:pPr>
    </w:p>
    <w:p w14:paraId="2BBCFEF1" w14:textId="3D320CC0" w:rsidR="002D72AD" w:rsidRPr="00B37A19" w:rsidRDefault="00C82977" w:rsidP="00B37A19">
      <w:pPr>
        <w:spacing w:line="240" w:lineRule="auto"/>
        <w:jc w:val="both"/>
        <w:rPr>
          <w:rFonts w:cs="Arial"/>
          <w:sz w:val="20"/>
          <w:szCs w:val="20"/>
        </w:rPr>
      </w:pPr>
      <w:r w:rsidRPr="00B37A19">
        <w:rPr>
          <w:rFonts w:cs="Arial"/>
          <w:noProof/>
          <w:sz w:val="20"/>
          <w:szCs w:val="20"/>
        </w:rPr>
        <w:drawing>
          <wp:anchor distT="0" distB="0" distL="114300" distR="114300" simplePos="0" relativeHeight="251654656" behindDoc="0" locked="0" layoutInCell="1" allowOverlap="1" wp14:anchorId="1F8B7AFF" wp14:editId="4B33D0DB">
            <wp:simplePos x="0" y="0"/>
            <wp:positionH relativeFrom="margin">
              <wp:posOffset>2084070</wp:posOffset>
            </wp:positionH>
            <wp:positionV relativeFrom="paragraph">
              <wp:posOffset>10795</wp:posOffset>
            </wp:positionV>
            <wp:extent cx="3901440" cy="2601595"/>
            <wp:effectExtent l="0" t="0" r="3810" b="8255"/>
            <wp:wrapSquare wrapText="bothSides"/>
            <wp:docPr id="74863425" name="Picture 3" descr="A bird standing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63425" name="Picture 3" descr="A bird standing on a rock&#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901440" cy="2601595"/>
                    </a:xfrm>
                    <a:prstGeom prst="rect">
                      <a:avLst/>
                    </a:prstGeom>
                  </pic:spPr>
                </pic:pic>
              </a:graphicData>
            </a:graphic>
            <wp14:sizeRelH relativeFrom="page">
              <wp14:pctWidth>0</wp14:pctWidth>
            </wp14:sizeRelH>
            <wp14:sizeRelV relativeFrom="page">
              <wp14:pctHeight>0</wp14:pctHeight>
            </wp14:sizeRelV>
          </wp:anchor>
        </w:drawing>
      </w:r>
      <w:r w:rsidR="002D72AD" w:rsidRPr="00B37A19">
        <w:rPr>
          <w:rFonts w:cs="Arial"/>
          <w:i/>
          <w:sz w:val="20"/>
          <w:szCs w:val="20"/>
        </w:rPr>
        <w:t>Photo caption</w:t>
      </w:r>
      <w:r w:rsidR="002D72AD" w:rsidRPr="00B37A19">
        <w:rPr>
          <w:rFonts w:cs="Arial"/>
          <w:sz w:val="20"/>
          <w:szCs w:val="20"/>
        </w:rPr>
        <w:t>: CMS Appendix I-listed Steppe Eagles (</w:t>
      </w:r>
      <w:r w:rsidR="002D72AD" w:rsidRPr="00B37A19">
        <w:rPr>
          <w:rFonts w:cs="Arial"/>
          <w:i/>
          <w:sz w:val="20"/>
          <w:szCs w:val="20"/>
        </w:rPr>
        <w:t>Aquila nipalensis</w:t>
      </w:r>
      <w:r w:rsidR="002D72AD" w:rsidRPr="00B37A19">
        <w:rPr>
          <w:rFonts w:cs="Arial"/>
          <w:sz w:val="20"/>
          <w:szCs w:val="20"/>
        </w:rPr>
        <w:t>) migrate thousands of kilometres from breeding areas in China, Central Asia, Mongolia and Russia to non-breeding locations in Africa, Middle East and southern Asia. Categorized as globally Endangered, populations are threatened by an array of pressures including habitat conversion, illegal killing and collisions with power lines and energy infrastructure</w:t>
      </w:r>
      <w:r w:rsidR="002D72AD" w:rsidRPr="00B37A19">
        <w:rPr>
          <w:rFonts w:cs="Arial"/>
          <w:sz w:val="20"/>
          <w:szCs w:val="20"/>
          <w:vertAlign w:val="superscript"/>
        </w:rPr>
        <w:t>25</w:t>
      </w:r>
      <w:r w:rsidR="002D72AD" w:rsidRPr="00B37A19">
        <w:rPr>
          <w:rFonts w:cs="Arial"/>
          <w:sz w:val="20"/>
          <w:szCs w:val="20"/>
        </w:rPr>
        <w:t xml:space="preserve">. A Global Action Plan on Steppe Eagles is to be presented to COP15. </w:t>
      </w:r>
      <w:r w:rsidR="002D72AD" w:rsidRPr="00B37A19">
        <w:rPr>
          <w:rFonts w:cs="Arial"/>
          <w:i/>
          <w:sz w:val="20"/>
          <w:szCs w:val="20"/>
        </w:rPr>
        <w:t>Photo credit</w:t>
      </w:r>
      <w:r w:rsidR="002D72AD" w:rsidRPr="00B37A19">
        <w:rPr>
          <w:rFonts w:cs="Arial"/>
          <w:sz w:val="20"/>
          <w:szCs w:val="20"/>
        </w:rPr>
        <w:t xml:space="preserve">: </w:t>
      </w:r>
      <w:hyperlink r:id="rId48" w:history="1">
        <w:r w:rsidR="002D72AD" w:rsidRPr="00B37A19">
          <w:rPr>
            <w:rStyle w:val="Hyperlink"/>
            <w:rFonts w:cs="Arial"/>
            <w:sz w:val="20"/>
            <w:szCs w:val="20"/>
          </w:rPr>
          <w:t>Adobe Stock | #1419499617</w:t>
        </w:r>
      </w:hyperlink>
      <w:r w:rsidR="002D72AD" w:rsidRPr="00B37A19">
        <w:rPr>
          <w:rFonts w:cs="Arial"/>
          <w:sz w:val="20"/>
          <w:szCs w:val="20"/>
        </w:rPr>
        <w:t>.</w:t>
      </w:r>
    </w:p>
    <w:p w14:paraId="0C8D4111" w14:textId="77777777" w:rsidR="002D72AD" w:rsidRDefault="002D72AD" w:rsidP="002D72AD">
      <w:pPr>
        <w:spacing w:after="0" w:line="240" w:lineRule="auto"/>
        <w:rPr>
          <w:rFonts w:ascii="Roboto" w:hAnsi="Roboto"/>
        </w:rPr>
      </w:pPr>
    </w:p>
    <w:p w14:paraId="2205D0AA" w14:textId="77777777" w:rsidR="002D72AD" w:rsidRDefault="002D72AD" w:rsidP="00B37A19">
      <w:pPr>
        <w:spacing w:after="0" w:line="240" w:lineRule="auto"/>
        <w:jc w:val="both"/>
        <w:rPr>
          <w:rFonts w:cs="Arial"/>
          <w:i/>
        </w:rPr>
      </w:pPr>
      <w:r w:rsidRPr="00B37A19">
        <w:rPr>
          <w:rFonts w:cs="Arial"/>
          <w:i/>
        </w:rPr>
        <w:t>Shorebirds</w:t>
      </w:r>
    </w:p>
    <w:p w14:paraId="5037EDEA" w14:textId="77777777" w:rsidR="00B37A19" w:rsidRPr="00B37A19" w:rsidRDefault="00B37A19" w:rsidP="00B37A19">
      <w:pPr>
        <w:spacing w:after="0" w:line="240" w:lineRule="auto"/>
        <w:jc w:val="both"/>
        <w:rPr>
          <w:rFonts w:cs="Arial"/>
          <w:i/>
        </w:rPr>
      </w:pPr>
    </w:p>
    <w:p w14:paraId="5422D908" w14:textId="77777777" w:rsidR="002D72AD" w:rsidRPr="00B37A19" w:rsidRDefault="002D72AD" w:rsidP="00B37A19">
      <w:pPr>
        <w:pStyle w:val="ListParagraph"/>
        <w:numPr>
          <w:ilvl w:val="0"/>
          <w:numId w:val="10"/>
        </w:numPr>
        <w:spacing w:after="80" w:line="240" w:lineRule="auto"/>
        <w:ind w:left="567" w:hanging="567"/>
        <w:contextualSpacing w:val="0"/>
        <w:jc w:val="both"/>
        <w:rPr>
          <w:rFonts w:cs="Arial"/>
        </w:rPr>
      </w:pPr>
      <w:r w:rsidRPr="00B37A19">
        <w:rPr>
          <w:rFonts w:cs="Arial"/>
        </w:rPr>
        <w:t>The probable global extinction of the Appendix I-listed Slender-billed Curlew (</w:t>
      </w:r>
      <w:r w:rsidRPr="00B37A19">
        <w:rPr>
          <w:rFonts w:cs="Arial"/>
          <w:i/>
        </w:rPr>
        <w:t>Numenius tenuirostris</w:t>
      </w:r>
      <w:r w:rsidRPr="00B37A19">
        <w:rPr>
          <w:rFonts w:cs="Arial"/>
        </w:rPr>
        <w:t xml:space="preserve">) has been reported, on the basis of an </w:t>
      </w:r>
      <w:hyperlink r:id="rId49" w:history="1">
        <w:r w:rsidRPr="00B37A19">
          <w:rPr>
            <w:rStyle w:val="Hyperlink"/>
            <w:rFonts w:cs="Arial"/>
          </w:rPr>
          <w:t>analysis</w:t>
        </w:r>
      </w:hyperlink>
      <w:r w:rsidRPr="00B37A19">
        <w:rPr>
          <w:rFonts w:cs="Arial"/>
        </w:rPr>
        <w:t xml:space="preserve"> incorporating data on threats to the species, historic observations and survey effort</w:t>
      </w:r>
      <w:r w:rsidRPr="00B37A19">
        <w:rPr>
          <w:rFonts w:cs="Arial"/>
          <w:vertAlign w:val="superscript"/>
        </w:rPr>
        <w:t>26</w:t>
      </w:r>
      <w:r w:rsidRPr="00B37A19">
        <w:rPr>
          <w:rFonts w:cs="Arial"/>
        </w:rPr>
        <w:t>. With no confirmed sightings of the species since 1995, the pressures that triggered the loss of the Slender-billed Curlew are poorly known but are likely to have included habitat loss and hunting</w:t>
      </w:r>
      <w:r w:rsidRPr="00B37A19">
        <w:rPr>
          <w:rFonts w:cs="Arial"/>
          <w:vertAlign w:val="superscript"/>
        </w:rPr>
        <w:t>26</w:t>
      </w:r>
      <w:r w:rsidRPr="00B37A19">
        <w:rPr>
          <w:rFonts w:cs="Arial"/>
        </w:rPr>
        <w:t>. The plight of this species offers the world important lessons on the need to take urgent action when substantial declines are detected.</w:t>
      </w:r>
    </w:p>
    <w:p w14:paraId="57ECE87D" w14:textId="77777777" w:rsidR="002D72AD" w:rsidRPr="00B37A19" w:rsidRDefault="002D72AD" w:rsidP="00B37A19">
      <w:pPr>
        <w:pStyle w:val="ListParagraph"/>
        <w:numPr>
          <w:ilvl w:val="0"/>
          <w:numId w:val="10"/>
        </w:numPr>
        <w:spacing w:after="80" w:line="240" w:lineRule="auto"/>
        <w:ind w:left="567" w:hanging="567"/>
        <w:contextualSpacing w:val="0"/>
        <w:jc w:val="both"/>
        <w:rPr>
          <w:rFonts w:cs="Arial"/>
        </w:rPr>
      </w:pPr>
      <w:r w:rsidRPr="00B37A19">
        <w:rPr>
          <w:rFonts w:cs="Arial"/>
        </w:rPr>
        <w:t xml:space="preserve">Large and accelerating declines have been </w:t>
      </w:r>
      <w:hyperlink r:id="rId50" w:history="1">
        <w:r w:rsidRPr="00B37A19">
          <w:rPr>
            <w:rStyle w:val="Hyperlink"/>
            <w:rFonts w:cs="Arial"/>
          </w:rPr>
          <w:t>documented</w:t>
        </w:r>
      </w:hyperlink>
      <w:r w:rsidRPr="00B37A19">
        <w:rPr>
          <w:rFonts w:cs="Arial"/>
        </w:rPr>
        <w:t xml:space="preserve"> for shorebirds that use the Americas flyway, stretching between the Arctic and South America</w:t>
      </w:r>
      <w:r w:rsidRPr="00B37A19">
        <w:rPr>
          <w:rFonts w:cs="Arial"/>
          <w:vertAlign w:val="superscript"/>
        </w:rPr>
        <w:t>27</w:t>
      </w:r>
      <w:r w:rsidRPr="00B37A19">
        <w:rPr>
          <w:rFonts w:cs="Arial"/>
        </w:rPr>
        <w:t xml:space="preserve">. Between 1980 and 2019, 18 out of 28 shorebird species </w:t>
      </w:r>
      <w:proofErr w:type="spellStart"/>
      <w:r w:rsidRPr="00B37A19">
        <w:rPr>
          <w:rFonts w:cs="Arial"/>
        </w:rPr>
        <w:t>analyzed</w:t>
      </w:r>
      <w:proofErr w:type="spellEnd"/>
      <w:r w:rsidRPr="00B37A19">
        <w:rPr>
          <w:rFonts w:cs="Arial"/>
        </w:rPr>
        <w:t xml:space="preserve"> showed clear evidence of population declines, based on counts at stopover sites in the United States of America and southern Canada</w:t>
      </w:r>
      <w:r w:rsidRPr="00B37A19">
        <w:rPr>
          <w:rFonts w:cs="Arial"/>
          <w:vertAlign w:val="superscript"/>
        </w:rPr>
        <w:t>27</w:t>
      </w:r>
      <w:r w:rsidRPr="00B37A19">
        <w:rPr>
          <w:rFonts w:cs="Arial"/>
        </w:rPr>
        <w:t xml:space="preserve">. </w:t>
      </w:r>
    </w:p>
    <w:p w14:paraId="369FE26C" w14:textId="77777777" w:rsidR="002D72AD" w:rsidRPr="00B37A19" w:rsidRDefault="002D72AD" w:rsidP="00B37A19">
      <w:pPr>
        <w:pStyle w:val="ListParagraph"/>
        <w:numPr>
          <w:ilvl w:val="0"/>
          <w:numId w:val="10"/>
        </w:numPr>
        <w:spacing w:after="0" w:line="240" w:lineRule="auto"/>
        <w:ind w:left="567" w:hanging="567"/>
        <w:contextualSpacing w:val="0"/>
        <w:jc w:val="both"/>
        <w:rPr>
          <w:rFonts w:cs="Arial"/>
        </w:rPr>
      </w:pPr>
      <w:r w:rsidRPr="00B37A19">
        <w:rPr>
          <w:rFonts w:cs="Arial"/>
        </w:rPr>
        <w:t>Pronounced long-term declines in the populations of many migratory shorebirds have also occurred in the East Asian-Australasian flyway</w:t>
      </w:r>
      <w:r w:rsidRPr="00B37A19">
        <w:rPr>
          <w:rFonts w:cs="Arial"/>
          <w:vertAlign w:val="superscript"/>
        </w:rPr>
        <w:t>28</w:t>
      </w:r>
      <w:r w:rsidRPr="00B37A19">
        <w:rPr>
          <w:rFonts w:cs="Arial"/>
        </w:rPr>
        <w:t>, in the East Atlantic flyway (particularly species breeding in the Arctic and boreal regions</w:t>
      </w:r>
      <w:r w:rsidRPr="00B37A19">
        <w:rPr>
          <w:rFonts w:cs="Arial"/>
          <w:vertAlign w:val="superscript"/>
        </w:rPr>
        <w:t>29</w:t>
      </w:r>
      <w:r w:rsidRPr="00B37A19">
        <w:rPr>
          <w:rFonts w:cs="Arial"/>
        </w:rPr>
        <w:t>), and at coastal sites in India</w:t>
      </w:r>
      <w:r w:rsidRPr="00B37A19">
        <w:rPr>
          <w:rFonts w:cs="Arial"/>
          <w:vertAlign w:val="superscript"/>
        </w:rPr>
        <w:t>30</w:t>
      </w:r>
      <w:r w:rsidRPr="00B37A19">
        <w:rPr>
          <w:rFonts w:cs="Arial"/>
        </w:rPr>
        <w:t>. The main threats affecting shorebird populations globally include the loss and deterioration of key habitats, including at stopover and non-breeding sites</w:t>
      </w:r>
      <w:r w:rsidRPr="00B37A19">
        <w:rPr>
          <w:rFonts w:cs="Arial"/>
          <w:vertAlign w:val="superscript"/>
        </w:rPr>
        <w:t>27-31,32</w:t>
      </w:r>
      <w:r w:rsidRPr="00B37A19">
        <w:rPr>
          <w:rFonts w:cs="Arial"/>
        </w:rPr>
        <w:t>, unsustainable taking</w:t>
      </w:r>
      <w:r w:rsidRPr="00B37A19">
        <w:rPr>
          <w:rFonts w:cs="Arial"/>
          <w:vertAlign w:val="superscript"/>
        </w:rPr>
        <w:t>33</w:t>
      </w:r>
      <w:r w:rsidRPr="00B37A19">
        <w:rPr>
          <w:rFonts w:cs="Arial"/>
        </w:rPr>
        <w:t>, disturbance, and climate change-driven shifts in the suitability of conditions at breeding sites</w:t>
      </w:r>
      <w:r w:rsidRPr="00B37A19">
        <w:rPr>
          <w:rFonts w:cs="Arial"/>
          <w:vertAlign w:val="superscript"/>
        </w:rPr>
        <w:t>34</w:t>
      </w:r>
      <w:r w:rsidRPr="00B37A19">
        <w:rPr>
          <w:rFonts w:cs="Arial"/>
        </w:rPr>
        <w:t xml:space="preserve">. </w:t>
      </w:r>
    </w:p>
    <w:p w14:paraId="2EBE0900" w14:textId="77777777" w:rsidR="002D72AD" w:rsidRPr="00B3196D" w:rsidRDefault="002D72AD" w:rsidP="00B3196D">
      <w:pPr>
        <w:spacing w:after="0" w:line="240" w:lineRule="auto"/>
        <w:ind w:left="357"/>
        <w:jc w:val="both"/>
        <w:rPr>
          <w:rFonts w:cs="Arial"/>
          <w:sz w:val="20"/>
          <w:szCs w:val="20"/>
        </w:rPr>
      </w:pPr>
      <w:r w:rsidRPr="00B3196D">
        <w:rPr>
          <w:rFonts w:cs="Arial"/>
          <w:i/>
          <w:sz w:val="20"/>
          <w:szCs w:val="20"/>
        </w:rPr>
        <w:lastRenderedPageBreak/>
        <w:t>Photo caption</w:t>
      </w:r>
      <w:r w:rsidRPr="00B3196D">
        <w:rPr>
          <w:rFonts w:cs="Arial"/>
          <w:sz w:val="20"/>
          <w:szCs w:val="20"/>
        </w:rPr>
        <w:t xml:space="preserve">: </w:t>
      </w:r>
      <w:r w:rsidR="00C82977" w:rsidRPr="00B3196D">
        <w:rPr>
          <w:rFonts w:cs="Arial"/>
          <w:noProof/>
          <w:sz w:val="20"/>
          <w:szCs w:val="20"/>
        </w:rPr>
        <w:drawing>
          <wp:anchor distT="0" distB="0" distL="114300" distR="114300" simplePos="0" relativeHeight="251658752" behindDoc="0" locked="0" layoutInCell="1" allowOverlap="1" wp14:anchorId="51311B91" wp14:editId="1DE04B49">
            <wp:simplePos x="0" y="0"/>
            <wp:positionH relativeFrom="column">
              <wp:posOffset>0</wp:posOffset>
            </wp:positionH>
            <wp:positionV relativeFrom="paragraph">
              <wp:posOffset>1546</wp:posOffset>
            </wp:positionV>
            <wp:extent cx="3255698" cy="2170706"/>
            <wp:effectExtent l="0" t="0" r="1905" b="1270"/>
            <wp:wrapSquare wrapText="bothSides"/>
            <wp:docPr id="1072009515" name="Picture 7" descr="A bird standing in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009515" name="Picture 7" descr="A bird standing in water&#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flipH="1">
                      <a:off x="0" y="0"/>
                      <a:ext cx="3255698" cy="2170706"/>
                    </a:xfrm>
                    <a:prstGeom prst="rect">
                      <a:avLst/>
                    </a:prstGeom>
                  </pic:spPr>
                </pic:pic>
              </a:graphicData>
            </a:graphic>
          </wp:anchor>
        </w:drawing>
      </w:r>
      <w:r w:rsidRPr="00B3196D">
        <w:rPr>
          <w:rFonts w:cs="Arial"/>
          <w:sz w:val="20"/>
          <w:szCs w:val="20"/>
        </w:rPr>
        <w:t>Coordinated conservation action along flyways is crucial for reducing the pressures on migratory shorebirds. While this report highlights new information on alarming population decreases for species in this group, many shorebirds were already known to have declined rapidly over the long-term, including the Critically Endangered Spoon-billed Sandpiper (</w:t>
      </w:r>
      <w:r w:rsidRPr="00B3196D">
        <w:rPr>
          <w:rFonts w:cs="Arial"/>
          <w:i/>
          <w:sz w:val="20"/>
          <w:szCs w:val="20"/>
        </w:rPr>
        <w:t>Calidris pygmaea</w:t>
      </w:r>
      <w:r w:rsidRPr="00B3196D">
        <w:rPr>
          <w:rFonts w:cs="Arial"/>
          <w:sz w:val="20"/>
          <w:szCs w:val="20"/>
        </w:rPr>
        <w:t>)</w:t>
      </w:r>
      <w:r w:rsidRPr="00B3196D">
        <w:rPr>
          <w:rFonts w:cs="Arial"/>
          <w:sz w:val="20"/>
          <w:szCs w:val="20"/>
          <w:vertAlign w:val="superscript"/>
        </w:rPr>
        <w:t>35</w:t>
      </w:r>
      <w:r w:rsidRPr="00B3196D">
        <w:rPr>
          <w:rFonts w:cs="Arial"/>
          <w:sz w:val="20"/>
          <w:szCs w:val="20"/>
        </w:rPr>
        <w:t xml:space="preserve">. </w:t>
      </w:r>
      <w:r w:rsidRPr="00B3196D">
        <w:rPr>
          <w:rFonts w:cs="Arial"/>
          <w:i/>
          <w:sz w:val="20"/>
          <w:szCs w:val="20"/>
        </w:rPr>
        <w:t>Photo credit</w:t>
      </w:r>
      <w:r w:rsidRPr="00B3196D">
        <w:rPr>
          <w:rFonts w:cs="Arial"/>
          <w:sz w:val="20"/>
          <w:szCs w:val="20"/>
        </w:rPr>
        <w:t xml:space="preserve">: </w:t>
      </w:r>
      <w:hyperlink r:id="rId52" w:history="1">
        <w:r w:rsidRPr="00B3196D">
          <w:rPr>
            <w:rStyle w:val="Hyperlink"/>
            <w:rFonts w:cs="Arial"/>
            <w:sz w:val="20"/>
            <w:szCs w:val="20"/>
          </w:rPr>
          <w:t>Adobe Stock | #98383832</w:t>
        </w:r>
      </w:hyperlink>
      <w:r w:rsidRPr="00B3196D">
        <w:rPr>
          <w:rFonts w:cs="Arial"/>
          <w:sz w:val="20"/>
          <w:szCs w:val="20"/>
        </w:rPr>
        <w:t>.</w:t>
      </w:r>
    </w:p>
    <w:p w14:paraId="4B6C0E94" w14:textId="77777777" w:rsidR="002D72AD" w:rsidRPr="00491E22" w:rsidRDefault="002D72AD" w:rsidP="002D72AD">
      <w:pPr>
        <w:spacing w:line="240" w:lineRule="auto"/>
        <w:rPr>
          <w:rFonts w:ascii="Roboto" w:hAnsi="Roboto"/>
        </w:rPr>
      </w:pPr>
    </w:p>
    <w:p w14:paraId="0B782BD8" w14:textId="77777777" w:rsidR="002D72AD" w:rsidRDefault="002D72AD" w:rsidP="002D72AD">
      <w:pPr>
        <w:spacing w:line="240" w:lineRule="auto"/>
        <w:rPr>
          <w:rFonts w:ascii="Roboto" w:hAnsi="Roboto"/>
          <w:i/>
        </w:rPr>
      </w:pPr>
    </w:p>
    <w:p w14:paraId="525E9CA5" w14:textId="77777777" w:rsidR="00B3196D" w:rsidRDefault="00B3196D" w:rsidP="00B3196D">
      <w:pPr>
        <w:spacing w:after="0" w:line="240" w:lineRule="auto"/>
        <w:rPr>
          <w:rFonts w:ascii="Roboto" w:hAnsi="Roboto"/>
          <w:b/>
          <w:color w:val="003870"/>
        </w:rPr>
      </w:pPr>
    </w:p>
    <w:p w14:paraId="1C36BC69" w14:textId="2BFE35B1" w:rsidR="002D72AD" w:rsidRDefault="002D72AD" w:rsidP="00B3196D">
      <w:pPr>
        <w:spacing w:after="0" w:line="240" w:lineRule="auto"/>
        <w:jc w:val="both"/>
        <w:rPr>
          <w:rFonts w:cs="Arial"/>
          <w:b/>
        </w:rPr>
      </w:pPr>
      <w:r w:rsidRPr="00B3196D">
        <w:rPr>
          <w:rFonts w:cs="Arial"/>
          <w:b/>
        </w:rPr>
        <w:t>Fish</w:t>
      </w:r>
    </w:p>
    <w:p w14:paraId="342DDD78" w14:textId="77777777" w:rsidR="00B3196D" w:rsidRPr="00B3196D" w:rsidRDefault="00B3196D" w:rsidP="00B3196D">
      <w:pPr>
        <w:spacing w:after="0" w:line="240" w:lineRule="auto"/>
        <w:jc w:val="both"/>
        <w:rPr>
          <w:rFonts w:cs="Arial"/>
          <w:b/>
        </w:rPr>
      </w:pPr>
    </w:p>
    <w:p w14:paraId="7AE6D1CC" w14:textId="77777777" w:rsidR="002D72AD" w:rsidRDefault="002D72AD" w:rsidP="00B3196D">
      <w:pPr>
        <w:spacing w:after="0" w:line="240" w:lineRule="auto"/>
        <w:jc w:val="both"/>
        <w:rPr>
          <w:rFonts w:cs="Arial"/>
        </w:rPr>
      </w:pPr>
      <w:r w:rsidRPr="00B3196D">
        <w:rPr>
          <w:rFonts w:cs="Arial"/>
        </w:rPr>
        <w:t xml:space="preserve">The first </w:t>
      </w:r>
      <w:hyperlink r:id="rId53" w:history="1">
        <w:r w:rsidRPr="00B3196D">
          <w:rPr>
            <w:rStyle w:val="Hyperlink"/>
            <w:rFonts w:cs="Arial"/>
            <w:i/>
          </w:rPr>
          <w:t>State of the World’s Migratory Species</w:t>
        </w:r>
      </w:hyperlink>
      <w:r w:rsidRPr="00B3196D">
        <w:rPr>
          <w:rFonts w:cs="Arial"/>
        </w:rPr>
        <w:t xml:space="preserve"> highlighted fish – both freshwater and marine – as a particular concern, with nearly all (97%) of CMS-listed fish threatened with extinction, and evidence for steep declines in the abundance of monitored fish populations over the last 50 years. Recent insights from the literature confirm these negative trends, underscoring the need for intensified action focussing on this group of species. </w:t>
      </w:r>
    </w:p>
    <w:p w14:paraId="3F8200DA" w14:textId="77777777" w:rsidR="00B3196D" w:rsidRPr="00B3196D" w:rsidRDefault="00B3196D" w:rsidP="00B3196D">
      <w:pPr>
        <w:spacing w:after="0" w:line="240" w:lineRule="auto"/>
        <w:jc w:val="both"/>
        <w:rPr>
          <w:rFonts w:cs="Arial"/>
        </w:rPr>
      </w:pPr>
    </w:p>
    <w:p w14:paraId="040B6E28" w14:textId="77777777" w:rsidR="002D72AD" w:rsidRPr="00B3196D" w:rsidRDefault="002D72AD" w:rsidP="00B3196D">
      <w:pPr>
        <w:spacing w:after="0" w:line="240" w:lineRule="auto"/>
        <w:jc w:val="both"/>
        <w:rPr>
          <w:rFonts w:cs="Arial"/>
          <w:i/>
        </w:rPr>
      </w:pPr>
      <w:r w:rsidRPr="00B3196D">
        <w:rPr>
          <w:rFonts w:cs="Arial"/>
          <w:i/>
        </w:rPr>
        <w:t>Freshwater fish</w:t>
      </w:r>
    </w:p>
    <w:p w14:paraId="1192F106" w14:textId="77777777" w:rsidR="00B3196D" w:rsidRPr="00B3196D" w:rsidRDefault="00B3196D" w:rsidP="00B3196D">
      <w:pPr>
        <w:spacing w:after="0" w:line="240" w:lineRule="auto"/>
        <w:jc w:val="both"/>
        <w:rPr>
          <w:rFonts w:cs="Arial"/>
          <w:i/>
          <w:color w:val="003870"/>
        </w:rPr>
      </w:pPr>
    </w:p>
    <w:p w14:paraId="458DAF80" w14:textId="77777777" w:rsidR="002D72AD" w:rsidRPr="00B3196D" w:rsidRDefault="002D72AD" w:rsidP="00B3196D">
      <w:pPr>
        <w:pStyle w:val="ListParagraph"/>
        <w:numPr>
          <w:ilvl w:val="0"/>
          <w:numId w:val="11"/>
        </w:numPr>
        <w:spacing w:after="80" w:line="240" w:lineRule="auto"/>
        <w:ind w:left="567" w:hanging="567"/>
        <w:contextualSpacing w:val="0"/>
        <w:jc w:val="both"/>
        <w:rPr>
          <w:rFonts w:cs="Arial"/>
        </w:rPr>
      </w:pPr>
      <w:r w:rsidRPr="00B3196D">
        <w:rPr>
          <w:rFonts w:cs="Arial"/>
        </w:rPr>
        <w:t xml:space="preserve">According to the most recent </w:t>
      </w:r>
      <w:hyperlink r:id="rId54" w:history="1">
        <w:r w:rsidRPr="00B3196D">
          <w:rPr>
            <w:rStyle w:val="Hyperlink"/>
            <w:rFonts w:cs="Arial"/>
          </w:rPr>
          <w:t>update</w:t>
        </w:r>
      </w:hyperlink>
      <w:r w:rsidRPr="00B3196D">
        <w:rPr>
          <w:rFonts w:cs="Arial"/>
        </w:rPr>
        <w:t xml:space="preserve"> of the Living Planet Index (LPI), monitored populations of migratory freshwater fish declined by 81% on average globally between 1970 and 2020</w:t>
      </w:r>
      <w:r w:rsidRPr="00B3196D">
        <w:rPr>
          <w:rFonts w:cs="Arial"/>
          <w:vertAlign w:val="superscript"/>
        </w:rPr>
        <w:t>36</w:t>
      </w:r>
      <w:r w:rsidRPr="00B3196D">
        <w:rPr>
          <w:rFonts w:cs="Arial"/>
        </w:rPr>
        <w:t>. Average population declines were particularly steep in Latin America (-91%) &amp; the Caribbean and Europe (-75%) but were less pronounced in North America (-34%) and Asia-Oceania (-28%). There was insufficient data to produce a trend for Africa</w:t>
      </w:r>
      <w:r w:rsidRPr="00B3196D">
        <w:rPr>
          <w:rFonts w:cs="Arial"/>
          <w:vertAlign w:val="superscript"/>
        </w:rPr>
        <w:t>36</w:t>
      </w:r>
      <w:r w:rsidRPr="00B3196D">
        <w:rPr>
          <w:rFonts w:cs="Arial"/>
        </w:rPr>
        <w:t xml:space="preserve">. </w:t>
      </w:r>
    </w:p>
    <w:p w14:paraId="67929977" w14:textId="77777777" w:rsidR="002D72AD" w:rsidRPr="00B3196D" w:rsidRDefault="002D72AD" w:rsidP="00B3196D">
      <w:pPr>
        <w:pStyle w:val="ListParagraph"/>
        <w:numPr>
          <w:ilvl w:val="0"/>
          <w:numId w:val="11"/>
        </w:numPr>
        <w:spacing w:after="0" w:line="240" w:lineRule="auto"/>
        <w:ind w:left="567" w:hanging="567"/>
        <w:contextualSpacing w:val="0"/>
        <w:jc w:val="both"/>
        <w:rPr>
          <w:rFonts w:cs="Arial"/>
        </w:rPr>
      </w:pPr>
      <w:r w:rsidRPr="00B3196D">
        <w:rPr>
          <w:rFonts w:cs="Arial"/>
        </w:rPr>
        <w:t>Habitat loss, degradation and alterations – including the impacts of dams and other human activities that cause changes in flow regime – was the most widely reported pressure affecting the monitored populations considered in the LPI update, followed by overexploitation</w:t>
      </w:r>
      <w:r w:rsidRPr="00B3196D">
        <w:rPr>
          <w:rFonts w:cs="Arial"/>
          <w:vertAlign w:val="superscript"/>
        </w:rPr>
        <w:t>36</w:t>
      </w:r>
      <w:r w:rsidRPr="00B3196D">
        <w:rPr>
          <w:rFonts w:cs="Arial"/>
        </w:rPr>
        <w:t>. Freshwater migratory species are predicted to suffer growing future impacts from dams, including in the Amazon, Congo, Niger, Mekong and Salween basins</w:t>
      </w:r>
      <w:r w:rsidRPr="00B3196D">
        <w:rPr>
          <w:rFonts w:cs="Arial"/>
          <w:vertAlign w:val="superscript"/>
        </w:rPr>
        <w:t>37</w:t>
      </w:r>
      <w:r w:rsidRPr="00B3196D">
        <w:rPr>
          <w:rFonts w:cs="Arial"/>
        </w:rPr>
        <w:t>. In the Amazon basin, the number of free-flowing rivers &gt;1,000 km in length is projected to decrease from 16 to nine if planned dams are built</w:t>
      </w:r>
      <w:r w:rsidRPr="00B3196D">
        <w:rPr>
          <w:rFonts w:cs="Arial"/>
          <w:vertAlign w:val="superscript"/>
        </w:rPr>
        <w:t>38</w:t>
      </w:r>
      <w:r w:rsidRPr="00B3196D">
        <w:rPr>
          <w:rFonts w:cs="Arial"/>
        </w:rPr>
        <w:t>. These changes are expected to impact CMS-listed aquatic mammals and reptiles that are reliant on river connectivity, such as the Amazon River Dolphin (</w:t>
      </w:r>
      <w:r w:rsidRPr="00B3196D">
        <w:rPr>
          <w:rFonts w:cs="Arial"/>
          <w:i/>
        </w:rPr>
        <w:t xml:space="preserve">Inia </w:t>
      </w:r>
      <w:proofErr w:type="spellStart"/>
      <w:r w:rsidRPr="00B3196D">
        <w:rPr>
          <w:rFonts w:cs="Arial"/>
          <w:i/>
        </w:rPr>
        <w:t>geoffrensis</w:t>
      </w:r>
      <w:proofErr w:type="spellEnd"/>
      <w:r w:rsidRPr="00B3196D">
        <w:rPr>
          <w:rFonts w:cs="Arial"/>
        </w:rPr>
        <w:t>) and the South American River Turtle (</w:t>
      </w:r>
      <w:proofErr w:type="spellStart"/>
      <w:r w:rsidRPr="00B3196D">
        <w:rPr>
          <w:rFonts w:cs="Arial"/>
          <w:i/>
        </w:rPr>
        <w:t>Podocnemis</w:t>
      </w:r>
      <w:proofErr w:type="spellEnd"/>
      <w:r w:rsidRPr="00B3196D">
        <w:rPr>
          <w:rFonts w:cs="Arial"/>
          <w:i/>
        </w:rPr>
        <w:t xml:space="preserve"> expansa</w:t>
      </w:r>
      <w:r w:rsidRPr="00B3196D">
        <w:rPr>
          <w:rFonts w:cs="Arial"/>
        </w:rPr>
        <w:t>)</w:t>
      </w:r>
      <w:r w:rsidRPr="00B3196D">
        <w:rPr>
          <w:rFonts w:cs="Arial"/>
          <w:vertAlign w:val="superscript"/>
        </w:rPr>
        <w:t>38</w:t>
      </w:r>
      <w:r w:rsidRPr="00B3196D">
        <w:rPr>
          <w:rFonts w:cs="Arial"/>
        </w:rPr>
        <w:t xml:space="preserve">.  </w:t>
      </w:r>
    </w:p>
    <w:p w14:paraId="0DF8AB99" w14:textId="77777777" w:rsidR="00B3196D" w:rsidRPr="00B3196D" w:rsidRDefault="00B3196D" w:rsidP="00B3196D">
      <w:pPr>
        <w:spacing w:after="0" w:line="240" w:lineRule="auto"/>
        <w:jc w:val="both"/>
        <w:rPr>
          <w:rFonts w:cs="Arial"/>
          <w:i/>
        </w:rPr>
      </w:pPr>
    </w:p>
    <w:p w14:paraId="7E164D82" w14:textId="4D3539D6" w:rsidR="002D72AD" w:rsidRPr="00B3196D" w:rsidRDefault="002D72AD" w:rsidP="00B3196D">
      <w:pPr>
        <w:spacing w:after="0" w:line="240" w:lineRule="auto"/>
        <w:jc w:val="both"/>
        <w:rPr>
          <w:rFonts w:cs="Arial"/>
          <w:i/>
        </w:rPr>
      </w:pPr>
      <w:r w:rsidRPr="00B3196D">
        <w:rPr>
          <w:rFonts w:cs="Arial"/>
          <w:i/>
        </w:rPr>
        <w:t>Sharks and rays</w:t>
      </w:r>
    </w:p>
    <w:p w14:paraId="4739057B" w14:textId="77777777" w:rsidR="00B3196D" w:rsidRPr="00B3196D" w:rsidRDefault="00B3196D" w:rsidP="00B3196D">
      <w:pPr>
        <w:spacing w:after="0" w:line="240" w:lineRule="auto"/>
        <w:jc w:val="both"/>
        <w:rPr>
          <w:rFonts w:cs="Arial"/>
          <w:i/>
        </w:rPr>
      </w:pPr>
    </w:p>
    <w:p w14:paraId="38A867EB" w14:textId="77777777" w:rsidR="002D72AD" w:rsidRDefault="002D72AD" w:rsidP="00B3196D">
      <w:pPr>
        <w:spacing w:after="0" w:line="240" w:lineRule="auto"/>
        <w:jc w:val="both"/>
        <w:rPr>
          <w:rFonts w:cs="Arial"/>
        </w:rPr>
      </w:pPr>
      <w:r w:rsidRPr="00B3196D">
        <w:rPr>
          <w:rFonts w:cs="Arial"/>
        </w:rPr>
        <w:t xml:space="preserve">Since the publication of the first </w:t>
      </w:r>
      <w:hyperlink r:id="rId55" w:history="1">
        <w:r w:rsidRPr="00B3196D">
          <w:rPr>
            <w:rStyle w:val="Hyperlink"/>
            <w:rFonts w:cs="Arial"/>
            <w:i/>
          </w:rPr>
          <w:t>State of the World’s Migratory Species</w:t>
        </w:r>
      </w:hyperlink>
      <w:r w:rsidRPr="00B3196D">
        <w:rPr>
          <w:rFonts w:cs="Arial"/>
        </w:rPr>
        <w:t>, several reports and studies have been released that provide updated information on the status of sharks and rays. This includes the recently published IUCN Species Survival Commission (SSC) Shark Specialist Group’s report on the ‘</w:t>
      </w:r>
      <w:hyperlink r:id="rId56">
        <w:r w:rsidR="00C82977" w:rsidRPr="00B3196D">
          <w:rPr>
            <w:rStyle w:val="Hyperlink"/>
            <w:rFonts w:cs="Arial"/>
            <w:i/>
            <w:iCs/>
          </w:rPr>
          <w:t>Global status of sharks, rays and chimaeras</w:t>
        </w:r>
      </w:hyperlink>
      <w:r w:rsidR="00C82977" w:rsidRPr="00B3196D">
        <w:rPr>
          <w:rFonts w:cs="Arial"/>
        </w:rPr>
        <w:t>’</w:t>
      </w:r>
      <w:r w:rsidR="00C82977" w:rsidRPr="00B3196D">
        <w:rPr>
          <w:rFonts w:cs="Arial"/>
          <w:vertAlign w:val="superscript"/>
        </w:rPr>
        <w:t xml:space="preserve"> </w:t>
      </w:r>
      <w:r w:rsidR="00C82977" w:rsidRPr="00B3196D">
        <w:rPr>
          <w:rFonts w:cs="Arial"/>
        </w:rPr>
        <w:t>as well as other key papers</w:t>
      </w:r>
      <w:r w:rsidR="00C82977" w:rsidRPr="00B3196D">
        <w:rPr>
          <w:rFonts w:cs="Arial"/>
          <w:vertAlign w:val="superscript"/>
        </w:rPr>
        <w:t>39-41</w:t>
      </w:r>
      <w:r w:rsidR="00C82977" w:rsidRPr="00B3196D">
        <w:rPr>
          <w:rFonts w:cs="Arial"/>
        </w:rPr>
        <w:t>.</w:t>
      </w:r>
      <w:r w:rsidRPr="00B3196D">
        <w:rPr>
          <w:rFonts w:cs="Arial"/>
        </w:rPr>
        <w:t xml:space="preserve"> These studies found that:</w:t>
      </w:r>
    </w:p>
    <w:p w14:paraId="5B89C57E" w14:textId="77777777" w:rsidR="00B3196D" w:rsidRPr="00B3196D" w:rsidRDefault="00B3196D" w:rsidP="00B3196D">
      <w:pPr>
        <w:spacing w:after="0" w:line="240" w:lineRule="auto"/>
        <w:jc w:val="both"/>
        <w:rPr>
          <w:rFonts w:cs="Arial"/>
        </w:rPr>
      </w:pPr>
    </w:p>
    <w:p w14:paraId="2FA7673B" w14:textId="77777777" w:rsidR="002D72AD" w:rsidRPr="00B3196D" w:rsidRDefault="002D72AD" w:rsidP="00B3196D">
      <w:pPr>
        <w:pStyle w:val="ListParagraph"/>
        <w:numPr>
          <w:ilvl w:val="0"/>
          <w:numId w:val="12"/>
        </w:numPr>
        <w:spacing w:after="80" w:line="240" w:lineRule="auto"/>
        <w:ind w:left="567" w:hanging="567"/>
        <w:contextualSpacing w:val="0"/>
        <w:jc w:val="both"/>
        <w:rPr>
          <w:rFonts w:cs="Arial"/>
        </w:rPr>
      </w:pPr>
      <w:r w:rsidRPr="00B3196D">
        <w:rPr>
          <w:rFonts w:cs="Arial"/>
        </w:rPr>
        <w:t xml:space="preserve">Sharks and rays as a whole have experienced </w:t>
      </w:r>
      <w:hyperlink r:id="rId57" w:history="1">
        <w:r w:rsidRPr="00B3196D">
          <w:rPr>
            <w:rStyle w:val="Hyperlink"/>
            <w:rFonts w:cs="Arial"/>
          </w:rPr>
          <w:t>substantial increases in extinction risk</w:t>
        </w:r>
      </w:hyperlink>
      <w:r w:rsidRPr="00B3196D">
        <w:rPr>
          <w:rFonts w:cs="Arial"/>
        </w:rPr>
        <w:t xml:space="preserve"> between 1970 and 2020, reaffirming their status as one of the most threatened vertebrate groups</w:t>
      </w:r>
      <w:r w:rsidRPr="00B3196D">
        <w:rPr>
          <w:rFonts w:cs="Arial"/>
          <w:vertAlign w:val="superscript"/>
        </w:rPr>
        <w:t>40</w:t>
      </w:r>
      <w:r w:rsidRPr="00B3196D">
        <w:rPr>
          <w:rFonts w:cs="Arial"/>
        </w:rPr>
        <w:t xml:space="preserve">. Globally, populations of these species have declined in abundance by half since 1970 as a result of overfishing, based on an analysis of global trends in </w:t>
      </w:r>
      <w:r w:rsidRPr="00B3196D">
        <w:rPr>
          <w:rFonts w:cs="Arial"/>
        </w:rPr>
        <w:lastRenderedPageBreak/>
        <w:t>catch per unit effort</w:t>
      </w:r>
      <w:r w:rsidRPr="00B3196D">
        <w:rPr>
          <w:rFonts w:cs="Arial"/>
          <w:vertAlign w:val="superscript"/>
        </w:rPr>
        <w:t>40</w:t>
      </w:r>
      <w:r w:rsidRPr="00B3196D">
        <w:rPr>
          <w:rFonts w:cs="Arial"/>
        </w:rPr>
        <w:t>. Among taxonomic groups that contain several CMS-listed species, the sawfishes (</w:t>
      </w:r>
      <w:proofErr w:type="spellStart"/>
      <w:r w:rsidRPr="00B3196D">
        <w:rPr>
          <w:rFonts w:cs="Arial"/>
        </w:rPr>
        <w:t>Pristidae</w:t>
      </w:r>
      <w:proofErr w:type="spellEnd"/>
      <w:r w:rsidRPr="00B3196D">
        <w:rPr>
          <w:rFonts w:cs="Arial"/>
        </w:rPr>
        <w:t>), devil rays (</w:t>
      </w:r>
      <w:proofErr w:type="spellStart"/>
      <w:r w:rsidRPr="00B3196D">
        <w:rPr>
          <w:rFonts w:cs="Arial"/>
        </w:rPr>
        <w:t>Mobulidae</w:t>
      </w:r>
      <w:proofErr w:type="spellEnd"/>
      <w:r w:rsidRPr="00B3196D">
        <w:rPr>
          <w:rFonts w:cs="Arial"/>
        </w:rPr>
        <w:t>) and hammerhead sharks (Sphyrnidae) are particularly severely threatened</w:t>
      </w:r>
      <w:r w:rsidRPr="00B3196D">
        <w:rPr>
          <w:rFonts w:cs="Arial"/>
          <w:vertAlign w:val="superscript"/>
        </w:rPr>
        <w:t>40</w:t>
      </w:r>
      <w:r w:rsidRPr="00B3196D">
        <w:rPr>
          <w:rFonts w:cs="Arial"/>
        </w:rPr>
        <w:t>. Extinction risk has also risen steeply for the requiem sharks (Carcharhinidae), which includes strongly declining CMS-listed species such as the Critically Endangered Oceanic Whitetip (</w:t>
      </w:r>
      <w:r w:rsidRPr="00B3196D">
        <w:rPr>
          <w:rFonts w:cs="Arial"/>
          <w:i/>
        </w:rPr>
        <w:t>Carcharhinus longimanus</w:t>
      </w:r>
      <w:r w:rsidRPr="00B3196D">
        <w:rPr>
          <w:rFonts w:cs="Arial"/>
        </w:rPr>
        <w:t>)</w:t>
      </w:r>
      <w:r w:rsidRPr="00B3196D">
        <w:rPr>
          <w:rFonts w:cs="Arial"/>
          <w:vertAlign w:val="superscript"/>
        </w:rPr>
        <w:t>43</w:t>
      </w:r>
      <w:r w:rsidRPr="00B3196D">
        <w:rPr>
          <w:rFonts w:cs="Arial"/>
        </w:rPr>
        <w:t>.</w:t>
      </w:r>
    </w:p>
    <w:p w14:paraId="44301980" w14:textId="77777777" w:rsidR="002D72AD" w:rsidRPr="00B3196D" w:rsidRDefault="002D72AD" w:rsidP="00B3196D">
      <w:pPr>
        <w:pStyle w:val="ListParagraph"/>
        <w:numPr>
          <w:ilvl w:val="0"/>
          <w:numId w:val="12"/>
        </w:numPr>
        <w:spacing w:after="80" w:line="240" w:lineRule="auto"/>
        <w:ind w:left="567" w:hanging="567"/>
        <w:contextualSpacing w:val="0"/>
        <w:jc w:val="both"/>
        <w:rPr>
          <w:rFonts w:cs="Arial"/>
        </w:rPr>
      </w:pPr>
      <w:r w:rsidRPr="00B3196D">
        <w:rPr>
          <w:rFonts w:cs="Arial"/>
        </w:rPr>
        <w:t>Taking a regional perspective, the most pronounced increases in extinction risk for sharks and rays have occurred in the tropical Atlantic Ocean, the Northern Indian Ocean, the Indo-West Pacific Ocean and the Mediterranean and Black Sea regions</w:t>
      </w:r>
      <w:r w:rsidRPr="00B3196D">
        <w:rPr>
          <w:rFonts w:cs="Arial"/>
          <w:vertAlign w:val="superscript"/>
        </w:rPr>
        <w:t>40</w:t>
      </w:r>
      <w:r w:rsidRPr="00B3196D">
        <w:rPr>
          <w:rFonts w:cs="Arial"/>
        </w:rPr>
        <w:t>. Regional populations of wide-ranging sharks and rays may rebound, if science-based fisheries management approaches are implemented</w:t>
      </w:r>
      <w:r w:rsidRPr="00B3196D">
        <w:rPr>
          <w:rFonts w:cs="Arial"/>
          <w:vertAlign w:val="superscript"/>
        </w:rPr>
        <w:t>41</w:t>
      </w:r>
      <w:r w:rsidRPr="00B3196D">
        <w:rPr>
          <w:rFonts w:cs="Arial"/>
        </w:rPr>
        <w:t>.</w:t>
      </w:r>
    </w:p>
    <w:p w14:paraId="044F1FE4" w14:textId="77777777" w:rsidR="002D72AD" w:rsidRPr="00B3196D" w:rsidRDefault="002D72AD" w:rsidP="00B3196D">
      <w:pPr>
        <w:pStyle w:val="ListParagraph"/>
        <w:numPr>
          <w:ilvl w:val="0"/>
          <w:numId w:val="12"/>
        </w:numPr>
        <w:spacing w:after="80" w:line="240" w:lineRule="auto"/>
        <w:ind w:left="567" w:hanging="567"/>
        <w:contextualSpacing w:val="0"/>
        <w:jc w:val="both"/>
        <w:rPr>
          <w:rFonts w:cs="Arial"/>
        </w:rPr>
      </w:pPr>
      <w:r w:rsidRPr="00B3196D">
        <w:rPr>
          <w:rFonts w:cs="Arial"/>
        </w:rPr>
        <w:t>Overfishing – including both targeted fisheries and incidental bycatch – remains the primary threat affecting sharks and rays</w:t>
      </w:r>
      <w:r w:rsidRPr="00B3196D">
        <w:rPr>
          <w:rFonts w:cs="Arial"/>
          <w:vertAlign w:val="superscript"/>
        </w:rPr>
        <w:t>39</w:t>
      </w:r>
      <w:r w:rsidRPr="00B3196D">
        <w:rPr>
          <w:rFonts w:cs="Arial"/>
        </w:rPr>
        <w:t>. The loss and degradation of coastal habitats such as mangroves has also contributed to dramatic long-term declines and substantial range loss for coastal species such as sawfishes</w:t>
      </w:r>
      <w:r w:rsidRPr="00B3196D">
        <w:rPr>
          <w:rFonts w:cs="Arial"/>
          <w:vertAlign w:val="superscript"/>
        </w:rPr>
        <w:t>42</w:t>
      </w:r>
      <w:r w:rsidRPr="00B3196D">
        <w:rPr>
          <w:rFonts w:cs="Arial"/>
        </w:rPr>
        <w:t>, all five of which are now categorized by the IUCN Red List as Critically Endangered</w:t>
      </w:r>
      <w:r w:rsidRPr="00B3196D">
        <w:rPr>
          <w:rFonts w:cs="Arial"/>
          <w:vertAlign w:val="superscript"/>
        </w:rPr>
        <w:t>43</w:t>
      </w:r>
      <w:r w:rsidRPr="00B3196D">
        <w:rPr>
          <w:rFonts w:cs="Arial"/>
        </w:rPr>
        <w:t xml:space="preserve">. </w:t>
      </w:r>
    </w:p>
    <w:p w14:paraId="6A871FE1" w14:textId="77777777" w:rsidR="002D72AD" w:rsidRPr="00B3196D" w:rsidRDefault="002D72AD" w:rsidP="00B3196D">
      <w:pPr>
        <w:pStyle w:val="ListParagraph"/>
        <w:numPr>
          <w:ilvl w:val="0"/>
          <w:numId w:val="12"/>
        </w:numPr>
        <w:spacing w:after="0" w:line="240" w:lineRule="auto"/>
        <w:ind w:left="567" w:hanging="567"/>
        <w:contextualSpacing w:val="0"/>
        <w:jc w:val="both"/>
        <w:rPr>
          <w:rFonts w:cs="Arial"/>
        </w:rPr>
      </w:pPr>
      <w:r w:rsidRPr="00B3196D">
        <w:rPr>
          <w:rFonts w:cs="Arial"/>
        </w:rPr>
        <w:t>Climate change, including the impacts of ocean warming, acidification and potentially deoxygenation, has also been identified as an additional pressure that will likely have a strong impact on coastal and pelagic species</w:t>
      </w:r>
      <w:r w:rsidRPr="00B3196D">
        <w:rPr>
          <w:rFonts w:cs="Arial"/>
          <w:vertAlign w:val="superscript"/>
        </w:rPr>
        <w:t>39,44-45</w:t>
      </w:r>
      <w:r w:rsidRPr="00B3196D">
        <w:rPr>
          <w:rFonts w:cs="Arial"/>
        </w:rPr>
        <w:t>.</w:t>
      </w:r>
    </w:p>
    <w:p w14:paraId="5CDEE177" w14:textId="77777777" w:rsidR="002D72AD" w:rsidRPr="00A47658" w:rsidRDefault="002D72AD" w:rsidP="0044560F">
      <w:pPr>
        <w:spacing w:after="0" w:line="240" w:lineRule="auto"/>
        <w:rPr>
          <w:rFonts w:ascii="Roboto" w:hAnsi="Roboto"/>
        </w:rPr>
      </w:pPr>
    </w:p>
    <w:p w14:paraId="6D7C6D31" w14:textId="77777777" w:rsidR="002D72AD" w:rsidRPr="00C304D2" w:rsidRDefault="00C82977" w:rsidP="00C304D2">
      <w:pPr>
        <w:spacing w:after="0" w:line="240" w:lineRule="auto"/>
        <w:jc w:val="both"/>
        <w:rPr>
          <w:rFonts w:cs="Arial"/>
          <w:sz w:val="20"/>
          <w:szCs w:val="20"/>
        </w:rPr>
      </w:pPr>
      <w:r w:rsidRPr="00C304D2">
        <w:rPr>
          <w:rFonts w:cs="Arial"/>
          <w:noProof/>
          <w:sz w:val="20"/>
          <w:szCs w:val="20"/>
        </w:rPr>
        <w:drawing>
          <wp:anchor distT="0" distB="0" distL="114300" distR="114300" simplePos="0" relativeHeight="251661824" behindDoc="0" locked="0" layoutInCell="1" allowOverlap="1" wp14:anchorId="3D5699F0" wp14:editId="40B4EE4F">
            <wp:simplePos x="0" y="0"/>
            <wp:positionH relativeFrom="column">
              <wp:posOffset>0</wp:posOffset>
            </wp:positionH>
            <wp:positionV relativeFrom="paragraph">
              <wp:posOffset>-1905</wp:posOffset>
            </wp:positionV>
            <wp:extent cx="2809875" cy="2162175"/>
            <wp:effectExtent l="0" t="0" r="9525" b="9525"/>
            <wp:wrapSquare wrapText="bothSides"/>
            <wp:docPr id="494246620" name="Picture 1" descr="A fish swimming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246620" name="Picture 1" descr="A fish swimming in the water&#10;&#10;Description automatically generated"/>
                    <pic:cNvPicPr/>
                  </pic:nvPicPr>
                  <pic:blipFill rotWithShape="1">
                    <a:blip r:embed="rId58" cstate="print">
                      <a:extLst>
                        <a:ext uri="{28A0092B-C50C-407E-A947-70E740481C1C}">
                          <a14:useLocalDpi xmlns:a14="http://schemas.microsoft.com/office/drawing/2010/main" val="0"/>
                        </a:ext>
                      </a:extLst>
                    </a:blip>
                    <a:srcRect l="41546" r="9429" b="10606"/>
                    <a:stretch/>
                  </pic:blipFill>
                  <pic:spPr bwMode="auto">
                    <a:xfrm>
                      <a:off x="0" y="0"/>
                      <a:ext cx="2809875" cy="2162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72AD" w:rsidRPr="00C304D2">
        <w:rPr>
          <w:rFonts w:cs="Arial"/>
          <w:i/>
          <w:sz w:val="20"/>
          <w:szCs w:val="20"/>
        </w:rPr>
        <w:t>Photo caption</w:t>
      </w:r>
      <w:r w:rsidR="002D72AD" w:rsidRPr="00C304D2">
        <w:rPr>
          <w:rFonts w:cs="Arial"/>
          <w:sz w:val="20"/>
          <w:szCs w:val="20"/>
        </w:rPr>
        <w:t xml:space="preserve">: The Critically Endangered </w:t>
      </w:r>
      <w:proofErr w:type="spellStart"/>
      <w:r w:rsidR="002D72AD" w:rsidRPr="00C304D2">
        <w:rPr>
          <w:rFonts w:cs="Arial"/>
          <w:sz w:val="20"/>
          <w:szCs w:val="20"/>
        </w:rPr>
        <w:t>Angelshark</w:t>
      </w:r>
      <w:proofErr w:type="spellEnd"/>
      <w:r w:rsidR="002D72AD" w:rsidRPr="00C304D2">
        <w:rPr>
          <w:rFonts w:cs="Arial"/>
          <w:sz w:val="20"/>
          <w:szCs w:val="20"/>
        </w:rPr>
        <w:t xml:space="preserve"> (</w:t>
      </w:r>
      <w:r w:rsidR="002D72AD" w:rsidRPr="00C304D2">
        <w:rPr>
          <w:rFonts w:cs="Arial"/>
          <w:i/>
          <w:sz w:val="20"/>
          <w:szCs w:val="20"/>
        </w:rPr>
        <w:t>Squatina squatina</w:t>
      </w:r>
      <w:r w:rsidR="002D72AD" w:rsidRPr="00C304D2">
        <w:rPr>
          <w:rFonts w:cs="Arial"/>
          <w:sz w:val="20"/>
          <w:szCs w:val="20"/>
        </w:rPr>
        <w:t>) – listed on CMS Appendices I and II and Annex 1 of the Sharks MOU – was formerly widespread in coastal waters of the northeast Atlantic Ocean and the Mediterranean Sea, but due to overexploitation, populations are now increasingly fragmented</w:t>
      </w:r>
      <w:r w:rsidR="002D72AD" w:rsidRPr="00C304D2">
        <w:rPr>
          <w:rFonts w:cs="Arial"/>
          <w:sz w:val="20"/>
          <w:szCs w:val="20"/>
          <w:vertAlign w:val="superscript"/>
        </w:rPr>
        <w:t>39,46</w:t>
      </w:r>
      <w:r w:rsidR="002D72AD" w:rsidRPr="00C304D2">
        <w:rPr>
          <w:rFonts w:cs="Arial"/>
          <w:sz w:val="20"/>
          <w:szCs w:val="20"/>
        </w:rPr>
        <w:t xml:space="preserve">. A CMS Single Species Action Plan for </w:t>
      </w:r>
      <w:proofErr w:type="spellStart"/>
      <w:r w:rsidR="002D72AD" w:rsidRPr="00C304D2">
        <w:rPr>
          <w:rFonts w:cs="Arial"/>
          <w:sz w:val="20"/>
          <w:szCs w:val="20"/>
        </w:rPr>
        <w:t>Angelshark</w:t>
      </w:r>
      <w:proofErr w:type="spellEnd"/>
      <w:r w:rsidR="002D72AD" w:rsidRPr="00C304D2">
        <w:rPr>
          <w:rFonts w:cs="Arial"/>
          <w:sz w:val="20"/>
          <w:szCs w:val="20"/>
        </w:rPr>
        <w:t xml:space="preserve"> in the Mediterranean Sea was adopted at COP14. </w:t>
      </w:r>
      <w:r w:rsidR="002D72AD" w:rsidRPr="00C304D2">
        <w:rPr>
          <w:rFonts w:cs="Arial"/>
          <w:i/>
          <w:sz w:val="20"/>
          <w:szCs w:val="20"/>
        </w:rPr>
        <w:t>Photo credit</w:t>
      </w:r>
      <w:r w:rsidR="002D72AD" w:rsidRPr="00C304D2">
        <w:rPr>
          <w:rFonts w:cs="Arial"/>
          <w:sz w:val="20"/>
          <w:szCs w:val="20"/>
        </w:rPr>
        <w:t xml:space="preserve">: </w:t>
      </w:r>
      <w:hyperlink r:id="rId59" w:history="1">
        <w:r w:rsidR="002D72AD" w:rsidRPr="00C304D2">
          <w:rPr>
            <w:rStyle w:val="Hyperlink"/>
            <w:rFonts w:cs="Arial"/>
            <w:sz w:val="20"/>
            <w:szCs w:val="20"/>
          </w:rPr>
          <w:t>Adobe Stock | #220283534</w:t>
        </w:r>
      </w:hyperlink>
      <w:r w:rsidR="002D72AD" w:rsidRPr="00C304D2">
        <w:rPr>
          <w:rFonts w:cs="Arial"/>
          <w:sz w:val="20"/>
          <w:szCs w:val="20"/>
        </w:rPr>
        <w:t>.</w:t>
      </w:r>
    </w:p>
    <w:p w14:paraId="5975DE45" w14:textId="77777777" w:rsidR="002D72AD" w:rsidRPr="00A4736A" w:rsidRDefault="002D72AD" w:rsidP="002D72AD">
      <w:pPr>
        <w:spacing w:after="0" w:line="240" w:lineRule="auto"/>
        <w:rPr>
          <w:rFonts w:ascii="Roboto" w:hAnsi="Roboto"/>
          <w:sz w:val="20"/>
          <w:szCs w:val="20"/>
        </w:rPr>
      </w:pPr>
    </w:p>
    <w:p w14:paraId="19DCE572" w14:textId="77777777" w:rsidR="002D72AD" w:rsidRPr="00FA5C52" w:rsidRDefault="002D72AD" w:rsidP="002D72AD">
      <w:pPr>
        <w:spacing w:line="240" w:lineRule="auto"/>
        <w:rPr>
          <w:rFonts w:ascii="Roboto" w:hAnsi="Roboto"/>
        </w:rPr>
      </w:pPr>
    </w:p>
    <w:p w14:paraId="5FBDD76B" w14:textId="77777777" w:rsidR="002D72AD" w:rsidRDefault="002D72AD" w:rsidP="002D72AD">
      <w:pPr>
        <w:spacing w:line="240" w:lineRule="auto"/>
        <w:rPr>
          <w:rFonts w:ascii="Roboto" w:hAnsi="Roboto"/>
          <w:b/>
          <w:color w:val="003870"/>
        </w:rPr>
      </w:pPr>
    </w:p>
    <w:p w14:paraId="248FB8B9" w14:textId="77777777" w:rsidR="00C304D2" w:rsidRDefault="00C304D2" w:rsidP="002D72AD">
      <w:pPr>
        <w:spacing w:line="240" w:lineRule="auto"/>
        <w:rPr>
          <w:rFonts w:ascii="Roboto" w:hAnsi="Roboto"/>
          <w:b/>
          <w:color w:val="003870"/>
        </w:rPr>
      </w:pPr>
    </w:p>
    <w:p w14:paraId="4A5AFADD" w14:textId="1DAA2D11" w:rsidR="002D72AD" w:rsidRDefault="002D72AD" w:rsidP="00C304D2">
      <w:pPr>
        <w:spacing w:after="0" w:line="240" w:lineRule="auto"/>
        <w:rPr>
          <w:rFonts w:cs="Arial"/>
          <w:b/>
        </w:rPr>
      </w:pPr>
      <w:r w:rsidRPr="00C304D2">
        <w:rPr>
          <w:rFonts w:cs="Arial"/>
          <w:b/>
        </w:rPr>
        <w:t>Reptiles</w:t>
      </w:r>
    </w:p>
    <w:p w14:paraId="7E2839BF" w14:textId="77777777" w:rsidR="00C304D2" w:rsidRPr="00C304D2" w:rsidRDefault="00C304D2" w:rsidP="00C304D2">
      <w:pPr>
        <w:spacing w:after="0" w:line="240" w:lineRule="auto"/>
        <w:rPr>
          <w:rFonts w:cs="Arial"/>
          <w:b/>
        </w:rPr>
      </w:pPr>
    </w:p>
    <w:p w14:paraId="1F56CFD2" w14:textId="77777777" w:rsidR="002D72AD" w:rsidRDefault="002D72AD" w:rsidP="00C304D2">
      <w:pPr>
        <w:spacing w:after="0" w:line="240" w:lineRule="auto"/>
        <w:rPr>
          <w:rFonts w:cs="Arial"/>
          <w:i/>
        </w:rPr>
      </w:pPr>
      <w:r w:rsidRPr="00C304D2">
        <w:rPr>
          <w:rFonts w:cs="Arial"/>
          <w:i/>
        </w:rPr>
        <w:t>Marine turtles</w:t>
      </w:r>
    </w:p>
    <w:p w14:paraId="6D6EF7A2" w14:textId="77777777" w:rsidR="00C304D2" w:rsidRPr="00C304D2" w:rsidRDefault="00C304D2" w:rsidP="00C304D2">
      <w:pPr>
        <w:spacing w:after="0" w:line="240" w:lineRule="auto"/>
        <w:rPr>
          <w:rFonts w:cs="Arial"/>
        </w:rPr>
      </w:pPr>
    </w:p>
    <w:p w14:paraId="606F7577" w14:textId="77777777" w:rsidR="002D72AD" w:rsidRPr="00C304D2" w:rsidRDefault="002D72AD" w:rsidP="00C304D2">
      <w:pPr>
        <w:pStyle w:val="ListParagraph"/>
        <w:numPr>
          <w:ilvl w:val="0"/>
          <w:numId w:val="13"/>
        </w:numPr>
        <w:spacing w:after="80" w:line="240" w:lineRule="auto"/>
        <w:ind w:left="567" w:hanging="567"/>
        <w:contextualSpacing w:val="0"/>
        <w:jc w:val="both"/>
        <w:rPr>
          <w:rFonts w:cs="Arial"/>
        </w:rPr>
      </w:pPr>
      <w:r w:rsidRPr="00C304D2">
        <w:rPr>
          <w:rFonts w:cs="Arial"/>
        </w:rPr>
        <w:t xml:space="preserve">The conservation status of marine turtles appears to be improving overall. In a recent </w:t>
      </w:r>
      <w:hyperlink r:id="rId60" w:history="1">
        <w:r w:rsidRPr="00C304D2">
          <w:rPr>
            <w:rStyle w:val="Hyperlink"/>
            <w:rFonts w:cs="Arial"/>
          </w:rPr>
          <w:t>comprehensive assessment</w:t>
        </w:r>
      </w:hyperlink>
      <w:r w:rsidRPr="00C304D2">
        <w:rPr>
          <w:rFonts w:cs="Arial"/>
        </w:rPr>
        <w:t>, conducted by the IUCN SSC Marine Turtle Specialist Group (MTSG), the proportion of marine turtle regional management units (RMUs) scored as “low risk-low threat” increased from 23% in 2011 to 40% in 2024</w:t>
      </w:r>
      <w:r w:rsidRPr="00C304D2">
        <w:rPr>
          <w:rFonts w:cs="Arial"/>
          <w:vertAlign w:val="superscript"/>
        </w:rPr>
        <w:t>47</w:t>
      </w:r>
      <w:r w:rsidRPr="00C304D2">
        <w:rPr>
          <w:rFonts w:cs="Arial"/>
        </w:rPr>
        <w:t>. Over the same period, risk-threat categories improved for 54% and deteriorated for 15% of RMUs</w:t>
      </w:r>
      <w:r w:rsidRPr="00C304D2">
        <w:rPr>
          <w:rFonts w:cs="Arial"/>
          <w:vertAlign w:val="superscript"/>
        </w:rPr>
        <w:t>47</w:t>
      </w:r>
      <w:r w:rsidRPr="00C304D2">
        <w:rPr>
          <w:rFonts w:cs="Arial"/>
        </w:rPr>
        <w:t>.</w:t>
      </w:r>
    </w:p>
    <w:p w14:paraId="3098B694" w14:textId="7C6F76A6" w:rsidR="002D72AD" w:rsidRPr="00C304D2" w:rsidRDefault="002D72AD" w:rsidP="00C304D2">
      <w:pPr>
        <w:pStyle w:val="ListParagraph"/>
        <w:numPr>
          <w:ilvl w:val="0"/>
          <w:numId w:val="13"/>
        </w:numPr>
        <w:spacing w:after="80" w:line="240" w:lineRule="auto"/>
        <w:ind w:left="567" w:hanging="567"/>
        <w:contextualSpacing w:val="0"/>
        <w:jc w:val="both"/>
        <w:rPr>
          <w:rFonts w:cs="Arial"/>
        </w:rPr>
      </w:pPr>
      <w:r w:rsidRPr="00C304D2">
        <w:rPr>
          <w:rFonts w:cs="Arial"/>
        </w:rPr>
        <w:t xml:space="preserve">The results of this updated assessment – which can be viewed online via an </w:t>
      </w:r>
      <w:hyperlink r:id="rId61" w:history="1">
        <w:r w:rsidRPr="00C304D2">
          <w:rPr>
            <w:rStyle w:val="Hyperlink"/>
            <w:rFonts w:cs="Arial"/>
          </w:rPr>
          <w:t>interactive data dashboard</w:t>
        </w:r>
      </w:hyperlink>
      <w:r w:rsidRPr="00C304D2">
        <w:rPr>
          <w:rFonts w:cs="Arial"/>
        </w:rPr>
        <w:t xml:space="preserve"> – match the picture emerging from a recent </w:t>
      </w:r>
      <w:hyperlink r:id="rId62" w:history="1">
        <w:r w:rsidRPr="00C304D2">
          <w:rPr>
            <w:rStyle w:val="Hyperlink"/>
            <w:rFonts w:cs="Arial"/>
          </w:rPr>
          <w:t>synthesis</w:t>
        </w:r>
      </w:hyperlink>
      <w:r w:rsidRPr="00C304D2">
        <w:rPr>
          <w:rFonts w:cs="Arial"/>
        </w:rPr>
        <w:t xml:space="preserve"> of trends in annual nesting numbers, which shows upward or stable trends for most monitored populations</w:t>
      </w:r>
      <w:r w:rsidRPr="00C304D2">
        <w:rPr>
          <w:rFonts w:cs="Arial"/>
          <w:vertAlign w:val="superscript"/>
        </w:rPr>
        <w:t>48</w:t>
      </w:r>
      <w:r w:rsidRPr="00C304D2">
        <w:rPr>
          <w:rFonts w:cs="Arial"/>
        </w:rPr>
        <w:t>. In some cases, positive trends have been attributed to conservation measures, including efforts to reduce take and the establishment of protected areas</w:t>
      </w:r>
      <w:r w:rsidRPr="00C304D2">
        <w:rPr>
          <w:rFonts w:cs="Arial"/>
          <w:vertAlign w:val="superscript"/>
        </w:rPr>
        <w:t>49</w:t>
      </w:r>
      <w:r w:rsidRPr="00C304D2">
        <w:rPr>
          <w:rFonts w:cs="Arial"/>
        </w:rPr>
        <w:t>.</w:t>
      </w:r>
      <w:r w:rsidR="00C304D2">
        <w:rPr>
          <w:rFonts w:cs="Arial"/>
        </w:rPr>
        <w:br w:type="page"/>
      </w:r>
    </w:p>
    <w:p w14:paraId="53CFFDA2" w14:textId="77777777" w:rsidR="002D72AD" w:rsidRPr="00C304D2" w:rsidRDefault="002D72AD" w:rsidP="00C304D2">
      <w:pPr>
        <w:pStyle w:val="ListParagraph"/>
        <w:numPr>
          <w:ilvl w:val="0"/>
          <w:numId w:val="14"/>
        </w:numPr>
        <w:spacing w:after="80" w:line="240" w:lineRule="auto"/>
        <w:ind w:left="567" w:hanging="567"/>
        <w:contextualSpacing w:val="0"/>
        <w:jc w:val="both"/>
        <w:rPr>
          <w:rFonts w:cs="Arial"/>
        </w:rPr>
      </w:pPr>
      <w:r w:rsidRPr="00C304D2">
        <w:rPr>
          <w:rFonts w:cs="Arial"/>
        </w:rPr>
        <w:lastRenderedPageBreak/>
        <w:t>Many marine turtle populations remain threatened, however</w:t>
      </w:r>
      <w:r w:rsidRPr="00C304D2">
        <w:rPr>
          <w:rFonts w:cs="Arial"/>
          <w:vertAlign w:val="superscript"/>
        </w:rPr>
        <w:t>47</w:t>
      </w:r>
      <w:r w:rsidRPr="00C304D2">
        <w:rPr>
          <w:rFonts w:cs="Arial"/>
        </w:rPr>
        <w:t>. Viewed from a regional perspective, while improvements in conservation status were more common in Atlantic Ocean RMUs, most of the “high risk-high threat” RMUs were concentrated in the Pacific Ocean</w:t>
      </w:r>
      <w:r w:rsidRPr="00C304D2">
        <w:rPr>
          <w:rFonts w:cs="Arial"/>
          <w:vertAlign w:val="superscript"/>
        </w:rPr>
        <w:t>47</w:t>
      </w:r>
      <w:r w:rsidRPr="00C304D2">
        <w:rPr>
          <w:rFonts w:cs="Arial"/>
        </w:rPr>
        <w:t>. Of the nine “high risk-high threat” RMUs, four were Leatherback Turtle RMUs (</w:t>
      </w:r>
      <w:r w:rsidRPr="00C304D2">
        <w:rPr>
          <w:rFonts w:cs="Arial"/>
          <w:i/>
        </w:rPr>
        <w:t>Dermochelys coriacea</w:t>
      </w:r>
      <w:r w:rsidRPr="00C304D2">
        <w:rPr>
          <w:rFonts w:cs="Arial"/>
        </w:rPr>
        <w:t>) and three were Loggerhead Turtle (</w:t>
      </w:r>
      <w:r w:rsidRPr="00C304D2">
        <w:rPr>
          <w:rFonts w:cs="Arial"/>
          <w:i/>
        </w:rPr>
        <w:t>Caretta caretta</w:t>
      </w:r>
      <w:r w:rsidRPr="00C304D2">
        <w:rPr>
          <w:rFonts w:cs="Arial"/>
        </w:rPr>
        <w:t>) RMUs</w:t>
      </w:r>
      <w:r w:rsidRPr="00C304D2">
        <w:rPr>
          <w:rFonts w:cs="Arial"/>
          <w:vertAlign w:val="superscript"/>
        </w:rPr>
        <w:t>47</w:t>
      </w:r>
      <w:r w:rsidRPr="00C304D2">
        <w:rPr>
          <w:rFonts w:cs="Arial"/>
        </w:rPr>
        <w:t xml:space="preserve">.  </w:t>
      </w:r>
    </w:p>
    <w:p w14:paraId="6D4222DD" w14:textId="77777777" w:rsidR="002D72AD" w:rsidRPr="00C304D2" w:rsidRDefault="002D72AD" w:rsidP="00C304D2">
      <w:pPr>
        <w:pStyle w:val="ListParagraph"/>
        <w:numPr>
          <w:ilvl w:val="0"/>
          <w:numId w:val="14"/>
        </w:numPr>
        <w:spacing w:after="0" w:line="240" w:lineRule="auto"/>
        <w:ind w:left="567" w:hanging="567"/>
        <w:contextualSpacing w:val="0"/>
        <w:jc w:val="both"/>
        <w:rPr>
          <w:rFonts w:cs="Arial"/>
        </w:rPr>
      </w:pPr>
      <w:r w:rsidRPr="00C304D2">
        <w:rPr>
          <w:rFonts w:cs="Arial"/>
        </w:rPr>
        <w:t>Despite the overall signs of recovery noted above, marine turtles still face severe threats</w:t>
      </w:r>
      <w:r w:rsidRPr="00C304D2">
        <w:rPr>
          <w:rFonts w:cs="Arial"/>
          <w:vertAlign w:val="superscript"/>
        </w:rPr>
        <w:t>49</w:t>
      </w:r>
      <w:r w:rsidRPr="00C304D2">
        <w:rPr>
          <w:rFonts w:cs="Arial"/>
        </w:rPr>
        <w:t>. According to the IUCN SSC MTSG assessment, fisheries bycatch was judged to be the most severe pressure across all marine turtle RMUs, showing relatively little sign of improvement since 2011</w:t>
      </w:r>
      <w:r w:rsidRPr="00C304D2">
        <w:rPr>
          <w:rFonts w:cs="Arial"/>
          <w:vertAlign w:val="superscript"/>
        </w:rPr>
        <w:t>47</w:t>
      </w:r>
      <w:r w:rsidRPr="00C304D2">
        <w:rPr>
          <w:rFonts w:cs="Arial"/>
        </w:rPr>
        <w:t>. Other continuing and emerging pressures facing marine turtles include coastal development, plastic pollution, climate change and direct take</w:t>
      </w:r>
      <w:r w:rsidRPr="00C304D2">
        <w:rPr>
          <w:rFonts w:cs="Arial"/>
          <w:vertAlign w:val="superscript"/>
        </w:rPr>
        <w:t>49</w:t>
      </w:r>
      <w:r w:rsidRPr="00C304D2">
        <w:rPr>
          <w:rFonts w:cs="Arial"/>
        </w:rPr>
        <w:t>.</w:t>
      </w:r>
    </w:p>
    <w:p w14:paraId="1D407186" w14:textId="77777777" w:rsidR="002D72AD" w:rsidRPr="00FC12FD" w:rsidRDefault="002D72AD" w:rsidP="002D72AD">
      <w:pPr>
        <w:spacing w:after="0" w:line="240" w:lineRule="auto"/>
        <w:rPr>
          <w:rFonts w:ascii="Roboto" w:hAnsi="Roboto"/>
        </w:rPr>
      </w:pPr>
      <w:r w:rsidRPr="00FC12FD">
        <w:rPr>
          <w:rFonts w:ascii="Roboto" w:hAnsi="Roboto"/>
        </w:rPr>
        <w:t xml:space="preserve"> </w:t>
      </w:r>
    </w:p>
    <w:p w14:paraId="4C4FD142" w14:textId="77777777" w:rsidR="002D72AD" w:rsidRPr="008F5A43" w:rsidRDefault="00C82977" w:rsidP="002D72AD">
      <w:pPr>
        <w:spacing w:after="0" w:line="240" w:lineRule="auto"/>
        <w:rPr>
          <w:rFonts w:ascii="Roboto" w:hAnsi="Roboto"/>
        </w:rPr>
      </w:pPr>
      <w:r>
        <w:rPr>
          <w:rFonts w:ascii="Roboto" w:hAnsi="Roboto"/>
          <w:noProof/>
        </w:rPr>
        <w:drawing>
          <wp:inline distT="0" distB="0" distL="0" distR="0" wp14:anchorId="782ABE93" wp14:editId="1ADE16E6">
            <wp:extent cx="5731510" cy="3989070"/>
            <wp:effectExtent l="0" t="0" r="2540" b="0"/>
            <wp:docPr id="1282673742" name="Picture 5" descr="A turtle swimming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673742" name="Picture 5" descr="A turtle swimming in the water&#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31510" cy="3989070"/>
                    </a:xfrm>
                    <a:prstGeom prst="rect">
                      <a:avLst/>
                    </a:prstGeom>
                  </pic:spPr>
                </pic:pic>
              </a:graphicData>
            </a:graphic>
          </wp:inline>
        </w:drawing>
      </w:r>
    </w:p>
    <w:p w14:paraId="2D1BB7EE" w14:textId="77777777" w:rsidR="002D72AD" w:rsidRPr="00C304D2" w:rsidRDefault="002D72AD" w:rsidP="00C304D2">
      <w:pPr>
        <w:spacing w:after="0" w:line="240" w:lineRule="auto"/>
        <w:jc w:val="both"/>
        <w:rPr>
          <w:rFonts w:cs="Arial"/>
          <w:sz w:val="20"/>
          <w:szCs w:val="20"/>
        </w:rPr>
      </w:pPr>
      <w:r w:rsidRPr="00C304D2">
        <w:rPr>
          <w:rFonts w:cs="Arial"/>
          <w:i/>
          <w:sz w:val="20"/>
          <w:szCs w:val="20"/>
        </w:rPr>
        <w:t>Photo caption</w:t>
      </w:r>
      <w:r w:rsidRPr="00C304D2">
        <w:rPr>
          <w:rFonts w:cs="Arial"/>
          <w:sz w:val="20"/>
          <w:szCs w:val="20"/>
        </w:rPr>
        <w:t>: At monitored nesting beaches, population abundance trends of Green Turtles (</w:t>
      </w:r>
      <w:r w:rsidRPr="00C304D2">
        <w:rPr>
          <w:rFonts w:cs="Arial"/>
          <w:i/>
          <w:sz w:val="20"/>
          <w:szCs w:val="20"/>
        </w:rPr>
        <w:t>Chelonia mydas</w:t>
      </w:r>
      <w:r w:rsidRPr="00C304D2">
        <w:rPr>
          <w:rFonts w:cs="Arial"/>
          <w:sz w:val="20"/>
          <w:szCs w:val="20"/>
        </w:rPr>
        <w:t>) are generally increasing or stable</w:t>
      </w:r>
      <w:r w:rsidRPr="00C304D2">
        <w:rPr>
          <w:rFonts w:cs="Arial"/>
          <w:sz w:val="20"/>
          <w:szCs w:val="20"/>
          <w:vertAlign w:val="superscript"/>
        </w:rPr>
        <w:t>48</w:t>
      </w:r>
      <w:r w:rsidRPr="00C304D2">
        <w:rPr>
          <w:rFonts w:cs="Arial"/>
          <w:sz w:val="20"/>
          <w:szCs w:val="20"/>
        </w:rPr>
        <w:t>, although dramatic declines have been reported at one of the world’s largest nesting colonies</w:t>
      </w:r>
      <w:r w:rsidRPr="00C304D2">
        <w:rPr>
          <w:rFonts w:cs="Arial"/>
          <w:sz w:val="20"/>
          <w:szCs w:val="20"/>
          <w:vertAlign w:val="superscript"/>
        </w:rPr>
        <w:t>50</w:t>
      </w:r>
      <w:r w:rsidRPr="00C304D2">
        <w:rPr>
          <w:rFonts w:cs="Arial"/>
          <w:sz w:val="20"/>
          <w:szCs w:val="20"/>
        </w:rPr>
        <w:t>. Action is still needed to address persistent threats facing this species such as bycatch, pollution and the loss of seagrass meadows which provide foraging habitat</w:t>
      </w:r>
      <w:r w:rsidRPr="00C304D2">
        <w:rPr>
          <w:rFonts w:cs="Arial"/>
          <w:sz w:val="20"/>
          <w:szCs w:val="20"/>
          <w:vertAlign w:val="superscript"/>
        </w:rPr>
        <w:t>49</w:t>
      </w:r>
      <w:r w:rsidRPr="00C304D2">
        <w:rPr>
          <w:rFonts w:cs="Arial"/>
          <w:sz w:val="20"/>
          <w:szCs w:val="20"/>
        </w:rPr>
        <w:t xml:space="preserve">. </w:t>
      </w:r>
      <w:r w:rsidRPr="00C304D2">
        <w:rPr>
          <w:rFonts w:cs="Arial"/>
          <w:i/>
          <w:sz w:val="20"/>
          <w:szCs w:val="20"/>
        </w:rPr>
        <w:t>Photo credit</w:t>
      </w:r>
      <w:r w:rsidRPr="00C304D2">
        <w:rPr>
          <w:rFonts w:cs="Arial"/>
          <w:sz w:val="20"/>
          <w:szCs w:val="20"/>
        </w:rPr>
        <w:t xml:space="preserve">: </w:t>
      </w:r>
      <w:hyperlink r:id="rId64" w:history="1">
        <w:r w:rsidRPr="00C304D2">
          <w:rPr>
            <w:rStyle w:val="Hyperlink"/>
            <w:rFonts w:cs="Arial"/>
            <w:sz w:val="20"/>
            <w:szCs w:val="20"/>
          </w:rPr>
          <w:t>Adobe Stock | #536146467</w:t>
        </w:r>
      </w:hyperlink>
      <w:r w:rsidRPr="00C304D2">
        <w:rPr>
          <w:rFonts w:cs="Arial"/>
          <w:sz w:val="20"/>
          <w:szCs w:val="20"/>
        </w:rPr>
        <w:t>.</w:t>
      </w:r>
    </w:p>
    <w:p w14:paraId="1B6BEEF8" w14:textId="77777777" w:rsidR="002D72AD" w:rsidRPr="007E2499" w:rsidRDefault="002D72AD" w:rsidP="002D72AD">
      <w:pPr>
        <w:spacing w:line="240" w:lineRule="auto"/>
        <w:rPr>
          <w:rFonts w:ascii="Roboto" w:hAnsi="Roboto"/>
          <w:color w:val="000000" w:themeColor="text1"/>
        </w:rPr>
      </w:pPr>
    </w:p>
    <w:p w14:paraId="16BB5AD7" w14:textId="77777777" w:rsidR="002D72AD" w:rsidRDefault="002D72AD" w:rsidP="002D72AD">
      <w:pPr>
        <w:spacing w:line="240" w:lineRule="auto"/>
        <w:rPr>
          <w:rFonts w:ascii="Roboto" w:hAnsi="Roboto"/>
          <w:i/>
        </w:rPr>
      </w:pPr>
    </w:p>
    <w:p w14:paraId="2C98AD2B" w14:textId="77777777" w:rsidR="002D72AD" w:rsidRPr="00D56645" w:rsidRDefault="002D72AD" w:rsidP="002D72AD">
      <w:pPr>
        <w:spacing w:line="240" w:lineRule="auto"/>
        <w:rPr>
          <w:rFonts w:ascii="Roboto" w:hAnsi="Roboto"/>
        </w:rPr>
      </w:pPr>
      <w:r w:rsidRPr="00D56645">
        <w:rPr>
          <w:rFonts w:ascii="Roboto" w:hAnsi="Roboto"/>
          <w:b/>
          <w:sz w:val="24"/>
          <w:szCs w:val="24"/>
        </w:rPr>
        <w:br w:type="page"/>
      </w:r>
    </w:p>
    <w:p w14:paraId="783813E6" w14:textId="77777777" w:rsidR="002D72AD" w:rsidRPr="00C304D2" w:rsidRDefault="002D72AD" w:rsidP="00C304D2">
      <w:pPr>
        <w:pStyle w:val="Heading1"/>
        <w:numPr>
          <w:ilvl w:val="0"/>
          <w:numId w:val="41"/>
        </w:numPr>
        <w:spacing w:before="0" w:line="240" w:lineRule="auto"/>
        <w:ind w:left="357" w:hanging="357"/>
        <w:jc w:val="both"/>
        <w:rPr>
          <w:rFonts w:ascii="Arial" w:hAnsi="Arial" w:cs="Arial"/>
          <w:b/>
          <w:color w:val="auto"/>
          <w:sz w:val="22"/>
          <w:szCs w:val="22"/>
        </w:rPr>
      </w:pPr>
      <w:bookmarkStart w:id="4" w:name="_Toc210914222"/>
      <w:bookmarkStart w:id="5" w:name="_Hlk206419374"/>
      <w:r w:rsidRPr="00C304D2">
        <w:rPr>
          <w:rFonts w:ascii="Arial" w:hAnsi="Arial" w:cs="Arial"/>
          <w:b/>
          <w:color w:val="auto"/>
          <w:sz w:val="22"/>
          <w:szCs w:val="22"/>
        </w:rPr>
        <w:lastRenderedPageBreak/>
        <w:t>Progress identifying and protecting important habitats for CMS-listed species</w:t>
      </w:r>
      <w:bookmarkEnd w:id="4"/>
    </w:p>
    <w:p w14:paraId="4BC3ED60" w14:textId="77777777" w:rsidR="00C304D2" w:rsidRPr="00C304D2" w:rsidRDefault="00C304D2" w:rsidP="00C304D2">
      <w:pPr>
        <w:spacing w:after="0" w:line="240" w:lineRule="auto"/>
        <w:jc w:val="both"/>
      </w:pPr>
    </w:p>
    <w:bookmarkEnd w:id="5"/>
    <w:p w14:paraId="1A60511F" w14:textId="77777777" w:rsidR="002D72AD" w:rsidRPr="00C304D2" w:rsidRDefault="002D72AD" w:rsidP="00C304D2">
      <w:pPr>
        <w:spacing w:after="0" w:line="240" w:lineRule="auto"/>
        <w:jc w:val="both"/>
        <w:rPr>
          <w:rFonts w:cs="Arial"/>
        </w:rPr>
      </w:pPr>
      <w:r w:rsidRPr="00C304D2">
        <w:rPr>
          <w:rFonts w:cs="Arial"/>
        </w:rPr>
        <w:t xml:space="preserve">Many migratory species rely on a network of areas and discrete sites that provide vitally important breeding, non-breeding, feeding or stopover habitat. This section provides a summary of recent progress in identifying and protecting critical sites for CMS-listed species globally, building on an analysis conducted for the first </w:t>
      </w:r>
      <w:hyperlink r:id="rId65" w:history="1">
        <w:r w:rsidRPr="00C304D2">
          <w:rPr>
            <w:rStyle w:val="Hyperlink"/>
            <w:rFonts w:cs="Arial"/>
            <w:i/>
          </w:rPr>
          <w:t>State of the World’s Migratory Species</w:t>
        </w:r>
      </w:hyperlink>
      <w:r w:rsidRPr="00C304D2">
        <w:rPr>
          <w:rFonts w:cs="Arial"/>
        </w:rPr>
        <w:t xml:space="preserve">. Action to identify and protect important habitats for CMS-listed species is not just a vital component of the </w:t>
      </w:r>
      <w:hyperlink r:id="rId66" w:history="1">
        <w:r w:rsidRPr="00C304D2">
          <w:rPr>
            <w:rStyle w:val="Hyperlink"/>
            <w:rFonts w:cs="Arial"/>
          </w:rPr>
          <w:t>Samarkand Strategic Plan for Migratory Species 2024-2032</w:t>
        </w:r>
      </w:hyperlink>
      <w:r w:rsidRPr="00C304D2">
        <w:rPr>
          <w:rFonts w:cs="Arial"/>
        </w:rPr>
        <w:t xml:space="preserve">, but will also contribute significantly to efforts to maintain and enhance ecological connectivity globally. Tackling the loss, degradation and fragmentation of important habitats for migratory species is also crucial for achieving multiple targets included in the Kunming-Montreal Global Biodiversity Framework. </w:t>
      </w:r>
    </w:p>
    <w:p w14:paraId="7C14E1C2" w14:textId="77777777" w:rsidR="002D72AD" w:rsidRPr="00C304D2" w:rsidRDefault="002D72AD" w:rsidP="00C304D2">
      <w:pPr>
        <w:spacing w:after="0" w:line="240" w:lineRule="auto"/>
        <w:jc w:val="both"/>
        <w:rPr>
          <w:rFonts w:cs="Arial"/>
          <w:b/>
        </w:rPr>
      </w:pPr>
    </w:p>
    <w:p w14:paraId="4825C4F7" w14:textId="77777777" w:rsidR="002D72AD" w:rsidRPr="00C304D2" w:rsidRDefault="002D72AD" w:rsidP="00C304D2">
      <w:pPr>
        <w:spacing w:after="0" w:line="240" w:lineRule="auto"/>
        <w:jc w:val="both"/>
        <w:rPr>
          <w:rFonts w:cs="Arial"/>
          <w:b/>
        </w:rPr>
      </w:pPr>
      <w:r w:rsidRPr="00C304D2">
        <w:rPr>
          <w:rFonts w:cs="Arial"/>
          <w:b/>
        </w:rPr>
        <w:t>Identifying important habitats</w:t>
      </w:r>
    </w:p>
    <w:p w14:paraId="74B1934C" w14:textId="77777777" w:rsidR="00C304D2" w:rsidRPr="00C304D2" w:rsidRDefault="00C304D2" w:rsidP="00C304D2">
      <w:pPr>
        <w:spacing w:after="0" w:line="240" w:lineRule="auto"/>
        <w:jc w:val="both"/>
        <w:rPr>
          <w:rFonts w:cs="Arial"/>
          <w:b/>
        </w:rPr>
      </w:pPr>
    </w:p>
    <w:p w14:paraId="6C020A60" w14:textId="77777777" w:rsidR="002D72AD" w:rsidRDefault="002D72AD" w:rsidP="00C304D2">
      <w:pPr>
        <w:spacing w:after="0" w:line="240" w:lineRule="auto"/>
        <w:jc w:val="both"/>
        <w:rPr>
          <w:rFonts w:cs="Arial"/>
        </w:rPr>
      </w:pPr>
      <w:r w:rsidRPr="00C304D2">
        <w:rPr>
          <w:rFonts w:cs="Arial"/>
        </w:rPr>
        <w:t>Multiple approaches have been developed to identify important areas for biodiversity globally</w:t>
      </w:r>
      <w:r w:rsidRPr="00C304D2">
        <w:rPr>
          <w:rFonts w:cs="Arial"/>
          <w:vertAlign w:val="superscript"/>
        </w:rPr>
        <w:t>1</w:t>
      </w:r>
      <w:r w:rsidRPr="00C304D2">
        <w:rPr>
          <w:rFonts w:cs="Arial"/>
        </w:rPr>
        <w:t>. These include Key Biodiversity Areas (KBAs), developed as an umbrella approach for identifying important sites for all taxonomic groups, ecosystems, ecological integrity, biological processes and irreplaceability</w:t>
      </w:r>
      <w:r w:rsidRPr="00C304D2">
        <w:rPr>
          <w:rFonts w:cs="Arial"/>
          <w:vertAlign w:val="superscript"/>
        </w:rPr>
        <w:t>2</w:t>
      </w:r>
      <w:r w:rsidRPr="00C304D2">
        <w:rPr>
          <w:rFonts w:cs="Arial"/>
        </w:rPr>
        <w:t>. KBAs are identified at the national level using a set of quantitative criteria</w:t>
      </w:r>
      <w:r w:rsidRPr="00C304D2">
        <w:rPr>
          <w:rFonts w:cs="Arial"/>
          <w:vertAlign w:val="superscript"/>
        </w:rPr>
        <w:t>2</w:t>
      </w:r>
      <w:r w:rsidRPr="00C304D2">
        <w:rPr>
          <w:rFonts w:cs="Arial"/>
        </w:rPr>
        <w:t xml:space="preserve">. For example, sites can be identified as KBAs if they support a significant proportion of the worldwide population of a globally threatened species, or if they hold significant demographic aggregations of a species during one or more key stages of its life cycle, among other criteria. </w:t>
      </w:r>
    </w:p>
    <w:p w14:paraId="73CDAC00" w14:textId="77777777" w:rsidR="00C304D2" w:rsidRPr="00C304D2" w:rsidRDefault="00C304D2" w:rsidP="00C304D2">
      <w:pPr>
        <w:spacing w:after="0" w:line="240" w:lineRule="auto"/>
        <w:jc w:val="both"/>
        <w:rPr>
          <w:rFonts w:cs="Arial"/>
        </w:rPr>
      </w:pPr>
    </w:p>
    <w:p w14:paraId="2554EC21" w14:textId="77777777" w:rsidR="002D72AD" w:rsidRDefault="002D72AD" w:rsidP="00C304D2">
      <w:pPr>
        <w:spacing w:after="0" w:line="240" w:lineRule="auto"/>
        <w:jc w:val="both"/>
        <w:rPr>
          <w:rFonts w:cs="Arial"/>
        </w:rPr>
      </w:pPr>
      <w:r w:rsidRPr="00C304D2">
        <w:rPr>
          <w:rFonts w:cs="Arial"/>
        </w:rPr>
        <w:t>In addition to KBAs, other taxon-specific initiatives with a global scope</w:t>
      </w:r>
      <w:r w:rsidRPr="00C304D2">
        <w:rPr>
          <w:rStyle w:val="FootnoteReference"/>
          <w:rFonts w:cs="Arial"/>
        </w:rPr>
        <w:footnoteReference w:id="11"/>
      </w:r>
      <w:r w:rsidRPr="00C304D2">
        <w:rPr>
          <w:rFonts w:cs="Arial"/>
        </w:rPr>
        <w:t xml:space="preserve">, such as </w:t>
      </w:r>
      <w:hyperlink r:id="rId67" w:history="1">
        <w:r w:rsidRPr="00C304D2">
          <w:rPr>
            <w:rStyle w:val="Hyperlink"/>
            <w:rFonts w:cs="Arial"/>
          </w:rPr>
          <w:t>Important Marine Mammal Areas</w:t>
        </w:r>
      </w:hyperlink>
      <w:r w:rsidRPr="00C304D2">
        <w:rPr>
          <w:rFonts w:cs="Arial"/>
        </w:rPr>
        <w:t xml:space="preserve"> (IMMAs), </w:t>
      </w:r>
      <w:hyperlink r:id="rId68" w:history="1">
        <w:r w:rsidRPr="00C304D2">
          <w:rPr>
            <w:rStyle w:val="Hyperlink"/>
            <w:rFonts w:cs="Arial"/>
          </w:rPr>
          <w:t>Important Shark and Ray Areas</w:t>
        </w:r>
      </w:hyperlink>
      <w:r w:rsidRPr="00C304D2">
        <w:rPr>
          <w:rFonts w:cs="Arial"/>
        </w:rPr>
        <w:t xml:space="preserve"> (ISRAs) and </w:t>
      </w:r>
      <w:hyperlink r:id="rId69" w:history="1">
        <w:r w:rsidRPr="00C304D2">
          <w:rPr>
            <w:rStyle w:val="Hyperlink"/>
            <w:rFonts w:cs="Arial"/>
          </w:rPr>
          <w:t>Important Marine Turtle Areas</w:t>
        </w:r>
      </w:hyperlink>
      <w:r w:rsidRPr="00C304D2">
        <w:rPr>
          <w:rFonts w:cs="Arial"/>
        </w:rPr>
        <w:t xml:space="preserve"> (IMTAs), are also particularly relevant to CMS (see </w:t>
      </w:r>
      <w:r w:rsidRPr="00C304D2">
        <w:rPr>
          <w:rFonts w:cs="Arial"/>
          <w:b/>
        </w:rPr>
        <w:t>Box 1</w:t>
      </w:r>
      <w:r w:rsidRPr="00C304D2">
        <w:rPr>
          <w:rFonts w:cs="Arial"/>
        </w:rPr>
        <w:t>). There are differences between the approaches used to identify important locations under these frameworks</w:t>
      </w:r>
      <w:r w:rsidRPr="00C304D2">
        <w:rPr>
          <w:rFonts w:cs="Arial"/>
          <w:vertAlign w:val="superscript"/>
        </w:rPr>
        <w:t>2-3</w:t>
      </w:r>
      <w:r w:rsidRPr="00C304D2">
        <w:rPr>
          <w:rFonts w:cs="Arial"/>
        </w:rPr>
        <w:t>, including differences in scale. While KBAs are defined as sites that are actually or potentially manageable as a unit</w:t>
      </w:r>
      <w:r w:rsidRPr="00C304D2">
        <w:rPr>
          <w:rFonts w:cs="Arial"/>
          <w:vertAlign w:val="superscript"/>
        </w:rPr>
        <w:t>1</w:t>
      </w:r>
      <w:r w:rsidRPr="00C304D2">
        <w:rPr>
          <w:rFonts w:cs="Arial"/>
        </w:rPr>
        <w:t>, IMMAs and ISRAs may include larger areas, such as coastal or trans-oceanic migratory corridors</w:t>
      </w:r>
      <w:r w:rsidRPr="00C304D2">
        <w:rPr>
          <w:rFonts w:cs="Arial"/>
          <w:vertAlign w:val="superscript"/>
        </w:rPr>
        <w:t>3</w:t>
      </w:r>
      <w:r w:rsidRPr="00C304D2">
        <w:rPr>
          <w:rFonts w:cs="Arial"/>
        </w:rPr>
        <w:t>. IMMAs, ISRAs and IMTAs initiatives also use globally standardized criteria to identify discrete portions of habitat that have the potential to be managed for conservation</w:t>
      </w:r>
      <w:r w:rsidRPr="00C304D2">
        <w:rPr>
          <w:rFonts w:cs="Arial"/>
          <w:vertAlign w:val="superscript"/>
        </w:rPr>
        <w:t>4-6</w:t>
      </w:r>
      <w:r w:rsidRPr="00C304D2">
        <w:rPr>
          <w:rFonts w:cs="Arial"/>
        </w:rPr>
        <w:t>.</w:t>
      </w:r>
    </w:p>
    <w:p w14:paraId="71E46FA3" w14:textId="77777777" w:rsidR="00C304D2" w:rsidRPr="00C304D2" w:rsidRDefault="00C304D2" w:rsidP="00C304D2">
      <w:pPr>
        <w:spacing w:after="0" w:line="240" w:lineRule="auto"/>
        <w:jc w:val="both"/>
        <w:rPr>
          <w:rFonts w:cs="Arial"/>
        </w:rPr>
      </w:pPr>
    </w:p>
    <w:p w14:paraId="45F36D27" w14:textId="77777777" w:rsidR="002D72AD" w:rsidRDefault="002D72AD" w:rsidP="00C304D2">
      <w:pPr>
        <w:spacing w:after="0" w:line="240" w:lineRule="auto"/>
        <w:jc w:val="both"/>
        <w:rPr>
          <w:rFonts w:cs="Arial"/>
        </w:rPr>
      </w:pPr>
      <w:r w:rsidRPr="00C304D2">
        <w:rPr>
          <w:rFonts w:cs="Arial"/>
        </w:rPr>
        <w:t>Many important habitats for CMS-listed species have been identified and recognized as KBAs, IMMAs and/or ISRAs, but considerable geographic and taxonomic gaps still remain (</w:t>
      </w:r>
      <w:r w:rsidRPr="00C304D2">
        <w:rPr>
          <w:rFonts w:cs="Arial"/>
          <w:b/>
        </w:rPr>
        <w:t>Figure 3.1</w:t>
      </w:r>
      <w:r w:rsidRPr="00C304D2">
        <w:rPr>
          <w:rFonts w:cs="Arial"/>
        </w:rPr>
        <w:t xml:space="preserve">). Of the 1,200 CMS-listed species, 782 (63%) have had at least one important site recognized through one or more of these initiatives at the time of writing (September 2025). Of the 16,589 KBAs that have been recognized globally to date, 9,372 have been identified as being important for 718 (60%) of the 1,200 CMS-listed species. This means that the site supports population sizes of one or more CMS-listed species that exceed the thresholds for at least one KBA criterion. </w:t>
      </w:r>
    </w:p>
    <w:p w14:paraId="6762CF83" w14:textId="77777777" w:rsidR="00C304D2" w:rsidRPr="00C304D2" w:rsidRDefault="00C304D2" w:rsidP="00C304D2">
      <w:pPr>
        <w:spacing w:after="0" w:line="240" w:lineRule="auto"/>
        <w:jc w:val="both"/>
        <w:rPr>
          <w:rFonts w:cs="Arial"/>
        </w:rPr>
      </w:pPr>
    </w:p>
    <w:p w14:paraId="26AF4FBB" w14:textId="77777777" w:rsidR="002D72AD" w:rsidRPr="00C304D2" w:rsidRDefault="002D72AD" w:rsidP="00C304D2">
      <w:pPr>
        <w:spacing w:after="0" w:line="240" w:lineRule="auto"/>
        <w:jc w:val="both"/>
        <w:rPr>
          <w:rFonts w:cs="Arial"/>
        </w:rPr>
      </w:pPr>
      <w:r w:rsidRPr="00C304D2">
        <w:rPr>
          <w:rFonts w:cs="Arial"/>
        </w:rPr>
        <w:t>KBAs or IMMAs have also been identified for 57 (86%) of the 66 CMS-listed aquatic mammals (</w:t>
      </w:r>
      <w:r w:rsidRPr="00C304D2">
        <w:rPr>
          <w:rFonts w:cs="Arial"/>
          <w:b/>
        </w:rPr>
        <w:t>Figure 3.1</w:t>
      </w:r>
      <w:r w:rsidRPr="00C304D2">
        <w:rPr>
          <w:rFonts w:cs="Arial"/>
        </w:rPr>
        <w:t>). Similarly, KBAs or ISRAs have been delineated for 48 (76%) of the 63 CMS-listed fish (</w:t>
      </w:r>
      <w:r w:rsidRPr="00C304D2">
        <w:rPr>
          <w:rFonts w:cs="Arial"/>
          <w:b/>
        </w:rPr>
        <w:t>Figure 3.1</w:t>
      </w:r>
      <w:r w:rsidRPr="00C304D2">
        <w:rPr>
          <w:rFonts w:cs="Arial"/>
        </w:rPr>
        <w:t>), including 39 (98%) of the 40 CMS-listed sharks</w:t>
      </w:r>
      <w:r w:rsidRPr="00C304D2">
        <w:rPr>
          <w:rFonts w:cs="Arial"/>
          <w:vertAlign w:val="superscript"/>
        </w:rPr>
        <w:t>7</w:t>
      </w:r>
      <w:r w:rsidRPr="00C304D2">
        <w:rPr>
          <w:rFonts w:cs="Arial"/>
        </w:rPr>
        <w:t>. These figures reflect the considerable progress made identifying IMMAs and ISRAs by the IUCN Marine Mammal Protected Area Task Force and the IUCN SSC Shark Specialist Group in recent years (</w:t>
      </w:r>
      <w:r w:rsidRPr="00C304D2">
        <w:rPr>
          <w:rFonts w:cs="Arial"/>
          <w:b/>
        </w:rPr>
        <w:t>Box 1</w:t>
      </w:r>
      <w:r w:rsidRPr="00C304D2">
        <w:rPr>
          <w:rFonts w:cs="Arial"/>
        </w:rPr>
        <w:t>).</w:t>
      </w:r>
    </w:p>
    <w:p w14:paraId="2E927541" w14:textId="77777777" w:rsidR="002D72AD" w:rsidRPr="00C304D2" w:rsidRDefault="00C82977" w:rsidP="00C304D2">
      <w:pPr>
        <w:spacing w:after="0" w:line="240" w:lineRule="auto"/>
        <w:jc w:val="both"/>
        <w:rPr>
          <w:rFonts w:cs="Arial"/>
        </w:rPr>
      </w:pPr>
      <w:r w:rsidRPr="00C304D2">
        <w:rPr>
          <w:rFonts w:cs="Arial"/>
          <w:noProof/>
        </w:rPr>
        <w:lastRenderedPageBreak/>
        <w:drawing>
          <wp:inline distT="0" distB="0" distL="0" distR="0" wp14:anchorId="55213505" wp14:editId="75FBD4E2">
            <wp:extent cx="3303904" cy="3028950"/>
            <wp:effectExtent l="0" t="0" r="0" b="0"/>
            <wp:docPr id="1440377716" name="Picture 1" descr="A pie chart with different colored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377716" name="Picture 1" descr="A pie chart with different colored circles&#10;&#10;Description automatically generated"/>
                    <pic:cNvPicPr/>
                  </pic:nvPicPr>
                  <pic:blipFill rotWithShape="1">
                    <a:blip r:embed="rId70" cstate="print">
                      <a:extLst>
                        <a:ext uri="{28A0092B-C50C-407E-A947-70E740481C1C}">
                          <a14:useLocalDpi xmlns:a14="http://schemas.microsoft.com/office/drawing/2010/main" val="0"/>
                        </a:ext>
                      </a:extLst>
                    </a:blip>
                    <a:srcRect l="8204" t="12752" b="10736"/>
                    <a:stretch/>
                  </pic:blipFill>
                  <pic:spPr bwMode="auto">
                    <a:xfrm>
                      <a:off x="0" y="0"/>
                      <a:ext cx="3304377" cy="3029384"/>
                    </a:xfrm>
                    <a:prstGeom prst="rect">
                      <a:avLst/>
                    </a:prstGeom>
                    <a:ln>
                      <a:noFill/>
                    </a:ln>
                    <a:extLst>
                      <a:ext uri="{53640926-AAD7-44D8-BBD7-CCE9431645EC}">
                        <a14:shadowObscured xmlns:a14="http://schemas.microsoft.com/office/drawing/2010/main"/>
                      </a:ext>
                    </a:extLst>
                  </pic:spPr>
                </pic:pic>
              </a:graphicData>
            </a:graphic>
          </wp:inline>
        </w:drawing>
      </w:r>
    </w:p>
    <w:p w14:paraId="43A8FA8E" w14:textId="77777777" w:rsidR="002D72AD" w:rsidRPr="0033230B" w:rsidRDefault="002D72AD" w:rsidP="00035BDC">
      <w:pPr>
        <w:spacing w:after="120" w:line="240" w:lineRule="auto"/>
        <w:jc w:val="both"/>
        <w:rPr>
          <w:rFonts w:cs="Arial"/>
          <w:sz w:val="20"/>
          <w:szCs w:val="20"/>
        </w:rPr>
      </w:pPr>
      <w:r w:rsidRPr="0033230B">
        <w:rPr>
          <w:rFonts w:cs="Arial"/>
          <w:b/>
          <w:sz w:val="20"/>
          <w:szCs w:val="20"/>
        </w:rPr>
        <w:t>Figure 3.1:</w:t>
      </w:r>
      <w:r w:rsidRPr="0033230B">
        <w:rPr>
          <w:rFonts w:cs="Arial"/>
          <w:sz w:val="20"/>
          <w:szCs w:val="20"/>
        </w:rPr>
        <w:t xml:space="preserve"> Proportion of CMS-listed species (n=1,200) for which at least one Key Biodiversity Area (KBA), Important Marine Mammal Area (IMMA) or Important Shark and Ray Area (ISRA) has been identified (n=782), by taxonomic group, as shown by the shaded areas within each segment shown in the chart. The width of the segments is proportional to the number of CMS-listed species that fall within each taxonomic group (i.e. the segment for landbirds is the widest because 49% CMS-listed species are landbirds). Data sources: World Database of Key Biodiversity Areas (2025); searchable </w:t>
      </w:r>
      <w:hyperlink r:id="rId71" w:history="1">
        <w:r w:rsidRPr="0033230B">
          <w:rPr>
            <w:rStyle w:val="Hyperlink"/>
            <w:rFonts w:cs="Arial"/>
            <w:sz w:val="20"/>
            <w:szCs w:val="20"/>
          </w:rPr>
          <w:t>database</w:t>
        </w:r>
      </w:hyperlink>
      <w:r w:rsidRPr="0033230B">
        <w:rPr>
          <w:rFonts w:cs="Arial"/>
          <w:sz w:val="20"/>
          <w:szCs w:val="20"/>
        </w:rPr>
        <w:t xml:space="preserve"> of Important Marine Mammal Areas (2025); IUCN SSC Shark Specialist Group (2025)</w:t>
      </w:r>
      <w:r w:rsidRPr="0033230B">
        <w:rPr>
          <w:rFonts w:cs="Arial"/>
          <w:sz w:val="20"/>
          <w:szCs w:val="20"/>
          <w:vertAlign w:val="superscript"/>
        </w:rPr>
        <w:t>7</w:t>
      </w:r>
      <w:r w:rsidRPr="0033230B">
        <w:rPr>
          <w:rFonts w:cs="Arial"/>
          <w:sz w:val="20"/>
          <w:szCs w:val="20"/>
        </w:rPr>
        <w:t>.</w:t>
      </w:r>
    </w:p>
    <w:p w14:paraId="422FB36A" w14:textId="77777777" w:rsidR="002D72AD" w:rsidRPr="001F2968" w:rsidRDefault="002D72AD" w:rsidP="0033230B">
      <w:pPr>
        <w:pBdr>
          <w:top w:val="single" w:sz="4" w:space="1" w:color="auto"/>
          <w:left w:val="single" w:sz="4" w:space="4" w:color="auto"/>
          <w:bottom w:val="single" w:sz="4" w:space="1" w:color="auto"/>
          <w:right w:val="single" w:sz="4" w:space="4" w:color="auto"/>
        </w:pBdr>
        <w:spacing w:before="40" w:after="0" w:line="240" w:lineRule="auto"/>
        <w:jc w:val="both"/>
        <w:rPr>
          <w:rFonts w:cs="Arial"/>
          <w:b/>
        </w:rPr>
      </w:pPr>
      <w:r w:rsidRPr="001F2968">
        <w:rPr>
          <w:rFonts w:cs="Arial"/>
          <w:b/>
        </w:rPr>
        <w:t>Box 1: Identifying IMMAs, ISRAs and IMTAs for CMS-listed marine migratory species</w:t>
      </w:r>
    </w:p>
    <w:p w14:paraId="2F62F059" w14:textId="77777777" w:rsidR="001F2968" w:rsidRPr="001F2968" w:rsidRDefault="001F2968" w:rsidP="002C344B">
      <w:pPr>
        <w:pBdr>
          <w:top w:val="single" w:sz="4" w:space="1" w:color="auto"/>
          <w:left w:val="single" w:sz="4" w:space="4" w:color="auto"/>
          <w:bottom w:val="single" w:sz="4" w:space="1" w:color="auto"/>
          <w:right w:val="single" w:sz="4" w:space="4" w:color="auto"/>
        </w:pBdr>
        <w:spacing w:after="0" w:line="240" w:lineRule="auto"/>
        <w:jc w:val="both"/>
        <w:rPr>
          <w:rFonts w:cs="Arial"/>
          <w:b/>
          <w:color w:val="003870"/>
        </w:rPr>
      </w:pPr>
    </w:p>
    <w:p w14:paraId="3B02B689" w14:textId="77777777" w:rsidR="002D72AD" w:rsidRDefault="002D72AD" w:rsidP="002C344B">
      <w:pPr>
        <w:pBdr>
          <w:top w:val="single" w:sz="4" w:space="1" w:color="auto"/>
          <w:left w:val="single" w:sz="4" w:space="4" w:color="auto"/>
          <w:bottom w:val="single" w:sz="4" w:space="1" w:color="auto"/>
          <w:right w:val="single" w:sz="4" w:space="4" w:color="auto"/>
        </w:pBdr>
        <w:spacing w:after="0" w:line="240" w:lineRule="auto"/>
        <w:jc w:val="both"/>
        <w:rPr>
          <w:rFonts w:cs="Arial"/>
        </w:rPr>
      </w:pPr>
      <w:r w:rsidRPr="001F2968">
        <w:rPr>
          <w:rFonts w:cs="Arial"/>
        </w:rPr>
        <w:t xml:space="preserve">As of July 2025, 323 </w:t>
      </w:r>
      <w:r w:rsidRPr="001F2968">
        <w:rPr>
          <w:rFonts w:cs="Arial"/>
          <w:b/>
        </w:rPr>
        <w:t>Important Marine Mammal Areas (IMMAs)</w:t>
      </w:r>
      <w:r w:rsidRPr="001F2968">
        <w:rPr>
          <w:rFonts w:cs="Arial"/>
        </w:rPr>
        <w:t xml:space="preserve"> have been identified for 100 species of aquatic mammals, including 46 CMS-listed species, as part of a process involving regional identification workshops convened by the IUCN Marine Mammal Protected Area Task Force</w:t>
      </w:r>
      <w:r w:rsidRPr="001F2968">
        <w:rPr>
          <w:rFonts w:cs="Arial"/>
          <w:vertAlign w:val="superscript"/>
        </w:rPr>
        <w:t>8</w:t>
      </w:r>
      <w:r w:rsidRPr="001F2968">
        <w:rPr>
          <w:rFonts w:cs="Arial"/>
        </w:rPr>
        <w:t xml:space="preserve">. The combined surface area of these IMMAs – viewable online through the IMMA </w:t>
      </w:r>
      <w:hyperlink r:id="rId72" w:history="1">
        <w:r w:rsidRPr="001F2968">
          <w:rPr>
            <w:rStyle w:val="Hyperlink"/>
            <w:rFonts w:cs="Arial"/>
          </w:rPr>
          <w:t>e-Atlas</w:t>
        </w:r>
      </w:hyperlink>
      <w:r w:rsidRPr="001F2968">
        <w:rPr>
          <w:rFonts w:cs="Arial"/>
        </w:rPr>
        <w:t xml:space="preserve"> – is equivalent to 17.8% of the global ocean</w:t>
      </w:r>
      <w:r w:rsidRPr="001F2968">
        <w:rPr>
          <w:rFonts w:cs="Arial"/>
          <w:vertAlign w:val="superscript"/>
        </w:rPr>
        <w:t>8</w:t>
      </w:r>
      <w:r w:rsidRPr="001F2968">
        <w:rPr>
          <w:rFonts w:cs="Arial"/>
        </w:rPr>
        <w:t>. Since March 2023, regional IMMA workshops have been held in the North East Atlantic Ocean and the North West Atlantic Ocean and Wider Caribbean regions with the aim of identifying further sites</w:t>
      </w:r>
      <w:r w:rsidRPr="001F2968">
        <w:rPr>
          <w:rFonts w:cs="Arial"/>
          <w:vertAlign w:val="superscript"/>
        </w:rPr>
        <w:t>8</w:t>
      </w:r>
      <w:r w:rsidRPr="001F2968">
        <w:rPr>
          <w:rFonts w:cs="Arial"/>
        </w:rPr>
        <w:t>. A study was also conducted to explore ways to monitor and assess the status of IMMAs, focussing on pilot sites across six different countries</w:t>
      </w:r>
      <w:r w:rsidRPr="001F2968">
        <w:rPr>
          <w:rFonts w:cs="Arial"/>
          <w:vertAlign w:val="superscript"/>
        </w:rPr>
        <w:t>9</w:t>
      </w:r>
      <w:r w:rsidRPr="001F2968">
        <w:rPr>
          <w:rFonts w:cs="Arial"/>
        </w:rPr>
        <w:t xml:space="preserve">. </w:t>
      </w:r>
    </w:p>
    <w:p w14:paraId="22A736EC" w14:textId="77777777" w:rsidR="001F2968" w:rsidRPr="001F2968" w:rsidRDefault="001F2968" w:rsidP="002C344B">
      <w:pPr>
        <w:pBdr>
          <w:top w:val="single" w:sz="4" w:space="1" w:color="auto"/>
          <w:left w:val="single" w:sz="4" w:space="4" w:color="auto"/>
          <w:bottom w:val="single" w:sz="4" w:space="1" w:color="auto"/>
          <w:right w:val="single" w:sz="4" w:space="4" w:color="auto"/>
        </w:pBdr>
        <w:spacing w:after="0" w:line="240" w:lineRule="auto"/>
        <w:jc w:val="both"/>
        <w:rPr>
          <w:rFonts w:cs="Arial"/>
        </w:rPr>
      </w:pPr>
    </w:p>
    <w:p w14:paraId="7221751E" w14:textId="77777777" w:rsidR="002D72AD" w:rsidRDefault="002D72AD" w:rsidP="002C344B">
      <w:pPr>
        <w:pBdr>
          <w:top w:val="single" w:sz="4" w:space="1" w:color="auto"/>
          <w:left w:val="single" w:sz="4" w:space="4" w:color="auto"/>
          <w:bottom w:val="single" w:sz="4" w:space="1" w:color="auto"/>
          <w:right w:val="single" w:sz="4" w:space="4" w:color="auto"/>
        </w:pBdr>
        <w:spacing w:after="0" w:line="240" w:lineRule="auto"/>
        <w:jc w:val="both"/>
        <w:rPr>
          <w:rFonts w:cs="Arial"/>
        </w:rPr>
      </w:pPr>
      <w:r w:rsidRPr="001F2968">
        <w:rPr>
          <w:rFonts w:cs="Arial"/>
        </w:rPr>
        <w:t xml:space="preserve">The </w:t>
      </w:r>
      <w:r w:rsidRPr="001F2968">
        <w:rPr>
          <w:rFonts w:cs="Arial"/>
          <w:b/>
        </w:rPr>
        <w:t>Important Shark and Ray Area (ISRA)</w:t>
      </w:r>
      <w:r w:rsidRPr="001F2968">
        <w:rPr>
          <w:rFonts w:cs="Arial"/>
        </w:rPr>
        <w:t xml:space="preserve"> project was established by the IUCN SSC Shark Specialist Group in 2022. The global identification of ISRAs is undertaken regionally through an expert driven process, and as of January 2025, approximately two-thirds (63.8%) of global marine waters had been surveyed for ISRAs</w:t>
      </w:r>
      <w:r w:rsidRPr="001F2968">
        <w:rPr>
          <w:rFonts w:cs="Arial"/>
          <w:vertAlign w:val="superscript"/>
        </w:rPr>
        <w:t>10</w:t>
      </w:r>
      <w:r w:rsidRPr="001F2968">
        <w:rPr>
          <w:rFonts w:cs="Arial"/>
        </w:rPr>
        <w:t>. It is anticipated that assessments in the remaining five regions (European Atlantic, North America and Caribbean Atlantic, African Atlantic, Australia and Southeast Indian Ocean, and North American Pacific) will be completed by 2027</w:t>
      </w:r>
      <w:r w:rsidRPr="001F2968">
        <w:rPr>
          <w:rFonts w:cs="Arial"/>
          <w:vertAlign w:val="superscript"/>
        </w:rPr>
        <w:t>10</w:t>
      </w:r>
      <w:r w:rsidRPr="001F2968">
        <w:rPr>
          <w:rFonts w:cs="Arial"/>
        </w:rPr>
        <w:t xml:space="preserve">. </w:t>
      </w:r>
    </w:p>
    <w:p w14:paraId="1396EC7F" w14:textId="77777777" w:rsidR="001F2968" w:rsidRPr="001F2968" w:rsidRDefault="001F2968" w:rsidP="002C344B">
      <w:pPr>
        <w:pBdr>
          <w:top w:val="single" w:sz="4" w:space="1" w:color="auto"/>
          <w:left w:val="single" w:sz="4" w:space="4" w:color="auto"/>
          <w:bottom w:val="single" w:sz="4" w:space="1" w:color="auto"/>
          <w:right w:val="single" w:sz="4" w:space="4" w:color="auto"/>
        </w:pBdr>
        <w:spacing w:after="0" w:line="240" w:lineRule="auto"/>
        <w:jc w:val="both"/>
        <w:rPr>
          <w:rFonts w:cs="Arial"/>
        </w:rPr>
      </w:pPr>
    </w:p>
    <w:p w14:paraId="0896E774" w14:textId="77777777" w:rsidR="002D72AD" w:rsidRDefault="002D72AD" w:rsidP="0033230B">
      <w:pPr>
        <w:pBdr>
          <w:top w:val="single" w:sz="4" w:space="1" w:color="auto"/>
          <w:left w:val="single" w:sz="4" w:space="4" w:color="auto"/>
          <w:bottom w:val="single" w:sz="4" w:space="1" w:color="auto"/>
          <w:right w:val="single" w:sz="4" w:space="4" w:color="auto"/>
        </w:pBdr>
        <w:spacing w:after="40" w:line="240" w:lineRule="auto"/>
        <w:jc w:val="both"/>
        <w:rPr>
          <w:rFonts w:ascii="Roboto" w:hAnsi="Roboto"/>
        </w:rPr>
      </w:pPr>
      <w:r w:rsidRPr="001F2968">
        <w:rPr>
          <w:rFonts w:cs="Arial"/>
        </w:rPr>
        <w:t xml:space="preserve">Additionally, although the IUCN SSC Marine Turtle Specialist Group established </w:t>
      </w:r>
      <w:r w:rsidRPr="001F2968">
        <w:rPr>
          <w:rFonts w:cs="Arial"/>
          <w:b/>
        </w:rPr>
        <w:t>Important Marine Turtle Area (IMTA)</w:t>
      </w:r>
      <w:r w:rsidRPr="001F2968">
        <w:rPr>
          <w:rFonts w:cs="Arial"/>
        </w:rPr>
        <w:t xml:space="preserve"> criteria and guidelines in 2021, to date, no IMTAs have been formally identified. To address this gap, the </w:t>
      </w:r>
      <w:hyperlink r:id="rId73" w:history="1">
        <w:r w:rsidRPr="001F2968">
          <w:rPr>
            <w:rStyle w:val="Hyperlink"/>
            <w:rFonts w:cs="Arial"/>
          </w:rPr>
          <w:t>Blue Corridors for Turtles</w:t>
        </w:r>
      </w:hyperlink>
      <w:r w:rsidRPr="001F2968">
        <w:rPr>
          <w:rFonts w:cs="Arial"/>
        </w:rPr>
        <w:t xml:space="preserve"> partnership is seeking to synthesize and assess connectivity data at a global scale and support the identification of IMTAs through regional workshops (under the auspices of the MTSG). Blue Corridors for Turtles is a global partnership, with coordination from WWF and the CMS Secretariat, the</w:t>
      </w:r>
      <w:r w:rsidRPr="00A66CCE">
        <w:rPr>
          <w:rFonts w:ascii="Roboto" w:hAnsi="Roboto"/>
        </w:rPr>
        <w:t xml:space="preserve"> University of Queensland, </w:t>
      </w:r>
      <w:r>
        <w:rPr>
          <w:rFonts w:ascii="Roboto" w:hAnsi="Roboto"/>
        </w:rPr>
        <w:t>t</w:t>
      </w:r>
      <w:r w:rsidRPr="00A66CCE">
        <w:rPr>
          <w:rFonts w:ascii="Roboto" w:hAnsi="Roboto"/>
        </w:rPr>
        <w:t>he State of the World’s Sea Turtles (SWOT) program</w:t>
      </w:r>
      <w:r>
        <w:rPr>
          <w:rFonts w:ascii="Roboto" w:hAnsi="Roboto"/>
        </w:rPr>
        <w:t>me</w:t>
      </w:r>
      <w:r w:rsidRPr="00A66CCE">
        <w:rPr>
          <w:rFonts w:ascii="Roboto" w:hAnsi="Roboto"/>
        </w:rPr>
        <w:t xml:space="preserve"> and </w:t>
      </w:r>
      <w:proofErr w:type="spellStart"/>
      <w:r w:rsidRPr="00A66CCE">
        <w:rPr>
          <w:rFonts w:ascii="Roboto" w:hAnsi="Roboto"/>
        </w:rPr>
        <w:t>Collecte</w:t>
      </w:r>
      <w:proofErr w:type="spellEnd"/>
      <w:r w:rsidRPr="00A66CCE">
        <w:rPr>
          <w:rFonts w:ascii="Roboto" w:hAnsi="Roboto"/>
        </w:rPr>
        <w:t xml:space="preserve"> Localisation Satellites - Argos system (CLS-Argos)</w:t>
      </w:r>
      <w:r>
        <w:rPr>
          <w:rFonts w:ascii="Roboto" w:hAnsi="Roboto"/>
        </w:rPr>
        <w:t xml:space="preserve"> as partners</w:t>
      </w:r>
      <w:r w:rsidRPr="00A66CCE">
        <w:rPr>
          <w:rFonts w:ascii="Roboto" w:hAnsi="Roboto"/>
        </w:rPr>
        <w:t>.</w:t>
      </w:r>
    </w:p>
    <w:p w14:paraId="661C4D2D" w14:textId="77777777" w:rsidR="002D72AD" w:rsidRDefault="002D72AD" w:rsidP="001F2968">
      <w:pPr>
        <w:spacing w:after="0" w:line="240" w:lineRule="auto"/>
        <w:jc w:val="both"/>
        <w:rPr>
          <w:rFonts w:cs="Arial"/>
        </w:rPr>
      </w:pPr>
      <w:r w:rsidRPr="001F2968">
        <w:rPr>
          <w:rFonts w:cs="Arial"/>
        </w:rPr>
        <w:lastRenderedPageBreak/>
        <w:t xml:space="preserve">The basic summary statistics provided above (see </w:t>
      </w:r>
      <w:r w:rsidRPr="001F2968">
        <w:rPr>
          <w:rFonts w:cs="Arial"/>
          <w:b/>
        </w:rPr>
        <w:t>Figure 3.1</w:t>
      </w:r>
      <w:r w:rsidRPr="001F2968">
        <w:rPr>
          <w:rFonts w:cs="Arial"/>
        </w:rPr>
        <w:t xml:space="preserve">) represent just a </w:t>
      </w:r>
      <w:r w:rsidRPr="001F2968">
        <w:rPr>
          <w:rFonts w:cs="Arial"/>
          <w:b/>
        </w:rPr>
        <w:t>first step</w:t>
      </w:r>
      <w:r w:rsidRPr="001F2968">
        <w:rPr>
          <w:rFonts w:cs="Arial"/>
        </w:rPr>
        <w:t xml:space="preserve"> towards a more complete understanding of the progress made in identifying important areas for CMS-listed species. As migratory species under CMS are by definition found in several countries, and typically depend on multiple sites, used at different stages of their annual cycle and often scattered across multiple jurisdictions, more sophisticated analyses – taking connectivity between sites into account – will be needed to understand how serious existing knowledge gaps are. Some CMS-listed migratory species occur at low densities across large geographic areas</w:t>
      </w:r>
      <w:r w:rsidRPr="001F2968">
        <w:rPr>
          <w:rFonts w:cs="Arial"/>
          <w:vertAlign w:val="superscript"/>
        </w:rPr>
        <w:t>11-12</w:t>
      </w:r>
      <w:r w:rsidRPr="001F2968">
        <w:rPr>
          <w:rFonts w:cs="Arial"/>
        </w:rPr>
        <w:t xml:space="preserve">; approaches that focus only on identifying discrete sites are likely to be less relevant to these species. </w:t>
      </w:r>
    </w:p>
    <w:p w14:paraId="5B09649D" w14:textId="77777777" w:rsidR="001F2968" w:rsidRPr="001F2968" w:rsidRDefault="001F2968" w:rsidP="001F2968">
      <w:pPr>
        <w:spacing w:after="0" w:line="240" w:lineRule="auto"/>
        <w:jc w:val="both"/>
        <w:rPr>
          <w:rFonts w:cs="Arial"/>
        </w:rPr>
      </w:pPr>
    </w:p>
    <w:p w14:paraId="66C9B201" w14:textId="77777777" w:rsidR="002D72AD" w:rsidRDefault="002D72AD" w:rsidP="001F2968">
      <w:pPr>
        <w:spacing w:after="0" w:line="240" w:lineRule="auto"/>
        <w:jc w:val="both"/>
        <w:rPr>
          <w:rFonts w:cs="Arial"/>
        </w:rPr>
      </w:pPr>
      <w:r w:rsidRPr="001F2968">
        <w:rPr>
          <w:rFonts w:cs="Arial"/>
        </w:rPr>
        <w:t xml:space="preserve">Identifying globally important habitats for migratory species is also an </w:t>
      </w:r>
      <w:r w:rsidRPr="001F2968">
        <w:rPr>
          <w:rFonts w:cs="Arial"/>
          <w:b/>
        </w:rPr>
        <w:t>ongoing process</w:t>
      </w:r>
      <w:r w:rsidRPr="001F2968">
        <w:rPr>
          <w:rFonts w:cs="Arial"/>
        </w:rPr>
        <w:t>. For example, while KBAs have been identified in 99% of countries and territories, only a small minority have comprehensively identified sites using the new Global KBA standard</w:t>
      </w:r>
      <w:r w:rsidRPr="001F2968">
        <w:rPr>
          <w:rFonts w:cs="Arial"/>
          <w:vertAlign w:val="superscript"/>
        </w:rPr>
        <w:t>1</w:t>
      </w:r>
      <w:r w:rsidRPr="001F2968">
        <w:rPr>
          <w:rFonts w:cs="Arial"/>
        </w:rPr>
        <w:t xml:space="preserve">.  Substantial knowledge gaps continue to exist in relation to the sites used by many migratory species over the course of their life and annual cycles. </w:t>
      </w:r>
    </w:p>
    <w:p w14:paraId="6750D393" w14:textId="77777777" w:rsidR="001F2968" w:rsidRPr="001F2968" w:rsidRDefault="001F2968" w:rsidP="001F2968">
      <w:pPr>
        <w:spacing w:after="0" w:line="240" w:lineRule="auto"/>
        <w:jc w:val="both"/>
        <w:rPr>
          <w:rFonts w:cs="Arial"/>
        </w:rPr>
      </w:pPr>
    </w:p>
    <w:p w14:paraId="62BEB776" w14:textId="77777777" w:rsidR="002D72AD" w:rsidRDefault="002D72AD" w:rsidP="001F2968">
      <w:pPr>
        <w:spacing w:after="0" w:line="240" w:lineRule="auto"/>
        <w:jc w:val="both"/>
        <w:rPr>
          <w:rFonts w:cs="Arial"/>
        </w:rPr>
      </w:pPr>
      <w:r w:rsidRPr="001F2968">
        <w:rPr>
          <w:rFonts w:cs="Arial"/>
        </w:rPr>
        <w:t>One way to address gaps in site information is to utilize animal movement data. Recent syntheses of tracking data have facilitated the identification of important sites for highly mobile taxa that move vast distances across remote areas, such as seabirds and marine mammals</w:t>
      </w:r>
      <w:r w:rsidRPr="001F2968">
        <w:rPr>
          <w:rFonts w:cs="Arial"/>
          <w:vertAlign w:val="superscript"/>
        </w:rPr>
        <w:t>13</w:t>
      </w:r>
      <w:r w:rsidRPr="001F2968">
        <w:rPr>
          <w:rFonts w:cs="Arial"/>
        </w:rPr>
        <w:t>. Despite the technological improvements in tracking devices that have allowed growing volumes of movement data to be collected, detailed information on migratory movements are still lacking for many migratory species</w:t>
      </w:r>
      <w:r w:rsidRPr="001F2968">
        <w:rPr>
          <w:rFonts w:cs="Arial"/>
          <w:vertAlign w:val="superscript"/>
        </w:rPr>
        <w:t>14-16</w:t>
      </w:r>
      <w:r w:rsidRPr="001F2968">
        <w:rPr>
          <w:rFonts w:cs="Arial"/>
        </w:rPr>
        <w:t>. For example, avian tracking studies have been skewed towards larger-bodied species and particular geographic regions, potentially reflecting technological constraints as well as geographic disparities in funding available for research</w:t>
      </w:r>
      <w:r w:rsidRPr="001F2968">
        <w:rPr>
          <w:rFonts w:cs="Arial"/>
          <w:vertAlign w:val="superscript"/>
        </w:rPr>
        <w:t>14-16</w:t>
      </w:r>
      <w:r w:rsidRPr="001F2968">
        <w:rPr>
          <w:rFonts w:cs="Arial"/>
        </w:rPr>
        <w:t xml:space="preserve">. Initiatives designed to promote the mobilisation of animal movement data for global conservation goals, such as the recent proposal for an Animal Movement Biodiversity Observation Network (Move BON), anchored within the </w:t>
      </w:r>
      <w:hyperlink r:id="rId74" w:history="1">
        <w:r w:rsidRPr="001F2968">
          <w:rPr>
            <w:rStyle w:val="Hyperlink"/>
            <w:rFonts w:cs="Arial"/>
          </w:rPr>
          <w:t>GEO BON</w:t>
        </w:r>
      </w:hyperlink>
      <w:r w:rsidRPr="001F2968">
        <w:rPr>
          <w:rFonts w:cs="Arial"/>
        </w:rPr>
        <w:t xml:space="preserve"> framework, can potentially help to address these issues</w:t>
      </w:r>
      <w:r w:rsidRPr="001F2968">
        <w:rPr>
          <w:rFonts w:cs="Arial"/>
          <w:vertAlign w:val="superscript"/>
        </w:rPr>
        <w:t>17</w:t>
      </w:r>
      <w:r w:rsidRPr="001F2968">
        <w:rPr>
          <w:rFonts w:cs="Arial"/>
        </w:rPr>
        <w:t xml:space="preserve">. One of the main aims of Move BON is to improve the degree of coordination between existing tracking initiatives, in order to fill spatial and taxonomic gaps – and increase access to – movement data. </w:t>
      </w:r>
    </w:p>
    <w:p w14:paraId="5CBD74AD" w14:textId="77777777" w:rsidR="001F2968" w:rsidRPr="001F2968" w:rsidRDefault="001F2968" w:rsidP="001F2968">
      <w:pPr>
        <w:spacing w:after="0" w:line="240" w:lineRule="auto"/>
        <w:jc w:val="both"/>
        <w:rPr>
          <w:rFonts w:cs="Arial"/>
        </w:rPr>
      </w:pPr>
    </w:p>
    <w:p w14:paraId="499127AC" w14:textId="77777777" w:rsidR="002D72AD" w:rsidRPr="001F2968" w:rsidRDefault="002D72AD" w:rsidP="001F2968">
      <w:pPr>
        <w:spacing w:after="0" w:line="240" w:lineRule="auto"/>
        <w:jc w:val="both"/>
        <w:rPr>
          <w:rFonts w:cs="Arial"/>
        </w:rPr>
      </w:pPr>
      <w:r w:rsidRPr="001F2968">
        <w:rPr>
          <w:rFonts w:cs="Arial"/>
        </w:rPr>
        <w:t xml:space="preserve">Ultimately, although progress has been made since COP14, more survey, tracking and monitoring efforts are needed to identify comprehensive networks of sites for migratory species globally. </w:t>
      </w:r>
    </w:p>
    <w:p w14:paraId="60ABCA59" w14:textId="77777777" w:rsidR="002D72AD" w:rsidRPr="001F2968" w:rsidRDefault="002D72AD" w:rsidP="001F2968">
      <w:pPr>
        <w:spacing w:after="0" w:line="240" w:lineRule="auto"/>
        <w:jc w:val="both"/>
        <w:rPr>
          <w:rFonts w:cs="Arial"/>
        </w:rPr>
      </w:pPr>
    </w:p>
    <w:p w14:paraId="397EA282" w14:textId="77777777" w:rsidR="002D72AD" w:rsidRPr="001F2968" w:rsidRDefault="002D72AD" w:rsidP="001F2968">
      <w:pPr>
        <w:spacing w:after="0" w:line="240" w:lineRule="auto"/>
        <w:jc w:val="both"/>
        <w:rPr>
          <w:rFonts w:cs="Arial"/>
          <w:b/>
        </w:rPr>
      </w:pPr>
      <w:r w:rsidRPr="001F2968">
        <w:rPr>
          <w:rFonts w:cs="Arial"/>
          <w:b/>
        </w:rPr>
        <w:t>Coverage of KBAs by protected and conserved areas</w:t>
      </w:r>
    </w:p>
    <w:p w14:paraId="7594ED24" w14:textId="77777777" w:rsidR="001F2968" w:rsidRPr="001F2968" w:rsidRDefault="001F2968" w:rsidP="001F2968">
      <w:pPr>
        <w:spacing w:after="0" w:line="240" w:lineRule="auto"/>
        <w:jc w:val="both"/>
        <w:rPr>
          <w:rFonts w:cs="Arial"/>
        </w:rPr>
      </w:pPr>
    </w:p>
    <w:p w14:paraId="4A2D1776" w14:textId="77777777" w:rsidR="002D72AD" w:rsidRDefault="002D72AD" w:rsidP="001F2968">
      <w:pPr>
        <w:spacing w:after="0" w:line="240" w:lineRule="auto"/>
        <w:jc w:val="both"/>
        <w:rPr>
          <w:rFonts w:cs="Arial"/>
        </w:rPr>
      </w:pPr>
      <w:r w:rsidRPr="001F2968">
        <w:rPr>
          <w:rFonts w:cs="Arial"/>
        </w:rPr>
        <w:t>Site identification initiatives provide crucial information that can help to target area-based conservation efforts to the most important sites for the global persistence of biodiversity</w:t>
      </w:r>
      <w:r w:rsidRPr="001F2968">
        <w:rPr>
          <w:rFonts w:cs="Arial"/>
          <w:vertAlign w:val="superscript"/>
        </w:rPr>
        <w:t>1</w:t>
      </w:r>
      <w:r w:rsidRPr="001F2968">
        <w:rPr>
          <w:rFonts w:cs="Arial"/>
        </w:rPr>
        <w:t>. Globally, on average, just over half (52.6%) of the area of each KBA identified as being important for CMS-listed species was covered by protected and conserved areas in 2025 (</w:t>
      </w:r>
      <w:r w:rsidRPr="001F2968">
        <w:rPr>
          <w:rFonts w:cs="Arial"/>
          <w:b/>
        </w:rPr>
        <w:t>Figure 3.2</w:t>
      </w:r>
      <w:r w:rsidRPr="001F2968">
        <w:rPr>
          <w:rFonts w:cs="Arial"/>
        </w:rPr>
        <w:t>). While coverage levels have risen since the 1980s, the rate of progress appears to have slowed in recent years (</w:t>
      </w:r>
      <w:r w:rsidRPr="001F2968">
        <w:rPr>
          <w:rFonts w:cs="Arial"/>
          <w:b/>
        </w:rPr>
        <w:t>Figure 3.3</w:t>
      </w:r>
      <w:r w:rsidRPr="001F2968">
        <w:rPr>
          <w:rFonts w:cs="Arial"/>
        </w:rPr>
        <w:t xml:space="preserve">). Europe currently has the highest percentage coverage (65.5%), followed by Africa (50.7%). Asia has the lowest percentage coverage (35.5%), just below North America (37.6%), Oceania (41.3%) and South &amp; Central America &amp; The Caribbean (41.7%). </w:t>
      </w:r>
    </w:p>
    <w:p w14:paraId="4177FB40" w14:textId="77777777" w:rsidR="001F2968" w:rsidRPr="001F2968" w:rsidRDefault="001F2968" w:rsidP="001F2968">
      <w:pPr>
        <w:spacing w:after="0" w:line="240" w:lineRule="auto"/>
        <w:jc w:val="both"/>
        <w:rPr>
          <w:rFonts w:cs="Arial"/>
        </w:rPr>
      </w:pPr>
    </w:p>
    <w:p w14:paraId="3EE9F996" w14:textId="77777777" w:rsidR="002D72AD" w:rsidRPr="001F2968" w:rsidRDefault="002D72AD" w:rsidP="001F2968">
      <w:pPr>
        <w:spacing w:after="0" w:line="240" w:lineRule="auto"/>
        <w:jc w:val="both"/>
        <w:rPr>
          <w:rFonts w:cs="Arial"/>
        </w:rPr>
      </w:pPr>
      <w:r w:rsidRPr="001F2968">
        <w:rPr>
          <w:rFonts w:cs="Arial"/>
        </w:rPr>
        <w:t>Looking across different taxonomic groups of CMS-listed species, mean coverage of KBAs by protected and conserved areas was highest for certain groups of birds (seabirds/waterbirds: 61.8%; waterbirds: 58.6%; landbirds: 58.2%) and terrestrial mammals (60.6%); intermediate for aquatic mammals (43.8%); and lowest for fish and reptiles (both 36.7%). There were 26 globally threatened CMS-listed species for which the mean KBA coverage by protected and conserved areas was less than 25%, including three Critically Endangered species: the Common Guitarfish (</w:t>
      </w:r>
      <w:proofErr w:type="spellStart"/>
      <w:r w:rsidRPr="001F2968">
        <w:rPr>
          <w:rFonts w:cs="Arial"/>
          <w:i/>
        </w:rPr>
        <w:t>Rhinobatos</w:t>
      </w:r>
      <w:proofErr w:type="spellEnd"/>
      <w:r w:rsidRPr="001F2968">
        <w:rPr>
          <w:rFonts w:cs="Arial"/>
          <w:i/>
        </w:rPr>
        <w:t xml:space="preserve"> </w:t>
      </w:r>
      <w:proofErr w:type="spellStart"/>
      <w:r w:rsidRPr="001F2968">
        <w:rPr>
          <w:rFonts w:cs="Arial"/>
          <w:i/>
        </w:rPr>
        <w:t>rhinobatos</w:t>
      </w:r>
      <w:proofErr w:type="spellEnd"/>
      <w:r w:rsidRPr="001F2968">
        <w:rPr>
          <w:rFonts w:cs="Arial"/>
        </w:rPr>
        <w:t>), the White-winged Flufftail (</w:t>
      </w:r>
      <w:proofErr w:type="spellStart"/>
      <w:r w:rsidRPr="001F2968">
        <w:rPr>
          <w:rFonts w:cs="Arial"/>
          <w:i/>
        </w:rPr>
        <w:t>Sarothrura</w:t>
      </w:r>
      <w:proofErr w:type="spellEnd"/>
      <w:r w:rsidRPr="001F2968">
        <w:rPr>
          <w:rFonts w:cs="Arial"/>
          <w:i/>
        </w:rPr>
        <w:t xml:space="preserve"> </w:t>
      </w:r>
      <w:proofErr w:type="spellStart"/>
      <w:r w:rsidRPr="001F2968">
        <w:rPr>
          <w:rFonts w:cs="Arial"/>
          <w:i/>
        </w:rPr>
        <w:t>ayresi</w:t>
      </w:r>
      <w:proofErr w:type="spellEnd"/>
      <w:r w:rsidRPr="001F2968">
        <w:rPr>
          <w:rFonts w:cs="Arial"/>
        </w:rPr>
        <w:t>) and the Spoon-billed Sandpiper (</w:t>
      </w:r>
      <w:r w:rsidRPr="001F2968">
        <w:rPr>
          <w:rFonts w:cs="Arial"/>
          <w:i/>
        </w:rPr>
        <w:t>Calidris pygmaea</w:t>
      </w:r>
      <w:r w:rsidRPr="001F2968">
        <w:rPr>
          <w:rFonts w:cs="Arial"/>
        </w:rPr>
        <w:t xml:space="preserve">). </w:t>
      </w:r>
    </w:p>
    <w:p w14:paraId="3118C2AA" w14:textId="77777777" w:rsidR="002D72AD" w:rsidRPr="001F2968" w:rsidRDefault="002D72AD" w:rsidP="001F2968">
      <w:pPr>
        <w:spacing w:after="0" w:line="240" w:lineRule="auto"/>
        <w:jc w:val="both"/>
        <w:rPr>
          <w:rFonts w:cs="Arial"/>
        </w:rPr>
      </w:pPr>
      <w:r w:rsidRPr="001F2968">
        <w:rPr>
          <w:rFonts w:cs="Arial"/>
        </w:rPr>
        <w:lastRenderedPageBreak/>
        <w:t xml:space="preserve">Taken together, </w:t>
      </w:r>
      <w:bookmarkStart w:id="6" w:name="_Hlk210913928"/>
      <w:r w:rsidRPr="001F2968">
        <w:rPr>
          <w:rFonts w:cs="Arial"/>
        </w:rPr>
        <w:t>these results suggest that there are potentially substantial gaps in the protection of important habitats for CMS-listed species globally. The identification of unprotected sites that are important for the global persistence of CMS-listed species provides a useful resource enabling countries to plan, prioritize and make decisions on these sites,</w:t>
      </w:r>
      <w:bookmarkEnd w:id="6"/>
      <w:r w:rsidRPr="001F2968">
        <w:rPr>
          <w:rFonts w:cs="Arial"/>
        </w:rPr>
        <w:t xml:space="preserve"> whilst also taking into account (and ensuring the participation of) all relevant stakeholders in decision-making.</w:t>
      </w:r>
    </w:p>
    <w:p w14:paraId="1DF0BF10" w14:textId="77777777" w:rsidR="002D72AD" w:rsidRPr="001F2968" w:rsidRDefault="00C82977" w:rsidP="001F2968">
      <w:pPr>
        <w:spacing w:after="0" w:line="240" w:lineRule="auto"/>
        <w:jc w:val="both"/>
        <w:rPr>
          <w:rFonts w:cs="Arial"/>
        </w:rPr>
      </w:pPr>
      <w:r w:rsidRPr="001F2968">
        <w:rPr>
          <w:rFonts w:cs="Arial"/>
          <w:noProof/>
        </w:rPr>
        <w:drawing>
          <wp:inline distT="0" distB="0" distL="0" distR="0" wp14:anchorId="5922DAA9" wp14:editId="7BDA2A90">
            <wp:extent cx="5113606" cy="3131842"/>
            <wp:effectExtent l="0" t="0" r="0" b="0"/>
            <wp:docPr id="502611816" name="Picture 1"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611816" name="Picture 1" descr="A map of the world&#10;&#10;AI-generated content may be incorrect."/>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127410" cy="3140296"/>
                    </a:xfrm>
                    <a:prstGeom prst="rect">
                      <a:avLst/>
                    </a:prstGeom>
                  </pic:spPr>
                </pic:pic>
              </a:graphicData>
            </a:graphic>
          </wp:inline>
        </w:drawing>
      </w:r>
    </w:p>
    <w:p w14:paraId="37DE9158" w14:textId="77777777" w:rsidR="002D72AD" w:rsidRDefault="002D72AD" w:rsidP="001F2968">
      <w:pPr>
        <w:spacing w:after="0" w:line="240" w:lineRule="auto"/>
        <w:jc w:val="both"/>
        <w:rPr>
          <w:rFonts w:cs="Arial"/>
          <w:sz w:val="20"/>
          <w:szCs w:val="20"/>
        </w:rPr>
      </w:pPr>
      <w:r w:rsidRPr="001F2968">
        <w:rPr>
          <w:rFonts w:cs="Arial"/>
          <w:b/>
          <w:sz w:val="20"/>
          <w:szCs w:val="20"/>
        </w:rPr>
        <w:t xml:space="preserve">Figure 3.2: </w:t>
      </w:r>
      <w:r w:rsidRPr="001F2968">
        <w:rPr>
          <w:rFonts w:cs="Arial"/>
          <w:sz w:val="20"/>
          <w:szCs w:val="20"/>
        </w:rPr>
        <w:t xml:space="preserve">Global map indicating the extent to which Key Biodiversity Areas (KBAs) that have been identified as being important for CMS-listed species are covered by protected areas and other effective area-based conservation measures (OECMs), shown as complete (≥98%), partial (98% - 2%) and no (≤2%) coverage. Data sources: World Database on Protected Areas (WDPA) and World Database on Other Effective Area-Based Conservation Measures (WD-OECM) (2025); World Database of Key Biodiversity Areas (2025). Calculated by </w:t>
      </w:r>
      <w:proofErr w:type="spellStart"/>
      <w:r w:rsidRPr="001F2968">
        <w:rPr>
          <w:rFonts w:cs="Arial"/>
          <w:sz w:val="20"/>
          <w:szCs w:val="20"/>
        </w:rPr>
        <w:t>BirdLife</w:t>
      </w:r>
      <w:proofErr w:type="spellEnd"/>
      <w:r w:rsidRPr="001F2968">
        <w:rPr>
          <w:rFonts w:cs="Arial"/>
          <w:sz w:val="20"/>
          <w:szCs w:val="20"/>
        </w:rPr>
        <w:t xml:space="preserve"> International (2025). </w:t>
      </w:r>
    </w:p>
    <w:p w14:paraId="5F316136" w14:textId="77777777" w:rsidR="001F2968" w:rsidRPr="001F2968" w:rsidRDefault="001F2968" w:rsidP="001F2968">
      <w:pPr>
        <w:spacing w:after="0" w:line="240" w:lineRule="auto"/>
        <w:jc w:val="both"/>
        <w:rPr>
          <w:rFonts w:cs="Arial"/>
          <w:sz w:val="20"/>
          <w:szCs w:val="20"/>
        </w:rPr>
      </w:pPr>
    </w:p>
    <w:p w14:paraId="707AB036" w14:textId="77777777" w:rsidR="002D72AD" w:rsidRDefault="00C82977" w:rsidP="00C82977">
      <w:pPr>
        <w:spacing w:after="0"/>
        <w:rPr>
          <w:rFonts w:ascii="Roboto" w:hAnsi="Roboto"/>
          <w:b/>
          <w:sz w:val="24"/>
          <w:szCs w:val="24"/>
        </w:rPr>
      </w:pPr>
      <w:r>
        <w:rPr>
          <w:rFonts w:ascii="Roboto" w:hAnsi="Roboto"/>
          <w:b/>
          <w:bCs/>
          <w:noProof/>
          <w:sz w:val="24"/>
          <w:szCs w:val="24"/>
        </w:rPr>
        <w:drawing>
          <wp:inline distT="0" distB="0" distL="0" distR="0" wp14:anchorId="01728125" wp14:editId="20D10C56">
            <wp:extent cx="5731510" cy="2378710"/>
            <wp:effectExtent l="0" t="0" r="2540" b="2540"/>
            <wp:docPr id="1832303668" name="Picture 6" descr="A river flowing through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303668" name="Picture 6" descr="A river flowing through a forest&#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31510" cy="2378710"/>
                    </a:xfrm>
                    <a:prstGeom prst="rect">
                      <a:avLst/>
                    </a:prstGeom>
                  </pic:spPr>
                </pic:pic>
              </a:graphicData>
            </a:graphic>
          </wp:inline>
        </w:drawing>
      </w:r>
      <w:r w:rsidR="002D72AD" w:rsidRPr="00CB3C03">
        <w:rPr>
          <w:rFonts w:ascii="Roboto" w:hAnsi="Roboto"/>
          <w:b/>
          <w:sz w:val="24"/>
          <w:szCs w:val="24"/>
        </w:rPr>
        <w:t xml:space="preserve"> </w:t>
      </w:r>
    </w:p>
    <w:p w14:paraId="2DC70041" w14:textId="77777777" w:rsidR="002D72AD" w:rsidRPr="00601847" w:rsidRDefault="002D72AD" w:rsidP="00601847">
      <w:pPr>
        <w:spacing w:before="120" w:after="0" w:line="240" w:lineRule="auto"/>
        <w:jc w:val="both"/>
        <w:rPr>
          <w:rFonts w:cs="Arial"/>
          <w:sz w:val="20"/>
          <w:szCs w:val="20"/>
        </w:rPr>
      </w:pPr>
      <w:r w:rsidRPr="00601847">
        <w:rPr>
          <w:rFonts w:cs="Arial"/>
          <w:i/>
          <w:sz w:val="20"/>
          <w:szCs w:val="20"/>
        </w:rPr>
        <w:t>Photo caption</w:t>
      </w:r>
      <w:r w:rsidRPr="00601847">
        <w:rPr>
          <w:rFonts w:cs="Arial"/>
          <w:sz w:val="20"/>
          <w:szCs w:val="20"/>
        </w:rPr>
        <w:t xml:space="preserve">: Wetlands, like the Pantanal in South America, provide vital habitat for a diverse range of migratory species. According to the </w:t>
      </w:r>
      <w:hyperlink r:id="rId77" w:history="1">
        <w:r w:rsidRPr="00601847">
          <w:rPr>
            <w:rStyle w:val="Hyperlink"/>
            <w:rFonts w:cs="Arial"/>
            <w:sz w:val="20"/>
            <w:szCs w:val="20"/>
          </w:rPr>
          <w:t>Global Wetland Outlook 2025</w:t>
        </w:r>
      </w:hyperlink>
      <w:r w:rsidRPr="00601847">
        <w:rPr>
          <w:rFonts w:cs="Arial"/>
          <w:sz w:val="20"/>
          <w:szCs w:val="20"/>
        </w:rPr>
        <w:t>, around over one fifth of global wetlands are reported as being in a poor state, with an increasing number of Ramsar Parties reporting a deterioration in their condition between 2011 and 2021</w:t>
      </w:r>
      <w:r w:rsidRPr="00601847">
        <w:rPr>
          <w:rFonts w:cs="Arial"/>
          <w:sz w:val="20"/>
          <w:szCs w:val="20"/>
          <w:vertAlign w:val="superscript"/>
        </w:rPr>
        <w:t>18</w:t>
      </w:r>
      <w:r w:rsidRPr="00601847">
        <w:rPr>
          <w:rFonts w:cs="Arial"/>
          <w:sz w:val="20"/>
          <w:szCs w:val="20"/>
        </w:rPr>
        <w:t>. The top reported negative drivers of changes in the state of wetlands include pollution, urbanisation and industrial/infrastructure development, although drought was highlighted as a concern in Europe</w:t>
      </w:r>
      <w:r w:rsidRPr="00601847">
        <w:rPr>
          <w:rFonts w:cs="Arial"/>
          <w:sz w:val="20"/>
          <w:szCs w:val="20"/>
          <w:vertAlign w:val="superscript"/>
        </w:rPr>
        <w:t>18</w:t>
      </w:r>
      <w:r w:rsidRPr="00601847">
        <w:rPr>
          <w:rFonts w:cs="Arial"/>
          <w:sz w:val="20"/>
          <w:szCs w:val="20"/>
        </w:rPr>
        <w:t xml:space="preserve">. Further action is needed to effectively conserve, manage and restore the world’s remaining wetlands, to ensure their biodiversity value is not diminished. </w:t>
      </w:r>
      <w:r w:rsidRPr="00601847">
        <w:rPr>
          <w:rFonts w:cs="Arial"/>
          <w:i/>
          <w:sz w:val="20"/>
          <w:szCs w:val="20"/>
        </w:rPr>
        <w:t>Photo credit</w:t>
      </w:r>
      <w:r w:rsidRPr="00601847">
        <w:rPr>
          <w:rFonts w:cs="Arial"/>
          <w:sz w:val="20"/>
          <w:szCs w:val="20"/>
        </w:rPr>
        <w:t xml:space="preserve">: </w:t>
      </w:r>
      <w:hyperlink r:id="rId78" w:history="1">
        <w:r w:rsidRPr="00601847">
          <w:rPr>
            <w:rStyle w:val="Hyperlink"/>
            <w:rFonts w:cs="Arial"/>
            <w:sz w:val="20"/>
            <w:szCs w:val="20"/>
          </w:rPr>
          <w:t>Adobe Stock | #301916260</w:t>
        </w:r>
      </w:hyperlink>
      <w:r w:rsidRPr="00601847">
        <w:rPr>
          <w:rFonts w:cs="Arial"/>
          <w:sz w:val="20"/>
          <w:szCs w:val="20"/>
        </w:rPr>
        <w:t>.</w:t>
      </w:r>
    </w:p>
    <w:p w14:paraId="4661822C" w14:textId="77777777" w:rsidR="002D72AD" w:rsidRPr="00C94718" w:rsidRDefault="002D72AD" w:rsidP="00C82977">
      <w:pPr>
        <w:rPr>
          <w:rFonts w:ascii="Roboto" w:hAnsi="Roboto"/>
          <w:sz w:val="20"/>
          <w:szCs w:val="20"/>
        </w:rPr>
      </w:pPr>
    </w:p>
    <w:p w14:paraId="25CBB38B" w14:textId="77777777" w:rsidR="002D72AD" w:rsidRPr="00C94718" w:rsidRDefault="00C82977" w:rsidP="00C82977">
      <w:pPr>
        <w:rPr>
          <w:rFonts w:ascii="Roboto" w:hAnsi="Roboto"/>
          <w:sz w:val="20"/>
          <w:szCs w:val="20"/>
        </w:rPr>
      </w:pPr>
      <w:r>
        <w:rPr>
          <w:rFonts w:ascii="Roboto" w:hAnsi="Roboto"/>
          <w:noProof/>
          <w:sz w:val="20"/>
          <w:szCs w:val="20"/>
        </w:rPr>
        <w:drawing>
          <wp:inline distT="0" distB="0" distL="0" distR="0" wp14:anchorId="0ED2F2F2" wp14:editId="76FB5928">
            <wp:extent cx="5730918" cy="3967259"/>
            <wp:effectExtent l="0" t="0" r="3175" b="0"/>
            <wp:docPr id="1770316226" name="Picture 2"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316226" name="Picture 2" descr="A graph of different colored lines&#10;&#10;AI-generated content may be incorrect."/>
                    <pic:cNvPicPr/>
                  </pic:nvPicPr>
                  <pic:blipFill rotWithShape="1">
                    <a:blip r:embed="rId79" cstate="print">
                      <a:extLst>
                        <a:ext uri="{28A0092B-C50C-407E-A947-70E740481C1C}">
                          <a14:useLocalDpi xmlns:a14="http://schemas.microsoft.com/office/drawing/2010/main" val="0"/>
                        </a:ext>
                      </a:extLst>
                    </a:blip>
                    <a:srcRect t="6645" b="8332"/>
                    <a:stretch/>
                  </pic:blipFill>
                  <pic:spPr bwMode="auto">
                    <a:xfrm>
                      <a:off x="0" y="0"/>
                      <a:ext cx="5731510" cy="3967669"/>
                    </a:xfrm>
                    <a:prstGeom prst="rect">
                      <a:avLst/>
                    </a:prstGeom>
                    <a:ln>
                      <a:noFill/>
                    </a:ln>
                    <a:extLst>
                      <a:ext uri="{53640926-AAD7-44D8-BBD7-CCE9431645EC}">
                        <a14:shadowObscured xmlns:a14="http://schemas.microsoft.com/office/drawing/2010/main"/>
                      </a:ext>
                    </a:extLst>
                  </pic:spPr>
                </pic:pic>
              </a:graphicData>
            </a:graphic>
          </wp:inline>
        </w:drawing>
      </w:r>
    </w:p>
    <w:p w14:paraId="12B3A202" w14:textId="77777777" w:rsidR="002D72AD" w:rsidRPr="00431AB7" w:rsidRDefault="002D72AD" w:rsidP="00431AB7">
      <w:pPr>
        <w:spacing w:after="0" w:line="240" w:lineRule="auto"/>
        <w:jc w:val="both"/>
        <w:rPr>
          <w:rFonts w:cs="Arial"/>
          <w:sz w:val="20"/>
          <w:szCs w:val="20"/>
        </w:rPr>
      </w:pPr>
      <w:r w:rsidRPr="00431AB7">
        <w:rPr>
          <w:rFonts w:cs="Arial"/>
          <w:b/>
          <w:sz w:val="20"/>
          <w:szCs w:val="20"/>
        </w:rPr>
        <w:t xml:space="preserve">Figure 3.3: </w:t>
      </w:r>
      <w:r w:rsidRPr="00431AB7">
        <w:rPr>
          <w:rFonts w:cs="Arial"/>
          <w:sz w:val="20"/>
          <w:szCs w:val="20"/>
        </w:rPr>
        <w:t xml:space="preserve">Regional trends in the mean percentage coverage of Key Biodiversity Areas identified as being important for CMS-listed species by protected areas and other effective-area based conservation measures (OECMs), between 1980 and 2025. Data sources: World Database on Protected Areas (WDPA) and World Database on Other Effective Area-Based Conservation Measures (WD-OECM) (2025); World Database of Key Biodiversity Areas (2025). Calculated by </w:t>
      </w:r>
      <w:proofErr w:type="spellStart"/>
      <w:r w:rsidRPr="00431AB7">
        <w:rPr>
          <w:rFonts w:cs="Arial"/>
          <w:sz w:val="20"/>
          <w:szCs w:val="20"/>
        </w:rPr>
        <w:t>BirdLife</w:t>
      </w:r>
      <w:proofErr w:type="spellEnd"/>
      <w:r w:rsidRPr="00431AB7">
        <w:rPr>
          <w:rFonts w:cs="Arial"/>
          <w:sz w:val="20"/>
          <w:szCs w:val="20"/>
        </w:rPr>
        <w:t xml:space="preserve"> International (2025).</w:t>
      </w:r>
    </w:p>
    <w:p w14:paraId="13BEB230" w14:textId="77777777" w:rsidR="00431AB7" w:rsidRPr="00431AB7" w:rsidRDefault="00431AB7" w:rsidP="00431AB7">
      <w:pPr>
        <w:spacing w:after="0" w:line="240" w:lineRule="auto"/>
        <w:jc w:val="both"/>
        <w:rPr>
          <w:rFonts w:cs="Arial"/>
        </w:rPr>
      </w:pPr>
    </w:p>
    <w:p w14:paraId="105AD749" w14:textId="77777777" w:rsidR="002D72AD" w:rsidRPr="00431AB7" w:rsidRDefault="002D72AD" w:rsidP="00431AB7">
      <w:pPr>
        <w:spacing w:after="0" w:line="240" w:lineRule="auto"/>
        <w:jc w:val="both"/>
        <w:rPr>
          <w:rFonts w:cs="Arial"/>
          <w:b/>
        </w:rPr>
      </w:pPr>
      <w:r w:rsidRPr="00431AB7">
        <w:rPr>
          <w:rFonts w:cs="Arial"/>
        </w:rPr>
        <w:t xml:space="preserve">Future analyses assessing the coverage of IMMAs, ISRAs and IMTAs by protected and conserved areas would also be informative. A recent large-scale analysis of global tracking data compiled by the </w:t>
      </w:r>
      <w:hyperlink r:id="rId80" w:history="1">
        <w:proofErr w:type="spellStart"/>
        <w:r w:rsidRPr="00431AB7">
          <w:rPr>
            <w:rStyle w:val="Hyperlink"/>
            <w:rFonts w:cs="Arial"/>
            <w:b/>
          </w:rPr>
          <w:t>MegaMove</w:t>
        </w:r>
        <w:proofErr w:type="spellEnd"/>
      </w:hyperlink>
      <w:r w:rsidRPr="00431AB7">
        <w:rPr>
          <w:rFonts w:cs="Arial"/>
        </w:rPr>
        <w:t xml:space="preserve"> project found that increasing marine protected area coverage levels to 30% will still leave approximately 60% of the important areas used by highly mobile marine megafauna for breeding, feeding or migrating unprotected</w:t>
      </w:r>
      <w:r w:rsidRPr="00431AB7">
        <w:rPr>
          <w:rFonts w:cs="Arial"/>
          <w:vertAlign w:val="superscript"/>
        </w:rPr>
        <w:t>19</w:t>
      </w:r>
      <w:r w:rsidRPr="00431AB7">
        <w:rPr>
          <w:rFonts w:cs="Arial"/>
        </w:rPr>
        <w:t>. Broader forms of ocean management designed to mitigate specific pressures over large areas, such as shipping restrictions (e.g. reductions in vessel speed, or changes in shipping routes) or policies designed to reduce bycatch, will also be needed to lessen negative impacts on these species</w:t>
      </w:r>
      <w:r w:rsidRPr="00431AB7">
        <w:rPr>
          <w:rFonts w:cs="Arial"/>
          <w:vertAlign w:val="superscript"/>
        </w:rPr>
        <w:t>19-20</w:t>
      </w:r>
      <w:r w:rsidRPr="00431AB7">
        <w:rPr>
          <w:rFonts w:cs="Arial"/>
        </w:rPr>
        <w:t>. Understanding the state of protection for marine migratory species has been identified as key research aim under the Migratory Connectivity in the Ocean (</w:t>
      </w:r>
      <w:proofErr w:type="spellStart"/>
      <w:r w:rsidRPr="00431AB7">
        <w:rPr>
          <w:rFonts w:cs="Arial"/>
        </w:rPr>
        <w:t>MiCO</w:t>
      </w:r>
      <w:proofErr w:type="spellEnd"/>
      <w:r w:rsidRPr="00431AB7">
        <w:rPr>
          <w:rFonts w:cs="Arial"/>
        </w:rPr>
        <w:t xml:space="preserve">) initiative (see </w:t>
      </w:r>
      <w:r w:rsidRPr="00431AB7">
        <w:rPr>
          <w:rFonts w:cs="Arial"/>
          <w:b/>
        </w:rPr>
        <w:t>Section 4</w:t>
      </w:r>
      <w:r w:rsidRPr="00431AB7">
        <w:rPr>
          <w:rFonts w:cs="Arial"/>
        </w:rPr>
        <w:t xml:space="preserve">). </w:t>
      </w:r>
      <w:r w:rsidRPr="00431AB7">
        <w:rPr>
          <w:rFonts w:cs="Arial"/>
          <w:b/>
        </w:rPr>
        <w:br w:type="page"/>
      </w:r>
    </w:p>
    <w:p w14:paraId="0801B39C" w14:textId="77777777" w:rsidR="002D72AD" w:rsidRDefault="002D72AD" w:rsidP="00431AB7">
      <w:pPr>
        <w:pStyle w:val="Heading1"/>
        <w:numPr>
          <w:ilvl w:val="0"/>
          <w:numId w:val="41"/>
        </w:numPr>
        <w:spacing w:before="0" w:line="240" w:lineRule="auto"/>
        <w:ind w:left="357" w:hanging="357"/>
        <w:jc w:val="both"/>
        <w:rPr>
          <w:rFonts w:ascii="Arial" w:hAnsi="Arial" w:cs="Arial"/>
          <w:b/>
          <w:color w:val="auto"/>
          <w:sz w:val="22"/>
          <w:szCs w:val="22"/>
        </w:rPr>
      </w:pPr>
      <w:bookmarkStart w:id="7" w:name="_Toc210914223"/>
      <w:r w:rsidRPr="00431AB7">
        <w:rPr>
          <w:rFonts w:ascii="Arial" w:hAnsi="Arial" w:cs="Arial"/>
          <w:b/>
          <w:color w:val="auto"/>
          <w:sz w:val="22"/>
          <w:szCs w:val="22"/>
        </w:rPr>
        <w:lastRenderedPageBreak/>
        <w:t>Recent progress mapping migratory pathways</w:t>
      </w:r>
      <w:bookmarkEnd w:id="7"/>
    </w:p>
    <w:p w14:paraId="189E86D0" w14:textId="77777777" w:rsidR="00431AB7" w:rsidRPr="00431AB7" w:rsidRDefault="00431AB7" w:rsidP="00431AB7">
      <w:pPr>
        <w:spacing w:after="0" w:line="240" w:lineRule="auto"/>
      </w:pPr>
    </w:p>
    <w:p w14:paraId="445421F7" w14:textId="77777777" w:rsidR="002D72AD" w:rsidRDefault="002D72AD" w:rsidP="00431AB7">
      <w:pPr>
        <w:spacing w:after="0" w:line="240" w:lineRule="auto"/>
        <w:jc w:val="both"/>
        <w:rPr>
          <w:rFonts w:cs="Arial"/>
        </w:rPr>
      </w:pPr>
      <w:r w:rsidRPr="00431AB7">
        <w:rPr>
          <w:rFonts w:cs="Arial"/>
        </w:rPr>
        <w:t xml:space="preserve">Mapping the world’s migration pathways is a crucial step towards ensuring that migratory populations can continue to safely access the vital breeding, foraging and resting areas that they need to survive. Migration maps derived from empirical tracking data allow migratory animals themselves to tell us which seasonal ranges or corridors are most crucial over the course of their life cycle. The recent growth in animal tracking research has drastically improved the state of knowledge in this area, by enabling migration routes to be mapped in unprecedented detail, and by facilitating the discovery of previously unknown migratory pathways. </w:t>
      </w:r>
    </w:p>
    <w:p w14:paraId="272DA8A8" w14:textId="77777777" w:rsidR="00431AB7" w:rsidRPr="00431AB7" w:rsidRDefault="00431AB7" w:rsidP="00431AB7">
      <w:pPr>
        <w:spacing w:after="0" w:line="240" w:lineRule="auto"/>
        <w:jc w:val="both"/>
        <w:rPr>
          <w:rFonts w:cs="Arial"/>
        </w:rPr>
      </w:pPr>
    </w:p>
    <w:p w14:paraId="6AA7E6B5" w14:textId="77777777" w:rsidR="002D72AD" w:rsidRDefault="002D72AD" w:rsidP="00431AB7">
      <w:pPr>
        <w:spacing w:after="0" w:line="240" w:lineRule="auto"/>
        <w:jc w:val="both"/>
        <w:rPr>
          <w:rFonts w:cs="Arial"/>
        </w:rPr>
      </w:pPr>
      <w:r w:rsidRPr="00431AB7">
        <w:rPr>
          <w:rFonts w:cs="Arial"/>
        </w:rPr>
        <w:t>Improved maps of migration corridors can help to direct area-based conservation efforts towards critical areas in need of enhanced protection. However, since animal movements often span distances that are orders of magnitude larger than any protected area</w:t>
      </w:r>
      <w:r w:rsidRPr="00431AB7">
        <w:rPr>
          <w:rFonts w:cs="Arial"/>
          <w:vertAlign w:val="superscript"/>
        </w:rPr>
        <w:t>1-2</w:t>
      </w:r>
      <w:r w:rsidRPr="00431AB7">
        <w:rPr>
          <w:rFonts w:cs="Arial"/>
        </w:rPr>
        <w:t>, migratory species must be able to travel unimpeded through wider land-, river- or seascapes that are increasingly fragmented by a range of human infrastructure and activities</w:t>
      </w:r>
      <w:r w:rsidRPr="00431AB7">
        <w:rPr>
          <w:rFonts w:cs="Arial"/>
          <w:vertAlign w:val="superscript"/>
        </w:rPr>
        <w:t>3-6</w:t>
      </w:r>
      <w:r w:rsidRPr="00431AB7">
        <w:rPr>
          <w:rFonts w:cs="Arial"/>
        </w:rPr>
        <w:t>. Migration maps – and the tracking data that underpins them – can help to identify potential obstacles to movement, assess the degree of exposure to pressures encountered on migratory journeys, and highlight the broader regions where policy interventions are needed to sustain connectivity in the context of working land- and seascapes</w:t>
      </w:r>
      <w:r w:rsidRPr="00431AB7">
        <w:rPr>
          <w:rFonts w:cs="Arial"/>
          <w:vertAlign w:val="superscript"/>
        </w:rPr>
        <w:t>6-8</w:t>
      </w:r>
      <w:r w:rsidRPr="00431AB7">
        <w:rPr>
          <w:rFonts w:cs="Arial"/>
        </w:rPr>
        <w:t>. Mapping efforts can also reveal the migratory connections that link distant countries</w:t>
      </w:r>
      <w:r w:rsidRPr="00431AB7">
        <w:rPr>
          <w:rFonts w:cs="Arial"/>
          <w:vertAlign w:val="superscript"/>
        </w:rPr>
        <w:t>9-11</w:t>
      </w:r>
      <w:r w:rsidRPr="00431AB7">
        <w:rPr>
          <w:rFonts w:cs="Arial"/>
        </w:rPr>
        <w:t xml:space="preserve">, providing a sound scientific basis for collaborative international conservation efforts. </w:t>
      </w:r>
    </w:p>
    <w:p w14:paraId="6AF76760" w14:textId="77777777" w:rsidR="00431AB7" w:rsidRPr="00431AB7" w:rsidRDefault="00431AB7" w:rsidP="00431AB7">
      <w:pPr>
        <w:spacing w:after="0" w:line="240" w:lineRule="auto"/>
        <w:jc w:val="both"/>
        <w:rPr>
          <w:rFonts w:cs="Arial"/>
        </w:rPr>
      </w:pPr>
    </w:p>
    <w:p w14:paraId="464A8FC3" w14:textId="77777777" w:rsidR="002D72AD" w:rsidRPr="00431AB7" w:rsidRDefault="002D72AD" w:rsidP="00431AB7">
      <w:pPr>
        <w:spacing w:after="0" w:line="240" w:lineRule="auto"/>
        <w:jc w:val="both"/>
        <w:rPr>
          <w:rFonts w:cs="Arial"/>
        </w:rPr>
      </w:pPr>
      <w:r w:rsidRPr="00431AB7">
        <w:rPr>
          <w:rFonts w:cs="Arial"/>
        </w:rPr>
        <w:t>This section contains an overview of the recent progress made by initiatives dedicated to mapping terrestrial and marine migratory pathways. Here, we feature two initiatives that have been at the forefront of recent efforts to map migrations: the Global Initiative on Ungulate Migration (GIUM), a module of the CMS Atlas of Migration</w:t>
      </w:r>
      <w:r w:rsidRPr="00431AB7">
        <w:rPr>
          <w:rStyle w:val="FootnoteReference"/>
          <w:rFonts w:cs="Arial"/>
        </w:rPr>
        <w:footnoteReference w:id="12"/>
      </w:r>
      <w:r w:rsidRPr="00431AB7">
        <w:rPr>
          <w:rFonts w:cs="Arial"/>
        </w:rPr>
        <w:t>, and the Migratory Connectivity in the Ocean (</w:t>
      </w:r>
      <w:proofErr w:type="spellStart"/>
      <w:r w:rsidRPr="00431AB7">
        <w:rPr>
          <w:rFonts w:cs="Arial"/>
        </w:rPr>
        <w:t>MiCO</w:t>
      </w:r>
      <w:proofErr w:type="spellEnd"/>
      <w:r w:rsidRPr="00431AB7">
        <w:rPr>
          <w:rFonts w:cs="Arial"/>
        </w:rPr>
        <w:t xml:space="preserve">) system. </w:t>
      </w:r>
    </w:p>
    <w:p w14:paraId="3579F5CC" w14:textId="77777777" w:rsidR="002D72AD" w:rsidRPr="00431AB7" w:rsidRDefault="002D72AD" w:rsidP="00431AB7">
      <w:pPr>
        <w:spacing w:after="0" w:line="240" w:lineRule="auto"/>
        <w:jc w:val="both"/>
        <w:rPr>
          <w:rFonts w:cs="Arial"/>
          <w:b/>
        </w:rPr>
      </w:pPr>
    </w:p>
    <w:p w14:paraId="22D7514D" w14:textId="77777777" w:rsidR="002D72AD" w:rsidRPr="00431AB7" w:rsidRDefault="002D72AD" w:rsidP="00431AB7">
      <w:pPr>
        <w:spacing w:after="0" w:line="240" w:lineRule="auto"/>
        <w:jc w:val="both"/>
        <w:rPr>
          <w:rFonts w:cs="Arial"/>
          <w:b/>
        </w:rPr>
      </w:pPr>
      <w:r w:rsidRPr="00431AB7">
        <w:rPr>
          <w:rFonts w:cs="Arial"/>
          <w:b/>
        </w:rPr>
        <w:t>Mapping the world’s ungulate migrations</w:t>
      </w:r>
    </w:p>
    <w:p w14:paraId="7C429D96" w14:textId="77777777" w:rsidR="00431AB7" w:rsidRPr="00431AB7" w:rsidRDefault="00431AB7" w:rsidP="00431AB7">
      <w:pPr>
        <w:spacing w:after="0" w:line="240" w:lineRule="auto"/>
        <w:jc w:val="both"/>
        <w:rPr>
          <w:rFonts w:cs="Arial"/>
          <w:b/>
        </w:rPr>
      </w:pPr>
    </w:p>
    <w:p w14:paraId="3956C7AC" w14:textId="77777777" w:rsidR="002D72AD" w:rsidRDefault="002D72AD" w:rsidP="00431AB7">
      <w:pPr>
        <w:spacing w:after="0" w:line="240" w:lineRule="auto"/>
        <w:jc w:val="both"/>
        <w:rPr>
          <w:rFonts w:cs="Arial"/>
          <w:i/>
        </w:rPr>
      </w:pPr>
      <w:r w:rsidRPr="00431AB7">
        <w:rPr>
          <w:rFonts w:cs="Arial"/>
        </w:rPr>
        <w:t xml:space="preserve">Contribution by: Thomas Mueller, Janey Fugate and Matthew Kauffman – </w:t>
      </w:r>
      <w:r w:rsidRPr="00431AB7">
        <w:rPr>
          <w:rFonts w:cs="Arial"/>
          <w:i/>
        </w:rPr>
        <w:t>Global Initiative on Ungulate Migration (GIUM)</w:t>
      </w:r>
    </w:p>
    <w:p w14:paraId="484E6FB9" w14:textId="77777777" w:rsidR="003434EF" w:rsidRPr="00431AB7" w:rsidRDefault="003434EF" w:rsidP="00431AB7">
      <w:pPr>
        <w:spacing w:after="0" w:line="240" w:lineRule="auto"/>
        <w:jc w:val="both"/>
        <w:rPr>
          <w:rFonts w:cs="Arial"/>
          <w:i/>
          <w:color w:val="003870"/>
        </w:rPr>
      </w:pPr>
    </w:p>
    <w:p w14:paraId="5136DD03" w14:textId="77777777" w:rsidR="002D72AD" w:rsidRDefault="002D72AD" w:rsidP="00431AB7">
      <w:pPr>
        <w:spacing w:after="0" w:line="240" w:lineRule="auto"/>
        <w:jc w:val="both"/>
        <w:rPr>
          <w:rFonts w:cs="Arial"/>
        </w:rPr>
      </w:pPr>
      <w:r w:rsidRPr="00431AB7">
        <w:rPr>
          <w:rFonts w:cs="Arial"/>
        </w:rPr>
        <w:t xml:space="preserve">The Global Initiative on Ungulate Migration (GIUM) unites an international community of conservation-focused migration researchers and conservationists to document and protect the world’s key migratory routes for hoofed mammals. By leveraging collaborations with over 80 scientists from more than 50 institutions, the initiative has developed the world’s first living </w:t>
      </w:r>
      <w:hyperlink r:id="rId81" w:history="1">
        <w:r w:rsidRPr="00431AB7">
          <w:rPr>
            <w:rStyle w:val="Hyperlink"/>
            <w:rFonts w:cs="Arial"/>
          </w:rPr>
          <w:t>Atlas of Ungulate Migration</w:t>
        </w:r>
      </w:hyperlink>
      <w:r w:rsidRPr="00431AB7">
        <w:rPr>
          <w:rFonts w:cs="Arial"/>
        </w:rPr>
        <w:t xml:space="preserve">, mapping over 30 of the planet’s major ungulate migrations across 17 different ungulate species. For each migration, detailed fact sheets explain the route, summarize specific conservation challenges, and often include supplemental maps showing where these movements intersect with threats or protected areas. For example, a </w:t>
      </w:r>
      <w:hyperlink r:id="rId82" w:history="1">
        <w:r w:rsidRPr="00431AB7">
          <w:rPr>
            <w:rStyle w:val="Hyperlink"/>
            <w:rFonts w:cs="Arial"/>
          </w:rPr>
          <w:t>detailed map</w:t>
        </w:r>
      </w:hyperlink>
      <w:r w:rsidRPr="00431AB7">
        <w:rPr>
          <w:rFonts w:cs="Arial"/>
        </w:rPr>
        <w:t xml:space="preserve"> of the migration of the White-eared Kob (</w:t>
      </w:r>
      <w:r w:rsidRPr="00431AB7">
        <w:rPr>
          <w:rFonts w:cs="Arial"/>
          <w:i/>
        </w:rPr>
        <w:t xml:space="preserve">Kobus </w:t>
      </w:r>
      <w:proofErr w:type="spellStart"/>
      <w:r w:rsidRPr="00431AB7">
        <w:rPr>
          <w:rFonts w:cs="Arial"/>
          <w:i/>
        </w:rPr>
        <w:t>kob</w:t>
      </w:r>
      <w:proofErr w:type="spellEnd"/>
      <w:r w:rsidRPr="00431AB7">
        <w:rPr>
          <w:rFonts w:cs="Arial"/>
          <w:i/>
        </w:rPr>
        <w:t xml:space="preserve"> </w:t>
      </w:r>
      <w:proofErr w:type="spellStart"/>
      <w:r w:rsidRPr="00431AB7">
        <w:rPr>
          <w:rFonts w:cs="Arial"/>
          <w:i/>
        </w:rPr>
        <w:t>leucotis</w:t>
      </w:r>
      <w:proofErr w:type="spellEnd"/>
      <w:r w:rsidRPr="00431AB7">
        <w:rPr>
          <w:rFonts w:cs="Arial"/>
        </w:rPr>
        <w:t>)</w:t>
      </w:r>
      <w:r w:rsidRPr="00431AB7">
        <w:rPr>
          <w:rFonts w:cs="Arial"/>
          <w:i/>
        </w:rPr>
        <w:t xml:space="preserve"> </w:t>
      </w:r>
      <w:r w:rsidRPr="00431AB7">
        <w:rPr>
          <w:rFonts w:cs="Arial"/>
        </w:rPr>
        <w:t xml:space="preserve">and </w:t>
      </w:r>
      <w:proofErr w:type="spellStart"/>
      <w:r w:rsidRPr="00431AB7">
        <w:rPr>
          <w:rFonts w:cs="Arial"/>
        </w:rPr>
        <w:t>Tiang</w:t>
      </w:r>
      <w:proofErr w:type="spellEnd"/>
      <w:r w:rsidRPr="00431AB7">
        <w:rPr>
          <w:rFonts w:cs="Arial"/>
        </w:rPr>
        <w:t xml:space="preserve"> (</w:t>
      </w:r>
      <w:proofErr w:type="spellStart"/>
      <w:r w:rsidRPr="00431AB7">
        <w:rPr>
          <w:rFonts w:cs="Arial"/>
          <w:i/>
        </w:rPr>
        <w:t>Damaliscus</w:t>
      </w:r>
      <w:proofErr w:type="spellEnd"/>
      <w:r w:rsidRPr="00431AB7">
        <w:rPr>
          <w:rFonts w:cs="Arial"/>
          <w:i/>
        </w:rPr>
        <w:t xml:space="preserve"> lunatus </w:t>
      </w:r>
      <w:proofErr w:type="spellStart"/>
      <w:r w:rsidRPr="00431AB7">
        <w:rPr>
          <w:rFonts w:cs="Arial"/>
          <w:i/>
        </w:rPr>
        <w:t>tiang</w:t>
      </w:r>
      <w:proofErr w:type="spellEnd"/>
      <w:r w:rsidRPr="00431AB7">
        <w:rPr>
          <w:rFonts w:cs="Arial"/>
        </w:rPr>
        <w:t xml:space="preserve">) in South Sudan and Ethiopia was released for the first time in April 2025. It is the world’s largest ungulate migration, involving over five million White-eared Kob, but faces pressure from unregulated hunting and imminent oil development. Mapping is ongoing in many locations around the world, and GIUM plans to significantly expand the Atlas by the end of 2026. </w:t>
      </w:r>
    </w:p>
    <w:p w14:paraId="7FE38C79" w14:textId="77777777" w:rsidR="003434EF" w:rsidRPr="00431AB7" w:rsidRDefault="003434EF" w:rsidP="00431AB7">
      <w:pPr>
        <w:spacing w:after="0" w:line="240" w:lineRule="auto"/>
        <w:jc w:val="both"/>
        <w:rPr>
          <w:rFonts w:cs="Arial"/>
        </w:rPr>
      </w:pPr>
    </w:p>
    <w:p w14:paraId="40C99987" w14:textId="77777777" w:rsidR="002D72AD" w:rsidRDefault="002D72AD" w:rsidP="00431AB7">
      <w:pPr>
        <w:spacing w:after="0" w:line="240" w:lineRule="auto"/>
        <w:jc w:val="both"/>
        <w:rPr>
          <w:rFonts w:cs="Arial"/>
        </w:rPr>
      </w:pPr>
      <w:r w:rsidRPr="00431AB7">
        <w:rPr>
          <w:rFonts w:cs="Arial"/>
        </w:rPr>
        <w:t xml:space="preserve">One of the most urgent and consistent threats highlighted by GIUM’s work is the proliferation of linear infrastructure—especially roads, railways, and fencing. Such barriers fragment habitats, impede migration, and increase risks for migratory species in multiple regions. This </w:t>
      </w:r>
      <w:r w:rsidRPr="00431AB7">
        <w:rPr>
          <w:rFonts w:cs="Arial"/>
        </w:rPr>
        <w:lastRenderedPageBreak/>
        <w:t>issue is particularly pronounced in Central Asia and Africa, where rapid infrastructure growth has created new obstacles for iconic migratory mammals like Mongolian Gazelles (</w:t>
      </w:r>
      <w:proofErr w:type="spellStart"/>
      <w:r w:rsidRPr="00431AB7">
        <w:rPr>
          <w:rFonts w:cs="Arial"/>
          <w:i/>
        </w:rPr>
        <w:t>Procapra</w:t>
      </w:r>
      <w:proofErr w:type="spellEnd"/>
      <w:r w:rsidRPr="00431AB7">
        <w:rPr>
          <w:rFonts w:cs="Arial"/>
          <w:i/>
        </w:rPr>
        <w:t xml:space="preserve"> </w:t>
      </w:r>
      <w:proofErr w:type="spellStart"/>
      <w:r w:rsidRPr="00431AB7">
        <w:rPr>
          <w:rFonts w:cs="Arial"/>
          <w:i/>
        </w:rPr>
        <w:t>gutturosa</w:t>
      </w:r>
      <w:proofErr w:type="spellEnd"/>
      <w:r w:rsidRPr="00431AB7">
        <w:rPr>
          <w:rFonts w:cs="Arial"/>
        </w:rPr>
        <w:t>), Saiga Antelopes (</w:t>
      </w:r>
      <w:r w:rsidRPr="00431AB7">
        <w:rPr>
          <w:rFonts w:cs="Arial"/>
          <w:i/>
        </w:rPr>
        <w:t xml:space="preserve">Saiga </w:t>
      </w:r>
      <w:proofErr w:type="spellStart"/>
      <w:r w:rsidRPr="00431AB7">
        <w:rPr>
          <w:rFonts w:cs="Arial"/>
          <w:i/>
        </w:rPr>
        <w:t>tatarica</w:t>
      </w:r>
      <w:proofErr w:type="spellEnd"/>
      <w:r w:rsidRPr="00431AB7">
        <w:rPr>
          <w:rFonts w:cs="Arial"/>
        </w:rPr>
        <w:t>) and Blue Wildebeest (</w:t>
      </w:r>
      <w:proofErr w:type="spellStart"/>
      <w:r w:rsidRPr="00431AB7">
        <w:rPr>
          <w:rFonts w:cs="Arial"/>
          <w:i/>
        </w:rPr>
        <w:t>Connochaetes</w:t>
      </w:r>
      <w:proofErr w:type="spellEnd"/>
      <w:r w:rsidRPr="00431AB7">
        <w:rPr>
          <w:rFonts w:cs="Arial"/>
          <w:i/>
        </w:rPr>
        <w:t xml:space="preserve"> </w:t>
      </w:r>
      <w:proofErr w:type="spellStart"/>
      <w:r w:rsidRPr="00431AB7">
        <w:rPr>
          <w:rFonts w:cs="Arial"/>
          <w:i/>
        </w:rPr>
        <w:t>taurinus</w:t>
      </w:r>
      <w:proofErr w:type="spellEnd"/>
      <w:r w:rsidRPr="00431AB7">
        <w:rPr>
          <w:rFonts w:cs="Arial"/>
        </w:rPr>
        <w:t>). In these regions, rapidly expanding fence networks and newly constructed transportation corridors increasingly disrupt migratory paths, sometimes truncating entire migrations (</w:t>
      </w:r>
      <w:r w:rsidRPr="00431AB7">
        <w:rPr>
          <w:rFonts w:cs="Arial"/>
          <w:b/>
        </w:rPr>
        <w:t>Figure 4.1</w:t>
      </w:r>
      <w:r w:rsidRPr="00431AB7">
        <w:rPr>
          <w:rFonts w:cs="Arial"/>
        </w:rPr>
        <w:t xml:space="preserve">). Often, construction occurs before biologists and planners have adequate maps of the population’s migratory pathways. </w:t>
      </w:r>
    </w:p>
    <w:p w14:paraId="194AB6F1" w14:textId="77777777" w:rsidR="003434EF" w:rsidRPr="00431AB7" w:rsidRDefault="003434EF" w:rsidP="00431AB7">
      <w:pPr>
        <w:spacing w:after="0" w:line="240" w:lineRule="auto"/>
        <w:jc w:val="both"/>
        <w:rPr>
          <w:rFonts w:cs="Arial"/>
        </w:rPr>
      </w:pPr>
    </w:p>
    <w:p w14:paraId="111396EE" w14:textId="77777777" w:rsidR="002D72AD" w:rsidRPr="00431AB7" w:rsidRDefault="00C82977" w:rsidP="00431AB7">
      <w:pPr>
        <w:spacing w:after="0" w:line="240" w:lineRule="auto"/>
        <w:jc w:val="both"/>
        <w:rPr>
          <w:rFonts w:cs="Arial"/>
        </w:rPr>
      </w:pPr>
      <w:r w:rsidRPr="00431AB7">
        <w:rPr>
          <w:rFonts w:cs="Arial"/>
          <w:noProof/>
        </w:rPr>
        <w:drawing>
          <wp:inline distT="0" distB="0" distL="0" distR="0" wp14:anchorId="327B712A" wp14:editId="23985010">
            <wp:extent cx="5731510" cy="3820160"/>
            <wp:effectExtent l="0" t="0" r="2540" b="8890"/>
            <wp:docPr id="1613381904" name="Picture 3" descr="A map of the eastern part of kazakhsta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381904" name="Picture 3" descr="A map of the eastern part of kazakhstan&#10;&#10;AI-generated content may be incorrect."/>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31510" cy="3820160"/>
                    </a:xfrm>
                    <a:prstGeom prst="rect">
                      <a:avLst/>
                    </a:prstGeom>
                    <a:noFill/>
                    <a:ln>
                      <a:noFill/>
                    </a:ln>
                  </pic:spPr>
                </pic:pic>
              </a:graphicData>
            </a:graphic>
          </wp:inline>
        </w:drawing>
      </w:r>
    </w:p>
    <w:p w14:paraId="09D0C5F8" w14:textId="77777777" w:rsidR="003434EF" w:rsidRDefault="003434EF" w:rsidP="00431AB7">
      <w:pPr>
        <w:spacing w:after="0" w:line="240" w:lineRule="auto"/>
        <w:jc w:val="both"/>
        <w:rPr>
          <w:rFonts w:cs="Arial"/>
          <w:b/>
        </w:rPr>
      </w:pPr>
    </w:p>
    <w:p w14:paraId="3791D57E" w14:textId="6258F58B" w:rsidR="002D72AD" w:rsidRPr="00FD533B" w:rsidRDefault="002D72AD" w:rsidP="00431AB7">
      <w:pPr>
        <w:spacing w:after="0" w:line="240" w:lineRule="auto"/>
        <w:jc w:val="both"/>
        <w:rPr>
          <w:rFonts w:cs="Arial"/>
          <w:sz w:val="20"/>
          <w:szCs w:val="20"/>
        </w:rPr>
      </w:pPr>
      <w:r w:rsidRPr="00FD533B">
        <w:rPr>
          <w:rFonts w:cs="Arial"/>
          <w:b/>
          <w:sz w:val="20"/>
          <w:szCs w:val="20"/>
        </w:rPr>
        <w:t xml:space="preserve">Figure 4.1: </w:t>
      </w:r>
      <w:r w:rsidRPr="00FD533B">
        <w:rPr>
          <w:rFonts w:cs="Arial"/>
          <w:sz w:val="20"/>
          <w:szCs w:val="20"/>
        </w:rPr>
        <w:t xml:space="preserve">Movement data collected before and after the construction of a new railway in the </w:t>
      </w:r>
      <w:proofErr w:type="spellStart"/>
      <w:r w:rsidRPr="00FD533B">
        <w:rPr>
          <w:rFonts w:cs="Arial"/>
          <w:sz w:val="20"/>
          <w:szCs w:val="20"/>
        </w:rPr>
        <w:t>Ustyurt</w:t>
      </w:r>
      <w:proofErr w:type="spellEnd"/>
      <w:r w:rsidRPr="00FD533B">
        <w:rPr>
          <w:rFonts w:cs="Arial"/>
          <w:sz w:val="20"/>
          <w:szCs w:val="20"/>
        </w:rPr>
        <w:t xml:space="preserve"> Saiga Antelope (</w:t>
      </w:r>
      <w:r w:rsidRPr="00FD533B">
        <w:rPr>
          <w:rFonts w:cs="Arial"/>
          <w:i/>
          <w:sz w:val="20"/>
          <w:szCs w:val="20"/>
        </w:rPr>
        <w:t xml:space="preserve">Saiga </w:t>
      </w:r>
      <w:proofErr w:type="spellStart"/>
      <w:r w:rsidRPr="00FD533B">
        <w:rPr>
          <w:rFonts w:cs="Arial"/>
          <w:i/>
          <w:sz w:val="20"/>
          <w:szCs w:val="20"/>
        </w:rPr>
        <w:t>tatarica</w:t>
      </w:r>
      <w:proofErr w:type="spellEnd"/>
      <w:r w:rsidRPr="00FD533B">
        <w:rPr>
          <w:rFonts w:cs="Arial"/>
          <w:sz w:val="20"/>
          <w:szCs w:val="20"/>
        </w:rPr>
        <w:t xml:space="preserve">) population’s range shows the dramatic effect linear infrastructure can have on the CMS Appendix II-listed Saiga’s ability to move freely across the extent of their migratory range. After construction (purple tracks), saigas no longer cross the border to Uzbekistan and access the protected area to the south, which previously provided critical winter habitat (orange tracks). Map credit: </w:t>
      </w:r>
      <w:proofErr w:type="spellStart"/>
      <w:r w:rsidRPr="00FD533B">
        <w:rPr>
          <w:rFonts w:cs="Arial"/>
          <w:sz w:val="20"/>
          <w:szCs w:val="20"/>
        </w:rPr>
        <w:t>Salemgareyev</w:t>
      </w:r>
      <w:proofErr w:type="spellEnd"/>
      <w:r w:rsidRPr="00FD533B">
        <w:rPr>
          <w:rFonts w:cs="Arial"/>
          <w:sz w:val="20"/>
          <w:szCs w:val="20"/>
        </w:rPr>
        <w:t xml:space="preserve">, A. &amp; S. Zuther. 2024. Saiga Antelope: </w:t>
      </w:r>
      <w:proofErr w:type="spellStart"/>
      <w:r w:rsidRPr="00FD533B">
        <w:rPr>
          <w:rFonts w:cs="Arial"/>
          <w:sz w:val="20"/>
          <w:szCs w:val="20"/>
        </w:rPr>
        <w:t>Ustyurt</w:t>
      </w:r>
      <w:proofErr w:type="spellEnd"/>
      <w:r w:rsidRPr="00FD533B">
        <w:rPr>
          <w:rFonts w:cs="Arial"/>
          <w:sz w:val="20"/>
          <w:szCs w:val="20"/>
        </w:rPr>
        <w:t xml:space="preserve">, Kazakhstan. Global Initiative on Ungulate Migration, editors. Atlas of Ungulate Migration. Convention on the Conservation of Migratory Species of Wild Animals. </w:t>
      </w:r>
    </w:p>
    <w:p w14:paraId="7D7BD3E2" w14:textId="77777777" w:rsidR="00FD533B" w:rsidRPr="00431AB7" w:rsidRDefault="00FD533B" w:rsidP="00431AB7">
      <w:pPr>
        <w:spacing w:after="0" w:line="240" w:lineRule="auto"/>
        <w:jc w:val="both"/>
        <w:rPr>
          <w:rFonts w:cs="Arial"/>
          <w:i/>
        </w:rPr>
      </w:pPr>
    </w:p>
    <w:p w14:paraId="70B822FB" w14:textId="77777777" w:rsidR="002D72AD" w:rsidRPr="00431AB7" w:rsidRDefault="002D72AD" w:rsidP="00431AB7">
      <w:pPr>
        <w:spacing w:after="0" w:line="240" w:lineRule="auto"/>
        <w:jc w:val="both"/>
        <w:rPr>
          <w:rFonts w:cs="Arial"/>
        </w:rPr>
      </w:pPr>
      <w:r w:rsidRPr="00431AB7">
        <w:rPr>
          <w:rFonts w:cs="Arial"/>
        </w:rPr>
        <w:t>The Atlas of Ungulate Migrations equips conservationists, land managers, and policymakers with the data and tools needed to prioritize landscape connectivity and plan infrastructure with migratory wildlife in mind. It provides visuals of migration routes in addition to actionable threat assessments so that future development can safeguard the hoofed migrations that underpin global biodiversity.</w:t>
      </w:r>
    </w:p>
    <w:p w14:paraId="6322D9B6" w14:textId="77777777" w:rsidR="002D72AD" w:rsidRPr="00FD533B" w:rsidRDefault="002D72AD" w:rsidP="00FD533B">
      <w:pPr>
        <w:spacing w:after="0" w:line="240" w:lineRule="auto"/>
        <w:jc w:val="both"/>
        <w:rPr>
          <w:rFonts w:cs="Arial"/>
          <w:i/>
        </w:rPr>
      </w:pPr>
    </w:p>
    <w:p w14:paraId="4B0715ED" w14:textId="77777777" w:rsidR="002D72AD" w:rsidRPr="00FD533B" w:rsidRDefault="002D72AD" w:rsidP="00FD533B">
      <w:pPr>
        <w:spacing w:after="0" w:line="240" w:lineRule="auto"/>
        <w:jc w:val="both"/>
        <w:rPr>
          <w:rFonts w:cs="Arial"/>
          <w:b/>
        </w:rPr>
      </w:pPr>
      <w:r w:rsidRPr="00FD533B">
        <w:rPr>
          <w:rFonts w:cs="Arial"/>
          <w:b/>
        </w:rPr>
        <w:t>Advancing our understanding of marine migratory connectivity</w:t>
      </w:r>
    </w:p>
    <w:p w14:paraId="0BDCF4F7" w14:textId="77777777" w:rsidR="00FD533B" w:rsidRPr="00FD533B" w:rsidRDefault="00FD533B" w:rsidP="00FD533B">
      <w:pPr>
        <w:spacing w:after="0" w:line="240" w:lineRule="auto"/>
        <w:jc w:val="both"/>
        <w:rPr>
          <w:rFonts w:cs="Arial"/>
          <w:b/>
        </w:rPr>
      </w:pPr>
    </w:p>
    <w:p w14:paraId="69E0F3C5" w14:textId="77777777" w:rsidR="002D72AD" w:rsidRDefault="002D72AD" w:rsidP="00FD533B">
      <w:pPr>
        <w:spacing w:after="0" w:line="240" w:lineRule="auto"/>
        <w:jc w:val="both"/>
        <w:rPr>
          <w:rFonts w:cs="Arial"/>
          <w:i/>
        </w:rPr>
      </w:pPr>
      <w:r w:rsidRPr="00FD533B">
        <w:rPr>
          <w:rFonts w:cs="Arial"/>
        </w:rPr>
        <w:t xml:space="preserve">Contribution by: Angela Liu, Lily Bentley and Daniel Dunn – </w:t>
      </w:r>
      <w:r w:rsidRPr="00FD533B">
        <w:rPr>
          <w:rFonts w:cs="Arial"/>
          <w:i/>
        </w:rPr>
        <w:t>University of Queensland</w:t>
      </w:r>
    </w:p>
    <w:p w14:paraId="59B174A4" w14:textId="77777777" w:rsidR="00FD533B" w:rsidRPr="00FD533B" w:rsidRDefault="00FD533B" w:rsidP="00FD533B">
      <w:pPr>
        <w:spacing w:after="0" w:line="240" w:lineRule="auto"/>
        <w:jc w:val="both"/>
        <w:rPr>
          <w:rFonts w:cs="Arial"/>
        </w:rPr>
      </w:pPr>
    </w:p>
    <w:p w14:paraId="75F4C220" w14:textId="77777777" w:rsidR="002D72AD" w:rsidRDefault="002D72AD" w:rsidP="00FD533B">
      <w:pPr>
        <w:spacing w:after="0" w:line="240" w:lineRule="auto"/>
        <w:jc w:val="both"/>
        <w:rPr>
          <w:rFonts w:cs="Arial"/>
        </w:rPr>
      </w:pPr>
      <w:r w:rsidRPr="00FD533B">
        <w:rPr>
          <w:rFonts w:cs="Arial"/>
        </w:rPr>
        <w:t>The Migratory Connectivity in the Ocean system (</w:t>
      </w:r>
      <w:proofErr w:type="spellStart"/>
      <w:r w:rsidRPr="00FD533B">
        <w:rPr>
          <w:rFonts w:cs="Arial"/>
        </w:rPr>
        <w:fldChar w:fldCharType="begin"/>
      </w:r>
      <w:r w:rsidRPr="00FD533B">
        <w:rPr>
          <w:rFonts w:cs="Arial"/>
        </w:rPr>
        <w:instrText>HYPERLINK "https://mico.eco/system"</w:instrText>
      </w:r>
      <w:r w:rsidRPr="00FD533B">
        <w:rPr>
          <w:rFonts w:cs="Arial"/>
        </w:rPr>
      </w:r>
      <w:r w:rsidRPr="00FD533B">
        <w:rPr>
          <w:rFonts w:cs="Arial"/>
        </w:rPr>
        <w:fldChar w:fldCharType="separate"/>
      </w:r>
      <w:r w:rsidRPr="00FD533B">
        <w:rPr>
          <w:rStyle w:val="Hyperlink"/>
          <w:rFonts w:cs="Arial"/>
        </w:rPr>
        <w:t>MiCO</w:t>
      </w:r>
      <w:proofErr w:type="spellEnd"/>
      <w:r w:rsidRPr="00FD533B">
        <w:rPr>
          <w:rFonts w:cs="Arial"/>
        </w:rPr>
        <w:fldChar w:fldCharType="end"/>
      </w:r>
      <w:r w:rsidRPr="00FD533B">
        <w:rPr>
          <w:rFonts w:cs="Arial"/>
        </w:rPr>
        <w:t xml:space="preserve">) is an open-access online system that describes information on migratory connectivity for over 100 CMS-listed marine species. It represents a critical effort to synthesize and translate the growing amounts of published marine tracking data into actionable knowledge for policymakers. Built from a systematic </w:t>
      </w:r>
      <w:r w:rsidRPr="00FD533B">
        <w:rPr>
          <w:rFonts w:cs="Arial"/>
        </w:rPr>
        <w:lastRenderedPageBreak/>
        <w:t xml:space="preserve">literature review containing over 1,200 published articles, </w:t>
      </w:r>
      <w:proofErr w:type="spellStart"/>
      <w:r w:rsidRPr="00FD533B">
        <w:rPr>
          <w:rFonts w:cs="Arial"/>
        </w:rPr>
        <w:t>MiCO</w:t>
      </w:r>
      <w:proofErr w:type="spellEnd"/>
      <w:r w:rsidRPr="00FD533B">
        <w:rPr>
          <w:rFonts w:cs="Arial"/>
        </w:rPr>
        <w:t xml:space="preserve"> aggregates movement data into key "</w:t>
      </w:r>
      <w:proofErr w:type="spellStart"/>
      <w:r w:rsidRPr="00FD533B">
        <w:rPr>
          <w:rFonts w:cs="Arial"/>
        </w:rPr>
        <w:t>metasites</w:t>
      </w:r>
      <w:proofErr w:type="spellEnd"/>
      <w:r w:rsidRPr="00FD533B">
        <w:rPr>
          <w:rFonts w:cs="Arial"/>
        </w:rPr>
        <w:t xml:space="preserve">" that delineate breeding, foraging, nesting, or migrating areas. The connections between these </w:t>
      </w:r>
      <w:proofErr w:type="spellStart"/>
      <w:r w:rsidRPr="00FD533B">
        <w:rPr>
          <w:rFonts w:cs="Arial"/>
        </w:rPr>
        <w:t>metasites</w:t>
      </w:r>
      <w:proofErr w:type="spellEnd"/>
      <w:r w:rsidRPr="00FD533B">
        <w:rPr>
          <w:rFonts w:cs="Arial"/>
        </w:rPr>
        <w:t xml:space="preserve"> are represented as interactive networks in the online system (</w:t>
      </w:r>
      <w:r w:rsidRPr="00FD533B">
        <w:rPr>
          <w:rFonts w:cs="Arial"/>
          <w:b/>
        </w:rPr>
        <w:t>Figure 4.2</w:t>
      </w:r>
      <w:r w:rsidRPr="00FD533B">
        <w:rPr>
          <w:rFonts w:cs="Arial"/>
        </w:rPr>
        <w:t xml:space="preserve">), displayed alongside information on global species distribution, age, activity, and sex ratio within the </w:t>
      </w:r>
      <w:proofErr w:type="spellStart"/>
      <w:r w:rsidRPr="00FD533B">
        <w:rPr>
          <w:rFonts w:cs="Arial"/>
        </w:rPr>
        <w:t>metasites</w:t>
      </w:r>
      <w:proofErr w:type="spellEnd"/>
      <w:r w:rsidRPr="00FD533B">
        <w:rPr>
          <w:rFonts w:cs="Arial"/>
        </w:rPr>
        <w:t xml:space="preserve">, and for some species, core use areas from tracking data. A recent </w:t>
      </w:r>
      <w:hyperlink r:id="rId84" w:history="1">
        <w:r w:rsidRPr="00FD533B">
          <w:rPr>
            <w:rStyle w:val="Hyperlink"/>
            <w:rFonts w:cs="Arial"/>
          </w:rPr>
          <w:t>Nature Communications</w:t>
        </w:r>
      </w:hyperlink>
      <w:r w:rsidRPr="00FD533B">
        <w:rPr>
          <w:rFonts w:cs="Arial"/>
        </w:rPr>
        <w:t xml:space="preserve"> article summarizing the database highlights that on average, countries were connected to around 28 other national territories or to areas beyond national jurisdiction by migratory marine species, demonstrating the extensive transboundary nature of marine migrations, and the importance of transboundary cooperation in the management of these species</w:t>
      </w:r>
      <w:r w:rsidRPr="00FD533B">
        <w:rPr>
          <w:rFonts w:cs="Arial"/>
          <w:vertAlign w:val="superscript"/>
        </w:rPr>
        <w:t>12</w:t>
      </w:r>
      <w:r w:rsidRPr="00FD533B">
        <w:rPr>
          <w:rFonts w:cs="Arial"/>
        </w:rPr>
        <w:t>.</w:t>
      </w:r>
    </w:p>
    <w:p w14:paraId="4777B357" w14:textId="77777777" w:rsidR="00130DE1" w:rsidRPr="00FD533B" w:rsidRDefault="00130DE1" w:rsidP="00FD533B">
      <w:pPr>
        <w:spacing w:after="0" w:line="240" w:lineRule="auto"/>
        <w:jc w:val="both"/>
        <w:rPr>
          <w:rFonts w:cs="Arial"/>
        </w:rPr>
      </w:pPr>
    </w:p>
    <w:p w14:paraId="49C8459A" w14:textId="77777777" w:rsidR="002D72AD" w:rsidRPr="00FD533B" w:rsidRDefault="00C82977" w:rsidP="00FD533B">
      <w:pPr>
        <w:spacing w:after="0" w:line="240" w:lineRule="auto"/>
        <w:jc w:val="both"/>
        <w:rPr>
          <w:rFonts w:cs="Arial"/>
          <w:b/>
        </w:rPr>
      </w:pPr>
      <w:r w:rsidRPr="00FD533B">
        <w:rPr>
          <w:rFonts w:cs="Arial"/>
          <w:i/>
          <w:noProof/>
        </w:rPr>
        <w:drawing>
          <wp:inline distT="114300" distB="114300" distL="114300" distR="114300" wp14:anchorId="5B57AC36" wp14:editId="25444B75">
            <wp:extent cx="5730903" cy="3642360"/>
            <wp:effectExtent l="0" t="0" r="3175" b="0"/>
            <wp:docPr id="387832638" name="image1.png" descr="A map of the world&#10;&#10;AI-generated content may be incorrect."/>
            <wp:cNvGraphicFramePr/>
            <a:graphic xmlns:a="http://schemas.openxmlformats.org/drawingml/2006/main">
              <a:graphicData uri="http://schemas.openxmlformats.org/drawingml/2006/picture">
                <pic:pic xmlns:pic="http://schemas.openxmlformats.org/drawingml/2006/picture">
                  <pic:nvPicPr>
                    <pic:cNvPr id="387832638" name="image1.png" descr="A map of the world&#10;&#10;AI-generated content may be incorrect."/>
                    <pic:cNvPicPr preferRelativeResize="0"/>
                  </pic:nvPicPr>
                  <pic:blipFill rotWithShape="1">
                    <a:blip r:embed="rId85"/>
                    <a:srcRect t="521"/>
                    <a:stretch/>
                  </pic:blipFill>
                  <pic:spPr bwMode="auto">
                    <a:xfrm>
                      <a:off x="0" y="0"/>
                      <a:ext cx="5731510" cy="3642746"/>
                    </a:xfrm>
                    <a:prstGeom prst="rect">
                      <a:avLst/>
                    </a:prstGeom>
                    <a:ln>
                      <a:noFill/>
                    </a:ln>
                    <a:extLst>
                      <a:ext uri="{53640926-AAD7-44D8-BBD7-CCE9431645EC}">
                        <a14:shadowObscured xmlns:a14="http://schemas.microsoft.com/office/drawing/2010/main"/>
                      </a:ext>
                    </a:extLst>
                  </pic:spPr>
                </pic:pic>
              </a:graphicData>
            </a:graphic>
          </wp:inline>
        </w:drawing>
      </w:r>
    </w:p>
    <w:p w14:paraId="23230814" w14:textId="77777777" w:rsidR="002D72AD" w:rsidRPr="00DC2523" w:rsidRDefault="002D72AD" w:rsidP="00FD533B">
      <w:pPr>
        <w:spacing w:after="0" w:line="240" w:lineRule="auto"/>
        <w:jc w:val="both"/>
        <w:rPr>
          <w:rFonts w:cs="Arial"/>
          <w:sz w:val="20"/>
          <w:szCs w:val="20"/>
        </w:rPr>
      </w:pPr>
      <w:r w:rsidRPr="00DC2523">
        <w:rPr>
          <w:rFonts w:cs="Arial"/>
          <w:b/>
          <w:sz w:val="20"/>
          <w:szCs w:val="20"/>
        </w:rPr>
        <w:t>Figure 4.2:</w:t>
      </w:r>
      <w:r w:rsidRPr="00DC2523">
        <w:rPr>
          <w:rFonts w:cs="Arial"/>
          <w:sz w:val="20"/>
          <w:szCs w:val="20"/>
        </w:rPr>
        <w:t xml:space="preserve"> Migratory connections for the Arctic tern (</w:t>
      </w:r>
      <w:r w:rsidRPr="00DC2523">
        <w:rPr>
          <w:rFonts w:cs="Arial"/>
          <w:i/>
          <w:sz w:val="20"/>
          <w:szCs w:val="20"/>
        </w:rPr>
        <w:t xml:space="preserve">Sterna </w:t>
      </w:r>
      <w:proofErr w:type="spellStart"/>
      <w:r w:rsidRPr="00DC2523">
        <w:rPr>
          <w:rFonts w:cs="Arial"/>
          <w:i/>
          <w:sz w:val="20"/>
          <w:szCs w:val="20"/>
        </w:rPr>
        <w:t>paradisaea</w:t>
      </w:r>
      <w:proofErr w:type="spellEnd"/>
      <w:r w:rsidRPr="00DC2523">
        <w:rPr>
          <w:rFonts w:cs="Arial"/>
          <w:sz w:val="20"/>
          <w:szCs w:val="20"/>
        </w:rPr>
        <w:t xml:space="preserve">) in </w:t>
      </w:r>
      <w:proofErr w:type="spellStart"/>
      <w:r w:rsidRPr="00DC2523">
        <w:rPr>
          <w:rFonts w:cs="Arial"/>
          <w:sz w:val="20"/>
          <w:szCs w:val="20"/>
        </w:rPr>
        <w:t>MiCO</w:t>
      </w:r>
      <w:proofErr w:type="spellEnd"/>
      <w:r w:rsidRPr="00DC2523">
        <w:rPr>
          <w:rFonts w:cs="Arial"/>
          <w:sz w:val="20"/>
          <w:szCs w:val="20"/>
        </w:rPr>
        <w:t>.</w:t>
      </w:r>
    </w:p>
    <w:p w14:paraId="54348AC4" w14:textId="77777777" w:rsidR="00130DE1" w:rsidRPr="00FD533B" w:rsidRDefault="00130DE1" w:rsidP="00FD533B">
      <w:pPr>
        <w:spacing w:after="0" w:line="240" w:lineRule="auto"/>
        <w:jc w:val="both"/>
        <w:rPr>
          <w:rFonts w:cs="Arial"/>
        </w:rPr>
      </w:pPr>
    </w:p>
    <w:p w14:paraId="11F9A6A8" w14:textId="77777777" w:rsidR="002D72AD" w:rsidRPr="00FD533B" w:rsidRDefault="002D72AD" w:rsidP="00FD533B">
      <w:pPr>
        <w:spacing w:after="0" w:line="240" w:lineRule="auto"/>
        <w:jc w:val="both"/>
        <w:rPr>
          <w:rFonts w:cs="Arial"/>
          <w:b/>
        </w:rPr>
      </w:pPr>
      <w:proofErr w:type="spellStart"/>
      <w:r w:rsidRPr="00FD533B">
        <w:rPr>
          <w:rFonts w:cs="Arial"/>
        </w:rPr>
        <w:t>MiCO</w:t>
      </w:r>
      <w:proofErr w:type="spellEnd"/>
      <w:r w:rsidRPr="00FD533B">
        <w:rPr>
          <w:rFonts w:cs="Arial"/>
        </w:rPr>
        <w:t xml:space="preserve"> was specifically developed to help inform the delivery of a “well-connected” network of marine protected areas to meet Aichi Target 11 and now the Kunming-Montreal Global Biodiversity Framework Target 3. Previously, connectivity among protected areas was calculated as by the distance between them or via models of larval transport. This dataset opens an entirely new way to understand connectivity and calculate connectivity between MPAs – and one that is focused on the species we most frequently seek to protect. Current research aims to leverage </w:t>
      </w:r>
      <w:proofErr w:type="spellStart"/>
      <w:r w:rsidRPr="00FD533B">
        <w:rPr>
          <w:rFonts w:cs="Arial"/>
        </w:rPr>
        <w:t>MiCO</w:t>
      </w:r>
      <w:proofErr w:type="spellEnd"/>
      <w:r w:rsidRPr="00FD533B">
        <w:rPr>
          <w:rFonts w:cs="Arial"/>
        </w:rPr>
        <w:t xml:space="preserve"> alongside important area datasets such as the Key Biodiversity Areas (KBAs), Important Marine Mammal Areas (IMMAs), Important Shark and Ray Areas (ISRAs) and Ecologically and Biologically Significant Marine Areas (EBSAs), to better understand connectivity between these sites, and to provide a framework to understand the state of protection of marine migratory </w:t>
      </w:r>
      <w:proofErr w:type="spellStart"/>
      <w:r w:rsidRPr="00FD533B">
        <w:rPr>
          <w:rFonts w:cs="Arial"/>
        </w:rPr>
        <w:t>megavertebrates</w:t>
      </w:r>
      <w:proofErr w:type="spellEnd"/>
      <w:r w:rsidRPr="00FD533B">
        <w:rPr>
          <w:rFonts w:cs="Arial"/>
        </w:rPr>
        <w:t xml:space="preserve">. Critically, </w:t>
      </w:r>
      <w:proofErr w:type="spellStart"/>
      <w:r w:rsidRPr="00FD533B">
        <w:rPr>
          <w:rFonts w:cs="Arial"/>
        </w:rPr>
        <w:t>MiCO</w:t>
      </w:r>
      <w:proofErr w:type="spellEnd"/>
      <w:r w:rsidRPr="00FD533B">
        <w:rPr>
          <w:rFonts w:cs="Arial"/>
        </w:rPr>
        <w:t xml:space="preserve"> also helps us identify taxonomic and geographic gaps in our knowledge of migratory species’ movements, enabling new research to focus on areas of specific need.</w:t>
      </w:r>
      <w:r w:rsidRPr="00FD533B">
        <w:rPr>
          <w:rFonts w:cs="Arial"/>
          <w:b/>
        </w:rPr>
        <w:t xml:space="preserve"> </w:t>
      </w:r>
    </w:p>
    <w:p w14:paraId="4391C49C" w14:textId="77777777" w:rsidR="00025CFF" w:rsidRDefault="00025CFF" w:rsidP="00FD533B">
      <w:pPr>
        <w:spacing w:after="0" w:line="240" w:lineRule="auto"/>
        <w:jc w:val="both"/>
        <w:rPr>
          <w:rFonts w:cs="Arial"/>
          <w:b/>
          <w:color w:val="003870"/>
        </w:rPr>
      </w:pPr>
      <w:r>
        <w:rPr>
          <w:rFonts w:cs="Arial"/>
          <w:b/>
          <w:color w:val="003870"/>
        </w:rPr>
        <w:br w:type="page"/>
      </w:r>
    </w:p>
    <w:p w14:paraId="618B16AB" w14:textId="0C7A1C06" w:rsidR="002D72AD" w:rsidRPr="00025CFF" w:rsidRDefault="002D72AD" w:rsidP="00025CFF">
      <w:pPr>
        <w:spacing w:after="0" w:line="240" w:lineRule="auto"/>
        <w:jc w:val="both"/>
        <w:rPr>
          <w:rFonts w:cs="Arial"/>
          <w:b/>
        </w:rPr>
      </w:pPr>
      <w:r w:rsidRPr="00025CFF">
        <w:rPr>
          <w:rFonts w:cs="Arial"/>
          <w:b/>
        </w:rPr>
        <w:lastRenderedPageBreak/>
        <w:t>Mapping marine flyways for migratory seabirds</w:t>
      </w:r>
    </w:p>
    <w:p w14:paraId="0F903883" w14:textId="77777777" w:rsidR="00025CFF" w:rsidRPr="00025CFF" w:rsidRDefault="00025CFF" w:rsidP="00025CFF">
      <w:pPr>
        <w:spacing w:after="0" w:line="240" w:lineRule="auto"/>
        <w:jc w:val="both"/>
        <w:rPr>
          <w:rFonts w:cs="Arial"/>
          <w:b/>
        </w:rPr>
      </w:pPr>
    </w:p>
    <w:p w14:paraId="2FF1818D" w14:textId="77777777" w:rsidR="002D72AD" w:rsidRDefault="002D72AD" w:rsidP="00025CFF">
      <w:pPr>
        <w:spacing w:after="0" w:line="240" w:lineRule="auto"/>
        <w:jc w:val="both"/>
        <w:rPr>
          <w:rFonts w:cs="Arial"/>
        </w:rPr>
      </w:pPr>
      <w:r w:rsidRPr="00025CFF">
        <w:rPr>
          <w:rFonts w:cs="Arial"/>
        </w:rPr>
        <w:t xml:space="preserve">The identification of the six major </w:t>
      </w:r>
      <w:hyperlink r:id="rId86" w:history="1">
        <w:r w:rsidRPr="00025CFF">
          <w:rPr>
            <w:rStyle w:val="Hyperlink"/>
            <w:rFonts w:cs="Arial"/>
          </w:rPr>
          <w:t>Marine Flyways</w:t>
        </w:r>
      </w:hyperlink>
      <w:r w:rsidRPr="00025CFF">
        <w:rPr>
          <w:rFonts w:cs="Arial"/>
        </w:rPr>
        <w:t xml:space="preserve"> using tracking data collated in </w:t>
      </w:r>
      <w:proofErr w:type="spellStart"/>
      <w:r w:rsidRPr="00025CFF">
        <w:rPr>
          <w:rFonts w:cs="Arial"/>
        </w:rPr>
        <w:t>BirdLife</w:t>
      </w:r>
      <w:proofErr w:type="spellEnd"/>
      <w:r w:rsidRPr="00025CFF">
        <w:rPr>
          <w:rFonts w:cs="Arial"/>
        </w:rPr>
        <w:t xml:space="preserve"> International’s </w:t>
      </w:r>
      <w:hyperlink r:id="rId87" w:history="1">
        <w:r w:rsidRPr="00025CFF">
          <w:rPr>
            <w:rStyle w:val="Hyperlink"/>
            <w:rFonts w:cs="Arial"/>
          </w:rPr>
          <w:t>Seabird Tracking Database</w:t>
        </w:r>
      </w:hyperlink>
      <w:r w:rsidRPr="00025CFF">
        <w:rPr>
          <w:rStyle w:val="Hyperlink"/>
          <w:rFonts w:cs="Arial"/>
        </w:rPr>
        <w:t xml:space="preserve"> is another significant recent development relevant to migratory connectivity in the marine realm (</w:t>
      </w:r>
      <w:r w:rsidRPr="00025CFF">
        <w:rPr>
          <w:rStyle w:val="Hyperlink"/>
          <w:rFonts w:cs="Arial"/>
          <w:b/>
        </w:rPr>
        <w:t>Figure 4.3</w:t>
      </w:r>
      <w:r w:rsidRPr="00025CFF">
        <w:rPr>
          <w:rStyle w:val="Hyperlink"/>
          <w:rFonts w:cs="Arial"/>
        </w:rPr>
        <w:t>)</w:t>
      </w:r>
      <w:r w:rsidRPr="00025CFF">
        <w:rPr>
          <w:rFonts w:cs="Arial"/>
        </w:rPr>
        <w:t>. These flyways help to illustrate the broad-scale migratory routes followed by multiple seabird species across the world’s oceans</w:t>
      </w:r>
      <w:r w:rsidRPr="00025CFF">
        <w:rPr>
          <w:rFonts w:cs="Arial"/>
          <w:vertAlign w:val="superscript"/>
        </w:rPr>
        <w:t>13</w:t>
      </w:r>
      <w:r w:rsidRPr="00025CFF">
        <w:rPr>
          <w:rFonts w:cs="Arial"/>
        </w:rPr>
        <w:t xml:space="preserve">. A draft Resolution on Seabirds and Marine Flyways will be discussed at CMS COP15 to formally recognize marine flyways and their contribution in strengthening international cooperation for the conservation of seabirds.    </w:t>
      </w:r>
    </w:p>
    <w:p w14:paraId="3ABB7C77" w14:textId="77777777" w:rsidR="00025CFF" w:rsidRPr="00025CFF" w:rsidRDefault="00025CFF" w:rsidP="00025CFF">
      <w:pPr>
        <w:spacing w:after="0" w:line="240" w:lineRule="auto"/>
        <w:jc w:val="both"/>
        <w:rPr>
          <w:rFonts w:cs="Arial"/>
        </w:rPr>
      </w:pPr>
    </w:p>
    <w:p w14:paraId="5F03D97C" w14:textId="77777777" w:rsidR="002D72AD" w:rsidRPr="00025CFF" w:rsidRDefault="00C82977" w:rsidP="00025CFF">
      <w:pPr>
        <w:pStyle w:val="NormalWeb"/>
        <w:spacing w:before="0" w:beforeAutospacing="0" w:after="0" w:afterAutospacing="0"/>
        <w:jc w:val="both"/>
        <w:rPr>
          <w:rFonts w:ascii="Arial" w:hAnsi="Arial" w:cs="Arial"/>
          <w:sz w:val="22"/>
          <w:szCs w:val="22"/>
        </w:rPr>
      </w:pPr>
      <w:r w:rsidRPr="00025CFF">
        <w:rPr>
          <w:rFonts w:ascii="Arial" w:hAnsi="Arial" w:cs="Arial"/>
          <w:noProof/>
          <w:sz w:val="22"/>
          <w:szCs w:val="22"/>
        </w:rPr>
        <w:drawing>
          <wp:inline distT="0" distB="0" distL="0" distR="0" wp14:anchorId="562372B7" wp14:editId="480F9295">
            <wp:extent cx="5731510" cy="3224530"/>
            <wp:effectExtent l="0" t="0" r="2540" b="0"/>
            <wp:docPr id="1053908056" name="Picture 1" descr="A map of the world with different colored sp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908056" name="Picture 1" descr="A map of the world with different colored spots&#10;&#10;AI-generated content may be incorrect."/>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31510" cy="3224530"/>
                    </a:xfrm>
                    <a:prstGeom prst="rect">
                      <a:avLst/>
                    </a:prstGeom>
                    <a:noFill/>
                    <a:ln>
                      <a:noFill/>
                    </a:ln>
                  </pic:spPr>
                </pic:pic>
              </a:graphicData>
            </a:graphic>
          </wp:inline>
        </w:drawing>
      </w:r>
    </w:p>
    <w:p w14:paraId="31BB4D07" w14:textId="77777777" w:rsidR="002D72AD" w:rsidRPr="00025CFF" w:rsidRDefault="002D72AD" w:rsidP="00025CFF">
      <w:pPr>
        <w:pStyle w:val="NormalWeb"/>
        <w:spacing w:before="0" w:beforeAutospacing="0" w:after="0" w:afterAutospacing="0"/>
        <w:jc w:val="both"/>
        <w:rPr>
          <w:rFonts w:ascii="Arial" w:hAnsi="Arial" w:cs="Arial"/>
          <w:b/>
          <w:bCs/>
          <w:sz w:val="20"/>
          <w:szCs w:val="20"/>
        </w:rPr>
      </w:pPr>
      <w:r w:rsidRPr="00025CFF">
        <w:rPr>
          <w:rFonts w:ascii="Arial" w:hAnsi="Arial" w:cs="Arial"/>
          <w:b/>
          <w:sz w:val="20"/>
          <w:szCs w:val="20"/>
        </w:rPr>
        <w:t xml:space="preserve">Figure 4.3: </w:t>
      </w:r>
      <w:r w:rsidRPr="00025CFF">
        <w:rPr>
          <w:rFonts w:ascii="Arial" w:hAnsi="Arial" w:cs="Arial"/>
          <w:sz w:val="20"/>
          <w:szCs w:val="20"/>
        </w:rPr>
        <w:t xml:space="preserve">The six marine flyways across the world's oceans highlighting the repeatable migration of pelagic seabirds. </w:t>
      </w:r>
      <w:r w:rsidRPr="00025CFF">
        <w:rPr>
          <w:rFonts w:ascii="Arial" w:hAnsi="Arial" w:cs="Arial"/>
          <w:i/>
          <w:sz w:val="20"/>
          <w:szCs w:val="20"/>
        </w:rPr>
        <w:t>Image credit</w:t>
      </w:r>
      <w:r w:rsidRPr="00025CFF">
        <w:rPr>
          <w:rFonts w:ascii="Arial" w:hAnsi="Arial" w:cs="Arial"/>
          <w:sz w:val="20"/>
          <w:szCs w:val="20"/>
        </w:rPr>
        <w:t xml:space="preserve">: </w:t>
      </w:r>
      <w:proofErr w:type="spellStart"/>
      <w:r w:rsidRPr="00025CFF">
        <w:rPr>
          <w:rFonts w:ascii="Arial" w:hAnsi="Arial" w:cs="Arial"/>
          <w:sz w:val="20"/>
          <w:szCs w:val="20"/>
        </w:rPr>
        <w:t>BirdLife</w:t>
      </w:r>
      <w:proofErr w:type="spellEnd"/>
      <w:r w:rsidRPr="00025CFF">
        <w:rPr>
          <w:rFonts w:ascii="Arial" w:hAnsi="Arial" w:cs="Arial"/>
          <w:sz w:val="20"/>
          <w:szCs w:val="20"/>
        </w:rPr>
        <w:t xml:space="preserve"> International.</w:t>
      </w:r>
    </w:p>
    <w:p w14:paraId="7986DD5B" w14:textId="77777777" w:rsidR="002D72AD" w:rsidRPr="00025CFF" w:rsidRDefault="002D72AD" w:rsidP="00025CFF">
      <w:pPr>
        <w:spacing w:after="0" w:line="240" w:lineRule="auto"/>
        <w:jc w:val="both"/>
        <w:rPr>
          <w:rFonts w:cs="Arial"/>
          <w:b/>
        </w:rPr>
      </w:pPr>
    </w:p>
    <w:p w14:paraId="45E6E7C4" w14:textId="77777777" w:rsidR="002D72AD" w:rsidRPr="00025CFF" w:rsidRDefault="002D72AD" w:rsidP="00025CFF">
      <w:pPr>
        <w:pStyle w:val="Heading1"/>
        <w:spacing w:before="0" w:line="240" w:lineRule="auto"/>
        <w:jc w:val="both"/>
        <w:rPr>
          <w:rFonts w:ascii="Arial" w:hAnsi="Arial" w:cs="Arial"/>
          <w:b/>
          <w:bCs/>
          <w:color w:val="auto"/>
          <w:sz w:val="22"/>
          <w:szCs w:val="22"/>
        </w:rPr>
      </w:pPr>
      <w:r>
        <w:rPr>
          <w:rFonts w:ascii="Roboto" w:hAnsi="Roboto"/>
          <w:b/>
          <w:color w:val="003870"/>
        </w:rPr>
        <w:br w:type="page"/>
      </w:r>
      <w:bookmarkStart w:id="8" w:name="_Toc210914224"/>
      <w:r w:rsidRPr="00025CFF">
        <w:rPr>
          <w:rFonts w:ascii="Arial" w:hAnsi="Arial" w:cs="Arial"/>
          <w:b/>
          <w:bCs/>
          <w:color w:val="auto"/>
          <w:sz w:val="22"/>
          <w:szCs w:val="22"/>
        </w:rPr>
        <w:lastRenderedPageBreak/>
        <w:t>Conclusion</w:t>
      </w:r>
      <w:bookmarkEnd w:id="8"/>
    </w:p>
    <w:p w14:paraId="2D81BA85" w14:textId="77777777" w:rsidR="00025CFF" w:rsidRPr="00025CFF" w:rsidRDefault="00025CFF" w:rsidP="00025CFF">
      <w:pPr>
        <w:spacing w:after="0" w:line="240" w:lineRule="auto"/>
      </w:pPr>
    </w:p>
    <w:p w14:paraId="46561FD9" w14:textId="77777777" w:rsidR="002D72AD" w:rsidRDefault="002D72AD" w:rsidP="00025CFF">
      <w:pPr>
        <w:spacing w:after="0" w:line="240" w:lineRule="auto"/>
        <w:jc w:val="both"/>
        <w:rPr>
          <w:rFonts w:cs="Arial"/>
        </w:rPr>
      </w:pPr>
      <w:r w:rsidRPr="00025CFF">
        <w:rPr>
          <w:rFonts w:cs="Arial"/>
        </w:rPr>
        <w:t xml:space="preserve">The first </w:t>
      </w:r>
      <w:hyperlink r:id="rId89" w:history="1">
        <w:r w:rsidRPr="00025CFF">
          <w:rPr>
            <w:rStyle w:val="Hyperlink"/>
            <w:rFonts w:cs="Arial"/>
            <w:i/>
          </w:rPr>
          <w:t>State of the World’s Migratory Species</w:t>
        </w:r>
      </w:hyperlink>
      <w:r w:rsidRPr="00025CFF">
        <w:rPr>
          <w:rFonts w:cs="Arial"/>
        </w:rPr>
        <w:t xml:space="preserve">, launched at CMS COP14 in February 2024, revealed that CMS-listed species face escalating levels of extinction risk, with more species’ global populations deteriorating than improving between 1988 and 2020. Levels of extinction risk also increased among the wider group of all migratory species, which includes many globally threatened species not listed in the CMS Appendices. The first </w:t>
      </w:r>
      <w:r w:rsidRPr="00025CFF">
        <w:rPr>
          <w:rFonts w:cs="Arial"/>
          <w:i/>
        </w:rPr>
        <w:t xml:space="preserve">State of the World’s Migratory Species </w:t>
      </w:r>
      <w:r w:rsidRPr="00025CFF">
        <w:rPr>
          <w:rFonts w:cs="Arial"/>
        </w:rPr>
        <w:t>also found that 22% of CMS-listed species were globally threatened and 44% were undergoing global population declines, a greater proportion than those with stable (31%) or increasing (12%) population trends. By analysing a more recent version of the IUCN Red List, which included multiple new assessments for CMS-listed species, this interim report finds that 24% of CMS-listed species are now threatened with extinction, and 49% have decreasing population trends.</w:t>
      </w:r>
    </w:p>
    <w:p w14:paraId="2EF1C1C6" w14:textId="77777777" w:rsidR="00025CFF" w:rsidRPr="00025CFF" w:rsidRDefault="00025CFF" w:rsidP="00025CFF">
      <w:pPr>
        <w:spacing w:after="0" w:line="240" w:lineRule="auto"/>
        <w:jc w:val="both"/>
        <w:rPr>
          <w:rFonts w:cs="Arial"/>
        </w:rPr>
      </w:pPr>
    </w:p>
    <w:p w14:paraId="711092E8" w14:textId="77777777" w:rsidR="002D72AD" w:rsidRDefault="002D72AD" w:rsidP="00025CFF">
      <w:pPr>
        <w:spacing w:after="0" w:line="240" w:lineRule="auto"/>
        <w:jc w:val="both"/>
        <w:rPr>
          <w:rFonts w:cs="Arial"/>
        </w:rPr>
      </w:pPr>
      <w:r w:rsidRPr="00025CFF">
        <w:rPr>
          <w:rFonts w:cs="Arial"/>
        </w:rPr>
        <w:t xml:space="preserve">While not all CMS-listed species have been re-assessed by the IUCN Red List since the first </w:t>
      </w:r>
      <w:r w:rsidRPr="00025CFF">
        <w:rPr>
          <w:rFonts w:cs="Arial"/>
          <w:i/>
        </w:rPr>
        <w:t>State of the World’s Migratory Species</w:t>
      </w:r>
      <w:r w:rsidRPr="00025CFF">
        <w:rPr>
          <w:rFonts w:cs="Arial"/>
        </w:rPr>
        <w:t xml:space="preserve">, twenty-six species have moved to a more threatened IUCN Red List category, and only seven have transitioned to a less threatened category. These statistics underscore the need for urgent conservation action. Although this report includes some inspirational examples of successful conservation efforts, the majority of the recently reported population changes highlighted here are a cause for concern. </w:t>
      </w:r>
    </w:p>
    <w:p w14:paraId="1EA57CE1" w14:textId="77777777" w:rsidR="00025CFF" w:rsidRPr="00025CFF" w:rsidRDefault="00025CFF" w:rsidP="00025CFF">
      <w:pPr>
        <w:spacing w:after="0" w:line="240" w:lineRule="auto"/>
        <w:jc w:val="both"/>
        <w:rPr>
          <w:rFonts w:cs="Arial"/>
        </w:rPr>
      </w:pPr>
    </w:p>
    <w:p w14:paraId="23E0CEA3" w14:textId="77777777" w:rsidR="002D72AD" w:rsidRDefault="002D72AD" w:rsidP="00025CFF">
      <w:pPr>
        <w:spacing w:after="0" w:line="240" w:lineRule="auto"/>
        <w:jc w:val="both"/>
        <w:rPr>
          <w:rFonts w:cs="Arial"/>
        </w:rPr>
      </w:pPr>
      <w:r w:rsidRPr="00025CFF">
        <w:rPr>
          <w:rFonts w:cs="Arial"/>
        </w:rPr>
        <w:t xml:space="preserve">The first </w:t>
      </w:r>
      <w:r w:rsidRPr="00025CFF">
        <w:rPr>
          <w:rFonts w:cs="Arial"/>
          <w:i/>
        </w:rPr>
        <w:t xml:space="preserve">State of the World’s Migratory Species </w:t>
      </w:r>
      <w:r w:rsidRPr="00025CFF">
        <w:rPr>
          <w:rFonts w:cs="Arial"/>
        </w:rPr>
        <w:t xml:space="preserve">demonstrated that, although some important knowledge gaps exist, the anthropogenic pressures facing CMS-listed species are relatively well understood. These pressures include habitat loss and degradation, habitat fragmentation, overexploitation, pollution, climate change and invasive species. The first </w:t>
      </w:r>
      <w:r w:rsidRPr="00025CFF">
        <w:rPr>
          <w:rFonts w:cs="Arial"/>
          <w:i/>
        </w:rPr>
        <w:t xml:space="preserve">State of the World’s Migratory Species </w:t>
      </w:r>
      <w:r w:rsidRPr="00025CFF">
        <w:rPr>
          <w:rFonts w:cs="Arial"/>
        </w:rPr>
        <w:t xml:space="preserve">outlined a clear set of specific recommendations for priority actions that, if implemented at scale, would help to combat these pressures, and ultimately improve the conservation status of migratory species. These recommendations are unchanged and should be acted on with greater urgency. </w:t>
      </w:r>
    </w:p>
    <w:p w14:paraId="23141F33" w14:textId="77777777" w:rsidR="00025CFF" w:rsidRPr="00025CFF" w:rsidRDefault="00025CFF" w:rsidP="00025CFF">
      <w:pPr>
        <w:spacing w:after="0" w:line="240" w:lineRule="auto"/>
        <w:jc w:val="both"/>
        <w:rPr>
          <w:rFonts w:cs="Arial"/>
        </w:rPr>
      </w:pPr>
    </w:p>
    <w:p w14:paraId="0263FC8A" w14:textId="77777777" w:rsidR="002D72AD" w:rsidRDefault="002D72AD" w:rsidP="00025CFF">
      <w:pPr>
        <w:spacing w:after="0" w:line="240" w:lineRule="auto"/>
        <w:jc w:val="both"/>
        <w:rPr>
          <w:rFonts w:cs="Arial"/>
        </w:rPr>
      </w:pPr>
      <w:r w:rsidRPr="00025CFF">
        <w:rPr>
          <w:rFonts w:cs="Arial"/>
        </w:rPr>
        <w:t>In particular, action to protect, connect and restore habitats remains vitally important, if the integrity of the ecological networks and ecosystems that CMS-listed species rely on is to be maintained. While progress has been made in identifying important sites and migratory pathways, survey, monitoring and tracking work is still needed to identify the comprehensive networks of sites and areas used by migratory species globally. The novel insights provided by initiatives dedicated to mapping migratory pathways will play a vital role in improving the evidence base needed to support action.</w:t>
      </w:r>
    </w:p>
    <w:p w14:paraId="0254CBCF" w14:textId="77777777" w:rsidR="00025CFF" w:rsidRPr="00025CFF" w:rsidRDefault="00025CFF" w:rsidP="00025CFF">
      <w:pPr>
        <w:spacing w:after="0" w:line="240" w:lineRule="auto"/>
        <w:jc w:val="both"/>
        <w:rPr>
          <w:rFonts w:cs="Arial"/>
        </w:rPr>
      </w:pPr>
    </w:p>
    <w:p w14:paraId="50DBEBE2" w14:textId="77777777" w:rsidR="002D72AD" w:rsidRPr="00025CFF" w:rsidRDefault="002D72AD" w:rsidP="00025CFF">
      <w:pPr>
        <w:spacing w:after="0" w:line="240" w:lineRule="auto"/>
        <w:jc w:val="both"/>
        <w:rPr>
          <w:rFonts w:cs="Arial"/>
        </w:rPr>
      </w:pPr>
      <w:r w:rsidRPr="00025CFF">
        <w:rPr>
          <w:rFonts w:cs="Arial"/>
        </w:rPr>
        <w:t>Additionally, swift collaborative action is needed to tackle overexploitation, reduce the damaging impacts of environmental pollution, and address the root causes and cross-cutting impacts of climate change. Accelerating progress in all of these areas will secure a better future for CMS-listed species, in line with the vision outlined in the Samarkand Strategic Plan for Migratory Species 2024-2032.</w:t>
      </w:r>
      <w:r w:rsidRPr="00025CFF">
        <w:rPr>
          <w:rFonts w:cs="Arial"/>
          <w:b/>
        </w:rPr>
        <w:br w:type="page"/>
      </w:r>
    </w:p>
    <w:p w14:paraId="1FF52E53" w14:textId="77777777" w:rsidR="002D72AD" w:rsidRDefault="002D72AD" w:rsidP="0048305E">
      <w:pPr>
        <w:pStyle w:val="Heading1"/>
        <w:spacing w:before="0" w:line="240" w:lineRule="auto"/>
        <w:rPr>
          <w:rFonts w:ascii="Arial" w:hAnsi="Arial" w:cs="Arial"/>
          <w:b/>
          <w:color w:val="auto"/>
          <w:sz w:val="22"/>
          <w:szCs w:val="22"/>
        </w:rPr>
      </w:pPr>
      <w:bookmarkStart w:id="9" w:name="_Toc210914225"/>
      <w:r w:rsidRPr="0048305E">
        <w:rPr>
          <w:rFonts w:ascii="Arial" w:hAnsi="Arial" w:cs="Arial"/>
          <w:b/>
          <w:color w:val="auto"/>
          <w:sz w:val="22"/>
          <w:szCs w:val="22"/>
        </w:rPr>
        <w:lastRenderedPageBreak/>
        <w:t>Appendix</w:t>
      </w:r>
      <w:bookmarkEnd w:id="9"/>
    </w:p>
    <w:p w14:paraId="7E7DDA4C" w14:textId="77777777" w:rsidR="0048305E" w:rsidRPr="0048305E" w:rsidRDefault="0048305E" w:rsidP="0048305E">
      <w:pPr>
        <w:spacing w:after="0" w:line="240" w:lineRule="auto"/>
        <w:jc w:val="both"/>
        <w:rPr>
          <w:rFonts w:cs="Arial"/>
        </w:rPr>
      </w:pPr>
    </w:p>
    <w:p w14:paraId="1BFEDBE1" w14:textId="77777777" w:rsidR="002D72AD" w:rsidRDefault="002D72AD" w:rsidP="0048305E">
      <w:pPr>
        <w:spacing w:after="0" w:line="240" w:lineRule="auto"/>
        <w:jc w:val="both"/>
        <w:rPr>
          <w:rFonts w:cs="Arial"/>
          <w:sz w:val="20"/>
          <w:szCs w:val="20"/>
        </w:rPr>
      </w:pPr>
      <w:r w:rsidRPr="0048305E">
        <w:rPr>
          <w:rFonts w:cs="Arial"/>
          <w:b/>
          <w:sz w:val="20"/>
          <w:szCs w:val="20"/>
        </w:rPr>
        <w:t>Table 1:</w:t>
      </w:r>
      <w:r w:rsidRPr="0048305E">
        <w:rPr>
          <w:rFonts w:cs="Arial"/>
          <w:sz w:val="20"/>
          <w:szCs w:val="20"/>
        </w:rPr>
        <w:t xml:space="preserve"> Overview of the 34 CMS-listed species that have been re-categorized by the IUCN Red List, since the analysis conducted for the </w:t>
      </w:r>
      <w:r w:rsidRPr="0048305E">
        <w:rPr>
          <w:rFonts w:cs="Arial"/>
          <w:i/>
          <w:sz w:val="20"/>
          <w:szCs w:val="20"/>
        </w:rPr>
        <w:t xml:space="preserve">State of the World’s Migratory Species </w:t>
      </w:r>
      <w:r w:rsidRPr="0048305E">
        <w:rPr>
          <w:rFonts w:cs="Arial"/>
          <w:sz w:val="20"/>
          <w:szCs w:val="20"/>
        </w:rPr>
        <w:t xml:space="preserve">(incorporating data from IUCN Red List version 2022-2, released 1 April 2022): these include seven positive changes, twenty-six negative changes (orange rows) and one change from Data Deficient to Least Concern (grey row). Globally or regionally threatened species are highlighted in bold. For each species, the table provides information on the change in conservation status and a summary of the rationale for the current IUCN Red List category, as described in the species assessment. Status as of August 2025 (incorporating data from IUCN Red List version 2025-1, released 27 March 2025). </w:t>
      </w:r>
    </w:p>
    <w:p w14:paraId="6EC7E6B4" w14:textId="77777777" w:rsidR="0048305E" w:rsidRPr="0048305E" w:rsidRDefault="0048305E" w:rsidP="0048305E">
      <w:pPr>
        <w:spacing w:after="0" w:line="240" w:lineRule="auto"/>
        <w:jc w:val="both"/>
        <w:rPr>
          <w:rFonts w:cs="Arial"/>
          <w:sz w:val="20"/>
          <w:szCs w:val="20"/>
        </w:rPr>
      </w:pPr>
    </w:p>
    <w:tbl>
      <w:tblPr>
        <w:tblStyle w:val="TableGrid"/>
        <w:tblW w:w="9067" w:type="dxa"/>
        <w:tblInd w:w="0" w:type="dxa"/>
        <w:tblLayout w:type="fixed"/>
        <w:tblLook w:val="04A0" w:firstRow="1" w:lastRow="0" w:firstColumn="1" w:lastColumn="0" w:noHBand="0" w:noVBand="1"/>
      </w:tblPr>
      <w:tblGrid>
        <w:gridCol w:w="2405"/>
        <w:gridCol w:w="680"/>
        <w:gridCol w:w="1814"/>
        <w:gridCol w:w="4168"/>
      </w:tblGrid>
      <w:tr w:rsidR="002D72AD" w:rsidRPr="0048305E" w14:paraId="3056FA4F" w14:textId="77777777" w:rsidTr="009555C6">
        <w:trPr>
          <w:trHeight w:val="871"/>
          <w:tblHeader/>
        </w:trPr>
        <w:tc>
          <w:tcPr>
            <w:tcW w:w="2405" w:type="dxa"/>
            <w:tcBorders>
              <w:left w:val="nil"/>
              <w:right w:val="nil"/>
            </w:tcBorders>
            <w:shd w:val="clear" w:color="auto" w:fill="003870"/>
          </w:tcPr>
          <w:p w14:paraId="1B460348" w14:textId="77777777" w:rsidR="002D72AD" w:rsidRPr="0048305E" w:rsidRDefault="002D72AD" w:rsidP="00ED0994">
            <w:pPr>
              <w:spacing w:before="40" w:after="40"/>
              <w:rPr>
                <w:rFonts w:ascii="Arial" w:hAnsi="Arial"/>
                <w:i/>
                <w:sz w:val="18"/>
                <w:szCs w:val="18"/>
              </w:rPr>
            </w:pPr>
            <w:r w:rsidRPr="0048305E">
              <w:rPr>
                <w:rFonts w:ascii="Arial" w:hAnsi="Arial"/>
                <w:i/>
                <w:sz w:val="18"/>
                <w:szCs w:val="18"/>
              </w:rPr>
              <w:t xml:space="preserve">Scientific name </w:t>
            </w:r>
          </w:p>
          <w:p w14:paraId="67F8B200" w14:textId="77777777" w:rsidR="002D72AD" w:rsidRPr="0048305E" w:rsidRDefault="002D72AD" w:rsidP="00ED0994">
            <w:pPr>
              <w:spacing w:before="40" w:after="40"/>
              <w:rPr>
                <w:rFonts w:ascii="Arial" w:hAnsi="Arial"/>
                <w:i/>
                <w:sz w:val="18"/>
                <w:szCs w:val="18"/>
              </w:rPr>
            </w:pPr>
            <w:r w:rsidRPr="0048305E">
              <w:rPr>
                <w:rFonts w:ascii="Arial" w:hAnsi="Arial"/>
                <w:sz w:val="18"/>
                <w:szCs w:val="18"/>
              </w:rPr>
              <w:t>(Common name)</w:t>
            </w:r>
          </w:p>
        </w:tc>
        <w:tc>
          <w:tcPr>
            <w:tcW w:w="680" w:type="dxa"/>
            <w:tcBorders>
              <w:left w:val="nil"/>
              <w:right w:val="nil"/>
            </w:tcBorders>
            <w:shd w:val="clear" w:color="auto" w:fill="003870"/>
          </w:tcPr>
          <w:p w14:paraId="4AD1A9D4"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CMS App.</w:t>
            </w:r>
          </w:p>
        </w:tc>
        <w:tc>
          <w:tcPr>
            <w:tcW w:w="1814" w:type="dxa"/>
            <w:tcBorders>
              <w:left w:val="nil"/>
              <w:right w:val="nil"/>
            </w:tcBorders>
            <w:shd w:val="clear" w:color="auto" w:fill="003870"/>
          </w:tcPr>
          <w:p w14:paraId="686CFF35"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Change in IUCN Red List category (</w:t>
            </w:r>
            <w:proofErr w:type="spellStart"/>
            <w:r w:rsidRPr="0048305E">
              <w:rPr>
                <w:rFonts w:ascii="Arial" w:hAnsi="Arial"/>
                <w:sz w:val="18"/>
                <w:szCs w:val="18"/>
              </w:rPr>
              <w:t>Popn</w:t>
            </w:r>
            <w:proofErr w:type="spellEnd"/>
            <w:r w:rsidRPr="0048305E">
              <w:rPr>
                <w:rFonts w:ascii="Arial" w:hAnsi="Arial"/>
                <w:sz w:val="18"/>
                <w:szCs w:val="18"/>
              </w:rPr>
              <w:t>. trend)</w:t>
            </w:r>
          </w:p>
        </w:tc>
        <w:tc>
          <w:tcPr>
            <w:tcW w:w="4168" w:type="dxa"/>
            <w:tcBorders>
              <w:left w:val="nil"/>
              <w:right w:val="nil"/>
            </w:tcBorders>
            <w:shd w:val="clear" w:color="auto" w:fill="003870"/>
          </w:tcPr>
          <w:p w14:paraId="38878240"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 xml:space="preserve">Summary of rationale for current IUCN Red List category and major threats </w:t>
            </w:r>
          </w:p>
          <w:p w14:paraId="419C9D9A"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w:t>
            </w:r>
            <w:r w:rsidRPr="0048305E">
              <w:rPr>
                <w:rFonts w:ascii="Arial" w:hAnsi="Arial"/>
                <w:i/>
                <w:sz w:val="18"/>
                <w:szCs w:val="18"/>
              </w:rPr>
              <w:t>all quantitative estimates of population change refer to the past three generations</w:t>
            </w:r>
            <w:r w:rsidRPr="0048305E">
              <w:rPr>
                <w:rFonts w:ascii="Arial" w:hAnsi="Arial"/>
                <w:sz w:val="18"/>
                <w:szCs w:val="18"/>
              </w:rPr>
              <w:t>)</w:t>
            </w:r>
          </w:p>
        </w:tc>
      </w:tr>
      <w:tr w:rsidR="002D72AD" w:rsidRPr="0048305E" w14:paraId="4A33268D" w14:textId="77777777" w:rsidTr="009555C6">
        <w:tc>
          <w:tcPr>
            <w:tcW w:w="9067" w:type="dxa"/>
            <w:gridSpan w:val="4"/>
            <w:tcBorders>
              <w:left w:val="nil"/>
              <w:right w:val="nil"/>
            </w:tcBorders>
            <w:shd w:val="clear" w:color="auto" w:fill="67A2C0"/>
          </w:tcPr>
          <w:p w14:paraId="13CD689E" w14:textId="77777777" w:rsidR="002D72AD" w:rsidRPr="0048305E" w:rsidRDefault="002D72AD" w:rsidP="00ED0994">
            <w:pPr>
              <w:spacing w:before="40" w:after="40"/>
              <w:rPr>
                <w:rFonts w:ascii="Arial" w:hAnsi="Arial"/>
                <w:sz w:val="18"/>
                <w:szCs w:val="18"/>
              </w:rPr>
            </w:pPr>
            <w:r w:rsidRPr="0048305E">
              <w:rPr>
                <w:rFonts w:ascii="Arial" w:hAnsi="Arial"/>
                <w:color w:val="FFFFFF" w:themeColor="background1"/>
                <w:sz w:val="18"/>
                <w:szCs w:val="18"/>
              </w:rPr>
              <w:t>Terrestrial mammals</w:t>
            </w:r>
          </w:p>
        </w:tc>
      </w:tr>
      <w:tr w:rsidR="002D72AD" w:rsidRPr="0048305E" w14:paraId="50E4C155" w14:textId="77777777" w:rsidTr="009555C6">
        <w:tc>
          <w:tcPr>
            <w:tcW w:w="2405" w:type="dxa"/>
            <w:tcBorders>
              <w:left w:val="nil"/>
              <w:right w:val="nil"/>
            </w:tcBorders>
            <w:shd w:val="clear" w:color="auto" w:fill="FBE4D5" w:themeFill="accent2" w:themeFillTint="33"/>
          </w:tcPr>
          <w:p w14:paraId="275ACF0F" w14:textId="77777777" w:rsidR="002D72AD" w:rsidRPr="0048305E" w:rsidRDefault="002D72AD" w:rsidP="00ED0994">
            <w:pPr>
              <w:spacing w:before="40" w:after="40"/>
              <w:rPr>
                <w:rFonts w:ascii="Arial" w:hAnsi="Arial"/>
                <w:b/>
                <w:i/>
                <w:sz w:val="18"/>
                <w:szCs w:val="18"/>
              </w:rPr>
            </w:pPr>
            <w:r w:rsidRPr="0048305E">
              <w:rPr>
                <w:rFonts w:ascii="Arial" w:hAnsi="Arial"/>
                <w:b/>
                <w:i/>
                <w:sz w:val="18"/>
                <w:szCs w:val="18"/>
              </w:rPr>
              <w:t xml:space="preserve">Plecotus </w:t>
            </w:r>
            <w:proofErr w:type="spellStart"/>
            <w:r w:rsidRPr="0048305E">
              <w:rPr>
                <w:rFonts w:ascii="Arial" w:hAnsi="Arial"/>
                <w:b/>
                <w:i/>
                <w:sz w:val="18"/>
                <w:szCs w:val="18"/>
              </w:rPr>
              <w:t>kolombatovici</w:t>
            </w:r>
            <w:proofErr w:type="spellEnd"/>
            <w:r w:rsidRPr="0048305E">
              <w:rPr>
                <w:rFonts w:ascii="Arial" w:hAnsi="Arial"/>
                <w:b/>
                <w:i/>
                <w:sz w:val="18"/>
                <w:szCs w:val="18"/>
              </w:rPr>
              <w:t xml:space="preserve"> </w:t>
            </w:r>
            <w:r w:rsidRPr="0048305E">
              <w:rPr>
                <w:rFonts w:ascii="Arial" w:hAnsi="Arial"/>
                <w:b/>
                <w:sz w:val="18"/>
                <w:szCs w:val="18"/>
              </w:rPr>
              <w:t>(Balkan Long-eared Bat)</w:t>
            </w:r>
          </w:p>
        </w:tc>
        <w:tc>
          <w:tcPr>
            <w:tcW w:w="680" w:type="dxa"/>
            <w:tcBorders>
              <w:left w:val="nil"/>
              <w:right w:val="nil"/>
            </w:tcBorders>
            <w:shd w:val="clear" w:color="auto" w:fill="FBE4D5" w:themeFill="accent2" w:themeFillTint="33"/>
          </w:tcPr>
          <w:p w14:paraId="61C63223"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II</w:t>
            </w:r>
          </w:p>
        </w:tc>
        <w:tc>
          <w:tcPr>
            <w:tcW w:w="1814" w:type="dxa"/>
            <w:tcBorders>
              <w:left w:val="nil"/>
              <w:right w:val="nil"/>
            </w:tcBorders>
            <w:shd w:val="clear" w:color="auto" w:fill="FBE4D5" w:themeFill="accent2" w:themeFillTint="33"/>
          </w:tcPr>
          <w:p w14:paraId="0B7E51B1"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NT (</w:t>
            </w:r>
            <w:r w:rsidRPr="0048305E">
              <w:rPr>
                <w:rFonts w:ascii="Arial" w:hAnsi="Arial"/>
                <w:color w:val="1F1F1F"/>
                <w:sz w:val="18"/>
                <w:szCs w:val="18"/>
                <w:shd w:val="clear" w:color="auto" w:fill="FBE4D5" w:themeFill="accent2" w:themeFillTint="33"/>
              </w:rPr>
              <w:t>↓</w:t>
            </w:r>
            <w:r w:rsidRPr="0048305E">
              <w:rPr>
                <w:rFonts w:ascii="Arial" w:hAnsi="Arial"/>
                <w:sz w:val="18"/>
                <w:szCs w:val="18"/>
                <w:shd w:val="clear" w:color="auto" w:fill="FBE4D5" w:themeFill="accent2" w:themeFillTint="33"/>
              </w:rPr>
              <w:t>)</w:t>
            </w:r>
            <w:r w:rsidRPr="0048305E">
              <w:rPr>
                <w:rFonts w:ascii="Arial" w:hAnsi="Arial"/>
                <w:color w:val="474747"/>
                <w:sz w:val="18"/>
                <w:szCs w:val="18"/>
                <w:shd w:val="clear" w:color="auto" w:fill="FBE4D5" w:themeFill="accent2" w:themeFillTint="33"/>
              </w:rPr>
              <w:t xml:space="preserve">* </w:t>
            </w:r>
            <w:r w:rsidRPr="0048305E">
              <w:rPr>
                <w:rFonts w:ascii="Arial" w:hAnsi="Arial"/>
                <w:color w:val="040C28"/>
                <w:sz w:val="18"/>
                <w:szCs w:val="18"/>
              </w:rPr>
              <w:t>→</w:t>
            </w:r>
            <w:r w:rsidRPr="0048305E">
              <w:rPr>
                <w:rFonts w:ascii="Arial" w:hAnsi="Arial"/>
                <w:sz w:val="18"/>
                <w:szCs w:val="18"/>
              </w:rPr>
              <w:t xml:space="preserve"> </w:t>
            </w:r>
            <w:r w:rsidRPr="0048305E">
              <w:rPr>
                <w:rFonts w:ascii="Arial" w:hAnsi="Arial"/>
                <w:color w:val="040C28"/>
                <w:sz w:val="18"/>
                <w:szCs w:val="18"/>
              </w:rPr>
              <w:t>VU (</w:t>
            </w:r>
            <w:r w:rsidRPr="0048305E">
              <w:rPr>
                <w:rFonts w:ascii="Arial" w:hAnsi="Arial"/>
                <w:color w:val="1F1F1F"/>
                <w:sz w:val="18"/>
                <w:szCs w:val="18"/>
                <w:shd w:val="clear" w:color="auto" w:fill="FBE4D5" w:themeFill="accent2" w:themeFillTint="33"/>
              </w:rPr>
              <w:t>↓</w:t>
            </w:r>
            <w:r w:rsidRPr="0048305E">
              <w:rPr>
                <w:rFonts w:ascii="Arial" w:hAnsi="Arial"/>
                <w:color w:val="474747"/>
                <w:sz w:val="18"/>
                <w:szCs w:val="18"/>
                <w:shd w:val="clear" w:color="auto" w:fill="FBE4D5" w:themeFill="accent2" w:themeFillTint="33"/>
              </w:rPr>
              <w:t>)*</w:t>
            </w:r>
          </w:p>
          <w:p w14:paraId="0810B923" w14:textId="77777777" w:rsidR="002D72AD" w:rsidRPr="0048305E" w:rsidRDefault="002D72AD" w:rsidP="00ED0994">
            <w:pPr>
              <w:spacing w:before="40" w:after="40"/>
              <w:rPr>
                <w:rFonts w:ascii="Arial" w:hAnsi="Arial"/>
                <w:color w:val="040C28"/>
                <w:sz w:val="18"/>
                <w:szCs w:val="18"/>
              </w:rPr>
            </w:pPr>
          </w:p>
        </w:tc>
        <w:tc>
          <w:tcPr>
            <w:tcW w:w="4168" w:type="dxa"/>
            <w:tcBorders>
              <w:left w:val="nil"/>
              <w:right w:val="nil"/>
            </w:tcBorders>
            <w:shd w:val="clear" w:color="auto" w:fill="FBE4D5" w:themeFill="accent2" w:themeFillTint="33"/>
          </w:tcPr>
          <w:p w14:paraId="049B3249" w14:textId="77777777" w:rsidR="002D72AD" w:rsidRPr="0048305E" w:rsidRDefault="002D72AD" w:rsidP="00ED5A72">
            <w:pPr>
              <w:spacing w:before="40" w:after="40"/>
              <w:jc w:val="both"/>
              <w:rPr>
                <w:rFonts w:ascii="Arial" w:hAnsi="Arial"/>
                <w:sz w:val="18"/>
                <w:szCs w:val="18"/>
              </w:rPr>
            </w:pPr>
            <w:r w:rsidRPr="0048305E">
              <w:rPr>
                <w:rFonts w:ascii="Arial" w:hAnsi="Arial"/>
                <w:sz w:val="18"/>
                <w:szCs w:val="18"/>
              </w:rPr>
              <w:t>Population decline &gt;10% suspected; habitat loss and degradation are major threats.</w:t>
            </w:r>
          </w:p>
        </w:tc>
      </w:tr>
      <w:tr w:rsidR="002D72AD" w:rsidRPr="0048305E" w14:paraId="72527C0B" w14:textId="77777777" w:rsidTr="009555C6">
        <w:tc>
          <w:tcPr>
            <w:tcW w:w="2405" w:type="dxa"/>
            <w:tcBorders>
              <w:left w:val="nil"/>
              <w:right w:val="nil"/>
            </w:tcBorders>
          </w:tcPr>
          <w:p w14:paraId="72D9B729" w14:textId="77777777" w:rsidR="002D72AD" w:rsidRPr="0048305E" w:rsidRDefault="002D72AD" w:rsidP="00ED0994">
            <w:pPr>
              <w:spacing w:before="40" w:after="40"/>
              <w:rPr>
                <w:rFonts w:ascii="Arial" w:hAnsi="Arial"/>
                <w:b/>
                <w:sz w:val="18"/>
                <w:szCs w:val="18"/>
              </w:rPr>
            </w:pPr>
            <w:r w:rsidRPr="0048305E">
              <w:rPr>
                <w:rFonts w:ascii="Arial" w:hAnsi="Arial"/>
                <w:b/>
                <w:i/>
                <w:sz w:val="18"/>
                <w:szCs w:val="18"/>
              </w:rPr>
              <w:t xml:space="preserve">Oryx </w:t>
            </w:r>
            <w:proofErr w:type="spellStart"/>
            <w:r w:rsidRPr="0048305E">
              <w:rPr>
                <w:rFonts w:ascii="Arial" w:hAnsi="Arial"/>
                <w:b/>
                <w:i/>
                <w:sz w:val="18"/>
                <w:szCs w:val="18"/>
              </w:rPr>
              <w:t>dammah</w:t>
            </w:r>
            <w:proofErr w:type="spellEnd"/>
            <w:r w:rsidRPr="0048305E">
              <w:rPr>
                <w:rFonts w:ascii="Arial" w:hAnsi="Arial"/>
                <w:b/>
                <w:i/>
                <w:sz w:val="18"/>
                <w:szCs w:val="18"/>
              </w:rPr>
              <w:t xml:space="preserve"> </w:t>
            </w:r>
          </w:p>
          <w:p w14:paraId="2554A592" w14:textId="77777777" w:rsidR="002D72AD" w:rsidRPr="0048305E" w:rsidRDefault="002D72AD" w:rsidP="00ED0994">
            <w:pPr>
              <w:spacing w:before="40" w:after="40"/>
              <w:rPr>
                <w:rFonts w:ascii="Arial" w:hAnsi="Arial"/>
                <w:b/>
                <w:sz w:val="18"/>
                <w:szCs w:val="18"/>
              </w:rPr>
            </w:pPr>
            <w:r w:rsidRPr="0048305E">
              <w:rPr>
                <w:rFonts w:ascii="Arial" w:hAnsi="Arial"/>
                <w:b/>
                <w:sz w:val="18"/>
                <w:szCs w:val="18"/>
              </w:rPr>
              <w:t>(Scimitar-horned Oryx)</w:t>
            </w:r>
          </w:p>
        </w:tc>
        <w:tc>
          <w:tcPr>
            <w:tcW w:w="680" w:type="dxa"/>
            <w:tcBorders>
              <w:left w:val="nil"/>
              <w:right w:val="nil"/>
            </w:tcBorders>
          </w:tcPr>
          <w:p w14:paraId="3B608750"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I/II</w:t>
            </w:r>
          </w:p>
        </w:tc>
        <w:tc>
          <w:tcPr>
            <w:tcW w:w="1814" w:type="dxa"/>
            <w:tcBorders>
              <w:left w:val="nil"/>
              <w:right w:val="nil"/>
            </w:tcBorders>
          </w:tcPr>
          <w:p w14:paraId="0133E786"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 xml:space="preserve">EW </w:t>
            </w:r>
            <w:r w:rsidRPr="0048305E">
              <w:rPr>
                <w:rFonts w:ascii="Arial" w:hAnsi="Arial"/>
                <w:color w:val="040C28"/>
                <w:sz w:val="18"/>
                <w:szCs w:val="18"/>
              </w:rPr>
              <w:t>→</w:t>
            </w:r>
            <w:r w:rsidRPr="0048305E">
              <w:rPr>
                <w:rFonts w:ascii="Arial" w:hAnsi="Arial"/>
                <w:sz w:val="18"/>
                <w:szCs w:val="18"/>
              </w:rPr>
              <w:t xml:space="preserve"> </w:t>
            </w:r>
            <w:r w:rsidRPr="0048305E">
              <w:rPr>
                <w:rFonts w:ascii="Arial" w:hAnsi="Arial"/>
                <w:color w:val="040C28"/>
                <w:sz w:val="18"/>
                <w:szCs w:val="18"/>
              </w:rPr>
              <w:t>EN (</w:t>
            </w:r>
            <w:r w:rsidRPr="0048305E">
              <w:rPr>
                <w:rFonts w:ascii="Arial" w:hAnsi="Arial"/>
                <w:color w:val="474747"/>
                <w:sz w:val="18"/>
                <w:szCs w:val="18"/>
              </w:rPr>
              <w:t>↑)</w:t>
            </w:r>
          </w:p>
        </w:tc>
        <w:tc>
          <w:tcPr>
            <w:tcW w:w="4168" w:type="dxa"/>
            <w:tcBorders>
              <w:left w:val="nil"/>
              <w:right w:val="nil"/>
            </w:tcBorders>
          </w:tcPr>
          <w:p w14:paraId="3F45C2E4" w14:textId="77777777" w:rsidR="002D72AD" w:rsidRPr="0048305E" w:rsidRDefault="002D72AD" w:rsidP="00ED5A72">
            <w:pPr>
              <w:spacing w:before="40" w:after="40"/>
              <w:jc w:val="both"/>
              <w:rPr>
                <w:rFonts w:ascii="Arial" w:hAnsi="Arial"/>
                <w:sz w:val="18"/>
                <w:szCs w:val="18"/>
              </w:rPr>
            </w:pPr>
            <w:r w:rsidRPr="0048305E">
              <w:rPr>
                <w:rFonts w:ascii="Arial" w:hAnsi="Arial"/>
                <w:sz w:val="18"/>
                <w:szCs w:val="18"/>
              </w:rPr>
              <w:t>Re-establishment of a viable wild population in Chad.</w:t>
            </w:r>
          </w:p>
        </w:tc>
      </w:tr>
      <w:tr w:rsidR="002D72AD" w:rsidRPr="0048305E" w14:paraId="60EB0E39" w14:textId="77777777" w:rsidTr="009555C6">
        <w:tc>
          <w:tcPr>
            <w:tcW w:w="2405" w:type="dxa"/>
            <w:tcBorders>
              <w:left w:val="nil"/>
              <w:right w:val="nil"/>
            </w:tcBorders>
          </w:tcPr>
          <w:p w14:paraId="616DA7C8" w14:textId="77777777" w:rsidR="002D72AD" w:rsidRPr="0048305E" w:rsidRDefault="002D72AD" w:rsidP="00ED0994">
            <w:pPr>
              <w:spacing w:before="40" w:after="40"/>
              <w:rPr>
                <w:rFonts w:ascii="Arial" w:hAnsi="Arial"/>
                <w:i/>
                <w:sz w:val="18"/>
                <w:szCs w:val="18"/>
              </w:rPr>
            </w:pPr>
            <w:r w:rsidRPr="0048305E">
              <w:rPr>
                <w:rFonts w:ascii="Arial" w:hAnsi="Arial"/>
                <w:i/>
                <w:sz w:val="18"/>
                <w:szCs w:val="18"/>
              </w:rPr>
              <w:t xml:space="preserve">Saiga </w:t>
            </w:r>
            <w:proofErr w:type="spellStart"/>
            <w:r w:rsidRPr="0048305E">
              <w:rPr>
                <w:rFonts w:ascii="Arial" w:hAnsi="Arial"/>
                <w:i/>
                <w:sz w:val="18"/>
                <w:szCs w:val="18"/>
              </w:rPr>
              <w:t>tatarica</w:t>
            </w:r>
            <w:proofErr w:type="spellEnd"/>
            <w:r w:rsidRPr="0048305E">
              <w:rPr>
                <w:rFonts w:ascii="Arial" w:hAnsi="Arial"/>
                <w:i/>
                <w:sz w:val="18"/>
                <w:szCs w:val="18"/>
              </w:rPr>
              <w:t xml:space="preserve"> </w:t>
            </w:r>
          </w:p>
          <w:p w14:paraId="46CA922D"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(Saiga Antelope)</w:t>
            </w:r>
          </w:p>
        </w:tc>
        <w:tc>
          <w:tcPr>
            <w:tcW w:w="680" w:type="dxa"/>
            <w:tcBorders>
              <w:left w:val="nil"/>
              <w:right w:val="nil"/>
            </w:tcBorders>
          </w:tcPr>
          <w:p w14:paraId="64569F1D"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II</w:t>
            </w:r>
          </w:p>
        </w:tc>
        <w:tc>
          <w:tcPr>
            <w:tcW w:w="1814" w:type="dxa"/>
            <w:tcBorders>
              <w:left w:val="nil"/>
              <w:right w:val="nil"/>
            </w:tcBorders>
          </w:tcPr>
          <w:p w14:paraId="6A230269"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CR (</w:t>
            </w:r>
            <w:r w:rsidRPr="0048305E">
              <w:rPr>
                <w:rFonts w:ascii="Arial" w:hAnsi="Arial"/>
                <w:color w:val="1F1F1F"/>
                <w:sz w:val="18"/>
                <w:szCs w:val="18"/>
              </w:rPr>
              <w:t>↓</w:t>
            </w:r>
            <w:r w:rsidRPr="0048305E">
              <w:rPr>
                <w:rFonts w:ascii="Arial" w:hAnsi="Arial"/>
                <w:sz w:val="18"/>
                <w:szCs w:val="18"/>
              </w:rPr>
              <w:t xml:space="preserve">) </w:t>
            </w:r>
            <w:r w:rsidRPr="0048305E">
              <w:rPr>
                <w:rFonts w:ascii="Arial" w:hAnsi="Arial"/>
                <w:color w:val="040C28"/>
                <w:sz w:val="18"/>
                <w:szCs w:val="18"/>
              </w:rPr>
              <w:t>→</w:t>
            </w:r>
            <w:r w:rsidRPr="0048305E">
              <w:rPr>
                <w:rFonts w:ascii="Arial" w:hAnsi="Arial"/>
                <w:sz w:val="18"/>
                <w:szCs w:val="18"/>
              </w:rPr>
              <w:t xml:space="preserve"> </w:t>
            </w:r>
            <w:r w:rsidRPr="0048305E">
              <w:rPr>
                <w:rFonts w:ascii="Arial" w:hAnsi="Arial"/>
                <w:color w:val="040C28"/>
                <w:sz w:val="18"/>
                <w:szCs w:val="18"/>
              </w:rPr>
              <w:t>NT (</w:t>
            </w:r>
            <w:r w:rsidRPr="0048305E">
              <w:rPr>
                <w:rFonts w:ascii="Arial" w:hAnsi="Arial"/>
                <w:color w:val="474747"/>
                <w:sz w:val="18"/>
                <w:szCs w:val="18"/>
              </w:rPr>
              <w:t>↑)</w:t>
            </w:r>
          </w:p>
        </w:tc>
        <w:tc>
          <w:tcPr>
            <w:tcW w:w="4168" w:type="dxa"/>
            <w:tcBorders>
              <w:left w:val="nil"/>
              <w:right w:val="nil"/>
            </w:tcBorders>
          </w:tcPr>
          <w:p w14:paraId="5C205F0B" w14:textId="77777777" w:rsidR="002D72AD" w:rsidRPr="0048305E" w:rsidRDefault="002D72AD" w:rsidP="00ED5A72">
            <w:pPr>
              <w:spacing w:before="40" w:after="40"/>
              <w:jc w:val="both"/>
              <w:rPr>
                <w:rFonts w:ascii="Arial" w:hAnsi="Arial"/>
                <w:sz w:val="18"/>
                <w:szCs w:val="18"/>
              </w:rPr>
            </w:pPr>
            <w:r w:rsidRPr="0048305E">
              <w:rPr>
                <w:rFonts w:ascii="Arial" w:hAnsi="Arial"/>
                <w:sz w:val="18"/>
                <w:szCs w:val="18"/>
              </w:rPr>
              <w:t>Population recovery following disease outbreaks; the EN, VU or LC categories are considered as plausible as NT, due to multiple unpredictable factors that may affect the population in future.</w:t>
            </w:r>
          </w:p>
        </w:tc>
      </w:tr>
      <w:tr w:rsidR="002D72AD" w:rsidRPr="0048305E" w14:paraId="34EAA447" w14:textId="77777777" w:rsidTr="009555C6">
        <w:tc>
          <w:tcPr>
            <w:tcW w:w="9067" w:type="dxa"/>
            <w:gridSpan w:val="4"/>
            <w:tcBorders>
              <w:left w:val="nil"/>
              <w:right w:val="nil"/>
            </w:tcBorders>
            <w:shd w:val="clear" w:color="auto" w:fill="67A2C0"/>
          </w:tcPr>
          <w:p w14:paraId="348D89C2" w14:textId="77777777" w:rsidR="002D72AD" w:rsidRPr="0048305E" w:rsidRDefault="002D72AD" w:rsidP="00ED5A72">
            <w:pPr>
              <w:spacing w:before="40" w:after="40"/>
              <w:jc w:val="both"/>
              <w:rPr>
                <w:rFonts w:ascii="Arial" w:hAnsi="Arial"/>
                <w:sz w:val="18"/>
                <w:szCs w:val="18"/>
              </w:rPr>
            </w:pPr>
            <w:r w:rsidRPr="0048305E">
              <w:rPr>
                <w:rFonts w:ascii="Arial" w:hAnsi="Arial"/>
                <w:color w:val="FFFFFF" w:themeColor="background1"/>
                <w:sz w:val="18"/>
                <w:szCs w:val="18"/>
              </w:rPr>
              <w:t>Aquatic mammals</w:t>
            </w:r>
          </w:p>
        </w:tc>
      </w:tr>
      <w:tr w:rsidR="002D72AD" w:rsidRPr="0048305E" w14:paraId="09CD6E28" w14:textId="77777777" w:rsidTr="009555C6">
        <w:tc>
          <w:tcPr>
            <w:tcW w:w="2405" w:type="dxa"/>
            <w:tcBorders>
              <w:left w:val="nil"/>
              <w:right w:val="nil"/>
            </w:tcBorders>
          </w:tcPr>
          <w:p w14:paraId="28AD189A" w14:textId="77777777" w:rsidR="002D72AD" w:rsidRPr="0048305E" w:rsidRDefault="002D72AD" w:rsidP="00ED0994">
            <w:pPr>
              <w:spacing w:before="40" w:after="40"/>
              <w:ind w:right="-110"/>
              <w:rPr>
                <w:rFonts w:ascii="Arial" w:hAnsi="Arial"/>
                <w:b/>
                <w:sz w:val="18"/>
                <w:szCs w:val="18"/>
              </w:rPr>
            </w:pPr>
            <w:r w:rsidRPr="0048305E">
              <w:rPr>
                <w:rFonts w:ascii="Arial" w:hAnsi="Arial"/>
                <w:b/>
                <w:i/>
                <w:sz w:val="18"/>
                <w:szCs w:val="18"/>
              </w:rPr>
              <w:t xml:space="preserve">Monachus </w:t>
            </w:r>
            <w:proofErr w:type="spellStart"/>
            <w:r w:rsidRPr="0048305E">
              <w:rPr>
                <w:rFonts w:ascii="Arial" w:hAnsi="Arial"/>
                <w:b/>
                <w:i/>
                <w:sz w:val="18"/>
                <w:szCs w:val="18"/>
              </w:rPr>
              <w:t>monachus</w:t>
            </w:r>
            <w:proofErr w:type="spellEnd"/>
            <w:r w:rsidRPr="0048305E">
              <w:rPr>
                <w:rFonts w:ascii="Arial" w:hAnsi="Arial"/>
                <w:b/>
                <w:i/>
                <w:sz w:val="18"/>
                <w:szCs w:val="18"/>
              </w:rPr>
              <w:t xml:space="preserve"> </w:t>
            </w:r>
            <w:r w:rsidRPr="0048305E">
              <w:rPr>
                <w:rFonts w:ascii="Arial" w:hAnsi="Arial"/>
                <w:b/>
                <w:sz w:val="18"/>
                <w:szCs w:val="18"/>
              </w:rPr>
              <w:t>(Mediterranean Monk Seal)</w:t>
            </w:r>
          </w:p>
        </w:tc>
        <w:tc>
          <w:tcPr>
            <w:tcW w:w="680" w:type="dxa"/>
            <w:tcBorders>
              <w:left w:val="nil"/>
              <w:right w:val="nil"/>
            </w:tcBorders>
          </w:tcPr>
          <w:p w14:paraId="13959980"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I/II</w:t>
            </w:r>
          </w:p>
        </w:tc>
        <w:tc>
          <w:tcPr>
            <w:tcW w:w="1814" w:type="dxa"/>
            <w:tcBorders>
              <w:left w:val="nil"/>
              <w:right w:val="nil"/>
            </w:tcBorders>
          </w:tcPr>
          <w:p w14:paraId="6D2E76E6"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EN (</w:t>
            </w:r>
            <w:r w:rsidRPr="0048305E">
              <w:rPr>
                <w:rFonts w:ascii="Arial" w:hAnsi="Arial"/>
                <w:color w:val="474747"/>
                <w:sz w:val="18"/>
                <w:szCs w:val="18"/>
              </w:rPr>
              <w:t>↑</w:t>
            </w:r>
            <w:r w:rsidRPr="0048305E">
              <w:rPr>
                <w:rFonts w:ascii="Arial" w:hAnsi="Arial"/>
                <w:sz w:val="18"/>
                <w:szCs w:val="18"/>
              </w:rPr>
              <w:t xml:space="preserve">) </w:t>
            </w:r>
            <w:r w:rsidRPr="0048305E">
              <w:rPr>
                <w:rFonts w:ascii="Arial" w:hAnsi="Arial"/>
                <w:color w:val="040C28"/>
                <w:sz w:val="18"/>
                <w:szCs w:val="18"/>
              </w:rPr>
              <w:t>→</w:t>
            </w:r>
            <w:r w:rsidRPr="0048305E">
              <w:rPr>
                <w:rFonts w:ascii="Arial" w:hAnsi="Arial"/>
                <w:sz w:val="18"/>
                <w:szCs w:val="18"/>
              </w:rPr>
              <w:t xml:space="preserve"> </w:t>
            </w:r>
            <w:r w:rsidRPr="0048305E">
              <w:rPr>
                <w:rFonts w:ascii="Arial" w:hAnsi="Arial"/>
                <w:color w:val="040C28"/>
                <w:sz w:val="18"/>
                <w:szCs w:val="18"/>
              </w:rPr>
              <w:t>VU (</w:t>
            </w:r>
            <w:r w:rsidRPr="0048305E">
              <w:rPr>
                <w:rFonts w:ascii="Arial" w:hAnsi="Arial"/>
                <w:color w:val="474747"/>
                <w:sz w:val="18"/>
                <w:szCs w:val="18"/>
              </w:rPr>
              <w:t>↑)</w:t>
            </w:r>
          </w:p>
          <w:p w14:paraId="2A9446A0" w14:textId="77777777" w:rsidR="002D72AD" w:rsidRPr="0048305E" w:rsidRDefault="002D72AD" w:rsidP="00ED0994">
            <w:pPr>
              <w:spacing w:before="40" w:after="40"/>
              <w:rPr>
                <w:rFonts w:ascii="Arial" w:hAnsi="Arial"/>
                <w:sz w:val="18"/>
                <w:szCs w:val="18"/>
              </w:rPr>
            </w:pPr>
          </w:p>
        </w:tc>
        <w:tc>
          <w:tcPr>
            <w:tcW w:w="4168" w:type="dxa"/>
            <w:tcBorders>
              <w:left w:val="nil"/>
              <w:right w:val="nil"/>
            </w:tcBorders>
          </w:tcPr>
          <w:p w14:paraId="15661F5A" w14:textId="77777777" w:rsidR="002D72AD" w:rsidRPr="0048305E" w:rsidRDefault="002D72AD" w:rsidP="00ED5A72">
            <w:pPr>
              <w:spacing w:before="40" w:after="40"/>
              <w:jc w:val="both"/>
              <w:rPr>
                <w:rFonts w:ascii="Arial" w:hAnsi="Arial"/>
                <w:sz w:val="18"/>
                <w:szCs w:val="18"/>
              </w:rPr>
            </w:pPr>
            <w:r w:rsidRPr="0048305E">
              <w:rPr>
                <w:rFonts w:ascii="Arial" w:hAnsi="Arial"/>
                <w:sz w:val="18"/>
                <w:szCs w:val="18"/>
              </w:rPr>
              <w:t xml:space="preserve">Recent population increases and local range expansion; global population size remains small. </w:t>
            </w:r>
          </w:p>
        </w:tc>
      </w:tr>
      <w:tr w:rsidR="002D72AD" w:rsidRPr="0048305E" w14:paraId="2391BFC0" w14:textId="77777777" w:rsidTr="009555C6">
        <w:tc>
          <w:tcPr>
            <w:tcW w:w="9067" w:type="dxa"/>
            <w:gridSpan w:val="4"/>
            <w:tcBorders>
              <w:left w:val="nil"/>
              <w:right w:val="nil"/>
            </w:tcBorders>
            <w:shd w:val="clear" w:color="auto" w:fill="67A2C0"/>
          </w:tcPr>
          <w:p w14:paraId="29079953" w14:textId="77777777" w:rsidR="002D72AD" w:rsidRPr="0048305E" w:rsidRDefault="002D72AD" w:rsidP="00ED5A72">
            <w:pPr>
              <w:spacing w:before="40" w:after="40"/>
              <w:jc w:val="both"/>
              <w:rPr>
                <w:rFonts w:ascii="Arial" w:hAnsi="Arial"/>
                <w:sz w:val="18"/>
                <w:szCs w:val="18"/>
              </w:rPr>
            </w:pPr>
            <w:r w:rsidRPr="0048305E">
              <w:rPr>
                <w:rFonts w:ascii="Arial" w:hAnsi="Arial"/>
                <w:color w:val="FFFFFF" w:themeColor="background1"/>
                <w:sz w:val="18"/>
                <w:szCs w:val="18"/>
              </w:rPr>
              <w:t>Birds</w:t>
            </w:r>
          </w:p>
        </w:tc>
      </w:tr>
      <w:tr w:rsidR="002D72AD" w:rsidRPr="0048305E" w14:paraId="6F692EA4" w14:textId="77777777" w:rsidTr="009555C6">
        <w:tc>
          <w:tcPr>
            <w:tcW w:w="2405" w:type="dxa"/>
            <w:tcBorders>
              <w:left w:val="nil"/>
              <w:right w:val="nil"/>
            </w:tcBorders>
          </w:tcPr>
          <w:p w14:paraId="2975DDE0" w14:textId="77777777" w:rsidR="002D72AD" w:rsidRPr="0048305E" w:rsidRDefault="002D72AD" w:rsidP="00ED0994">
            <w:pPr>
              <w:spacing w:before="40" w:after="40"/>
              <w:rPr>
                <w:rFonts w:ascii="Arial" w:hAnsi="Arial"/>
                <w:i/>
                <w:sz w:val="18"/>
                <w:szCs w:val="18"/>
              </w:rPr>
            </w:pPr>
            <w:proofErr w:type="spellStart"/>
            <w:r w:rsidRPr="0048305E">
              <w:rPr>
                <w:rFonts w:ascii="Arial" w:hAnsi="Arial"/>
                <w:i/>
                <w:sz w:val="18"/>
                <w:szCs w:val="18"/>
              </w:rPr>
              <w:t>Anser</w:t>
            </w:r>
            <w:proofErr w:type="spellEnd"/>
            <w:r w:rsidRPr="0048305E">
              <w:rPr>
                <w:rFonts w:ascii="Arial" w:hAnsi="Arial"/>
                <w:i/>
                <w:sz w:val="18"/>
                <w:szCs w:val="18"/>
              </w:rPr>
              <w:t xml:space="preserve"> </w:t>
            </w:r>
            <w:proofErr w:type="spellStart"/>
            <w:r w:rsidRPr="0048305E">
              <w:rPr>
                <w:rFonts w:ascii="Arial" w:hAnsi="Arial"/>
                <w:i/>
                <w:sz w:val="18"/>
                <w:szCs w:val="18"/>
              </w:rPr>
              <w:t>canagicus</w:t>
            </w:r>
            <w:proofErr w:type="spellEnd"/>
            <w:r w:rsidRPr="0048305E">
              <w:rPr>
                <w:rFonts w:ascii="Arial" w:hAnsi="Arial"/>
                <w:i/>
                <w:sz w:val="18"/>
                <w:szCs w:val="18"/>
              </w:rPr>
              <w:t xml:space="preserve"> </w:t>
            </w:r>
          </w:p>
          <w:p w14:paraId="29CDABE6"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(Emperor Goose)</w:t>
            </w:r>
          </w:p>
        </w:tc>
        <w:tc>
          <w:tcPr>
            <w:tcW w:w="680" w:type="dxa"/>
            <w:tcBorders>
              <w:left w:val="nil"/>
              <w:right w:val="nil"/>
            </w:tcBorders>
          </w:tcPr>
          <w:p w14:paraId="52486202"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II</w:t>
            </w:r>
          </w:p>
        </w:tc>
        <w:tc>
          <w:tcPr>
            <w:tcW w:w="1814" w:type="dxa"/>
            <w:tcBorders>
              <w:left w:val="nil"/>
              <w:right w:val="nil"/>
            </w:tcBorders>
          </w:tcPr>
          <w:p w14:paraId="3DE4BD32"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NT (</w:t>
            </w:r>
            <w:r w:rsidRPr="0048305E">
              <w:rPr>
                <w:rFonts w:ascii="Arial" w:hAnsi="Arial"/>
                <w:color w:val="1F1F1F"/>
                <w:sz w:val="18"/>
                <w:szCs w:val="18"/>
              </w:rPr>
              <w:t>↓</w:t>
            </w:r>
            <w:r w:rsidRPr="0048305E">
              <w:rPr>
                <w:rFonts w:ascii="Arial" w:hAnsi="Arial"/>
                <w:sz w:val="18"/>
                <w:szCs w:val="18"/>
              </w:rPr>
              <w:t xml:space="preserve">) </w:t>
            </w:r>
            <w:r w:rsidRPr="0048305E">
              <w:rPr>
                <w:rFonts w:ascii="Arial" w:hAnsi="Arial"/>
                <w:color w:val="040C28"/>
                <w:sz w:val="18"/>
                <w:szCs w:val="18"/>
              </w:rPr>
              <w:t>→</w:t>
            </w:r>
            <w:r w:rsidRPr="0048305E">
              <w:rPr>
                <w:rFonts w:ascii="Arial" w:hAnsi="Arial"/>
                <w:sz w:val="18"/>
                <w:szCs w:val="18"/>
              </w:rPr>
              <w:t xml:space="preserve"> LC </w:t>
            </w:r>
            <w:r w:rsidRPr="0048305E">
              <w:rPr>
                <w:rFonts w:ascii="Arial" w:hAnsi="Arial"/>
                <w:color w:val="040C28"/>
                <w:sz w:val="18"/>
                <w:szCs w:val="18"/>
              </w:rPr>
              <w:t>(</w:t>
            </w:r>
            <w:r w:rsidRPr="0048305E">
              <w:rPr>
                <w:rFonts w:ascii="Arial" w:hAnsi="Arial"/>
                <w:color w:val="474747"/>
                <w:sz w:val="18"/>
                <w:szCs w:val="18"/>
              </w:rPr>
              <w:t>↑)</w:t>
            </w:r>
          </w:p>
        </w:tc>
        <w:tc>
          <w:tcPr>
            <w:tcW w:w="4168" w:type="dxa"/>
            <w:tcBorders>
              <w:left w:val="nil"/>
              <w:right w:val="nil"/>
            </w:tcBorders>
          </w:tcPr>
          <w:p w14:paraId="0B3AF22C" w14:textId="77777777" w:rsidR="002D72AD" w:rsidRPr="0048305E" w:rsidRDefault="002D72AD" w:rsidP="00ED5A72">
            <w:pPr>
              <w:spacing w:before="40" w:after="40"/>
              <w:jc w:val="both"/>
              <w:rPr>
                <w:rFonts w:ascii="Arial" w:hAnsi="Arial"/>
                <w:sz w:val="18"/>
                <w:szCs w:val="18"/>
              </w:rPr>
            </w:pPr>
            <w:r w:rsidRPr="0048305E">
              <w:rPr>
                <w:rFonts w:ascii="Arial" w:hAnsi="Arial"/>
                <w:sz w:val="18"/>
                <w:szCs w:val="18"/>
              </w:rPr>
              <w:t>Population appears to have increased recently; population size does not meet the VU threshold.</w:t>
            </w:r>
          </w:p>
        </w:tc>
      </w:tr>
      <w:tr w:rsidR="002D72AD" w:rsidRPr="0048305E" w14:paraId="79A47E03" w14:textId="77777777" w:rsidTr="009555C6">
        <w:tc>
          <w:tcPr>
            <w:tcW w:w="2405" w:type="dxa"/>
            <w:tcBorders>
              <w:left w:val="nil"/>
              <w:right w:val="nil"/>
            </w:tcBorders>
            <w:shd w:val="clear" w:color="auto" w:fill="FBE4D5" w:themeFill="accent2" w:themeFillTint="33"/>
          </w:tcPr>
          <w:p w14:paraId="312F2D4F" w14:textId="77777777" w:rsidR="002D72AD" w:rsidRPr="0048305E" w:rsidRDefault="002D72AD" w:rsidP="00ED0994">
            <w:pPr>
              <w:spacing w:before="40" w:after="40"/>
              <w:rPr>
                <w:rFonts w:ascii="Arial" w:hAnsi="Arial"/>
                <w:b/>
                <w:i/>
                <w:sz w:val="18"/>
                <w:szCs w:val="18"/>
              </w:rPr>
            </w:pPr>
            <w:proofErr w:type="spellStart"/>
            <w:r w:rsidRPr="0048305E">
              <w:rPr>
                <w:rFonts w:ascii="Arial" w:hAnsi="Arial"/>
                <w:b/>
                <w:i/>
                <w:sz w:val="18"/>
                <w:szCs w:val="18"/>
              </w:rPr>
              <w:t>Anser</w:t>
            </w:r>
            <w:proofErr w:type="spellEnd"/>
            <w:r w:rsidRPr="0048305E">
              <w:rPr>
                <w:rFonts w:ascii="Arial" w:hAnsi="Arial"/>
                <w:b/>
                <w:i/>
                <w:sz w:val="18"/>
                <w:szCs w:val="18"/>
              </w:rPr>
              <w:t xml:space="preserve"> </w:t>
            </w:r>
            <w:proofErr w:type="spellStart"/>
            <w:r w:rsidRPr="0048305E">
              <w:rPr>
                <w:rFonts w:ascii="Arial" w:hAnsi="Arial"/>
                <w:b/>
                <w:i/>
                <w:sz w:val="18"/>
                <w:szCs w:val="18"/>
              </w:rPr>
              <w:t>cygnoid</w:t>
            </w:r>
            <w:proofErr w:type="spellEnd"/>
            <w:r w:rsidRPr="0048305E">
              <w:rPr>
                <w:rFonts w:ascii="Arial" w:hAnsi="Arial"/>
                <w:b/>
                <w:i/>
                <w:sz w:val="18"/>
                <w:szCs w:val="18"/>
              </w:rPr>
              <w:t xml:space="preserve"> </w:t>
            </w:r>
          </w:p>
          <w:p w14:paraId="79EA008B" w14:textId="77777777" w:rsidR="002D72AD" w:rsidRPr="0048305E" w:rsidRDefault="002D72AD" w:rsidP="00ED0994">
            <w:pPr>
              <w:spacing w:before="40" w:after="40"/>
              <w:rPr>
                <w:rFonts w:ascii="Arial" w:hAnsi="Arial"/>
                <w:b/>
                <w:sz w:val="18"/>
                <w:szCs w:val="18"/>
              </w:rPr>
            </w:pPr>
            <w:r w:rsidRPr="0048305E">
              <w:rPr>
                <w:rFonts w:ascii="Arial" w:hAnsi="Arial"/>
                <w:b/>
                <w:sz w:val="18"/>
                <w:szCs w:val="18"/>
              </w:rPr>
              <w:t>(Swan Goose)</w:t>
            </w:r>
          </w:p>
        </w:tc>
        <w:tc>
          <w:tcPr>
            <w:tcW w:w="680" w:type="dxa"/>
            <w:tcBorders>
              <w:left w:val="nil"/>
              <w:right w:val="nil"/>
            </w:tcBorders>
            <w:shd w:val="clear" w:color="auto" w:fill="FBE4D5" w:themeFill="accent2" w:themeFillTint="33"/>
          </w:tcPr>
          <w:p w14:paraId="2123D453"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I/II</w:t>
            </w:r>
          </w:p>
        </w:tc>
        <w:tc>
          <w:tcPr>
            <w:tcW w:w="1814" w:type="dxa"/>
            <w:tcBorders>
              <w:left w:val="nil"/>
              <w:right w:val="nil"/>
            </w:tcBorders>
            <w:shd w:val="clear" w:color="auto" w:fill="FBE4D5" w:themeFill="accent2" w:themeFillTint="33"/>
          </w:tcPr>
          <w:p w14:paraId="7695497E"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 xml:space="preserve">VU </w:t>
            </w:r>
            <w:r w:rsidRPr="0048305E">
              <w:rPr>
                <w:rFonts w:ascii="Arial" w:hAnsi="Arial"/>
                <w:sz w:val="18"/>
                <w:szCs w:val="18"/>
                <w:shd w:val="clear" w:color="auto" w:fill="FBE4D5" w:themeFill="accent2" w:themeFillTint="33"/>
              </w:rPr>
              <w:t>(</w:t>
            </w:r>
            <w:r w:rsidRPr="0048305E">
              <w:rPr>
                <w:rFonts w:ascii="Arial" w:hAnsi="Arial"/>
                <w:color w:val="1F1F1F"/>
                <w:sz w:val="18"/>
                <w:szCs w:val="18"/>
                <w:shd w:val="clear" w:color="auto" w:fill="FBE4D5" w:themeFill="accent2" w:themeFillTint="33"/>
              </w:rPr>
              <w:t>↓</w:t>
            </w:r>
            <w:r w:rsidRPr="0048305E">
              <w:rPr>
                <w:rFonts w:ascii="Arial" w:hAnsi="Arial"/>
                <w:sz w:val="18"/>
                <w:szCs w:val="18"/>
                <w:shd w:val="clear" w:color="auto" w:fill="FBE4D5" w:themeFill="accent2" w:themeFillTint="33"/>
              </w:rPr>
              <w:t xml:space="preserve">) </w:t>
            </w:r>
            <w:r w:rsidRPr="0048305E">
              <w:rPr>
                <w:rFonts w:ascii="Arial" w:hAnsi="Arial"/>
                <w:color w:val="040C28"/>
                <w:sz w:val="18"/>
                <w:szCs w:val="18"/>
              </w:rPr>
              <w:t>→</w:t>
            </w:r>
            <w:r w:rsidRPr="0048305E">
              <w:rPr>
                <w:rFonts w:ascii="Arial" w:hAnsi="Arial"/>
                <w:sz w:val="18"/>
                <w:szCs w:val="18"/>
              </w:rPr>
              <w:t xml:space="preserve"> EN </w:t>
            </w:r>
            <w:r w:rsidRPr="0048305E">
              <w:rPr>
                <w:rFonts w:ascii="Arial" w:hAnsi="Arial"/>
                <w:sz w:val="18"/>
                <w:szCs w:val="18"/>
                <w:shd w:val="clear" w:color="auto" w:fill="FBE4D5" w:themeFill="accent2" w:themeFillTint="33"/>
              </w:rPr>
              <w:t>(</w:t>
            </w:r>
            <w:r w:rsidRPr="0048305E">
              <w:rPr>
                <w:rFonts w:ascii="Arial" w:hAnsi="Arial"/>
                <w:color w:val="1F1F1F"/>
                <w:sz w:val="18"/>
                <w:szCs w:val="18"/>
                <w:shd w:val="clear" w:color="auto" w:fill="FBE4D5" w:themeFill="accent2" w:themeFillTint="33"/>
              </w:rPr>
              <w:t>↓</w:t>
            </w:r>
            <w:r w:rsidRPr="0048305E">
              <w:rPr>
                <w:rFonts w:ascii="Arial" w:hAnsi="Arial"/>
                <w:sz w:val="18"/>
                <w:szCs w:val="18"/>
                <w:shd w:val="clear" w:color="auto" w:fill="FBE4D5" w:themeFill="accent2" w:themeFillTint="33"/>
              </w:rPr>
              <w:t>)</w:t>
            </w:r>
          </w:p>
        </w:tc>
        <w:tc>
          <w:tcPr>
            <w:tcW w:w="4168" w:type="dxa"/>
            <w:tcBorders>
              <w:left w:val="nil"/>
              <w:right w:val="nil"/>
            </w:tcBorders>
            <w:shd w:val="clear" w:color="auto" w:fill="FBE4D5" w:themeFill="accent2" w:themeFillTint="33"/>
          </w:tcPr>
          <w:p w14:paraId="583162B4" w14:textId="77777777" w:rsidR="002D72AD" w:rsidRPr="0048305E" w:rsidRDefault="002D72AD" w:rsidP="00ED5A72">
            <w:pPr>
              <w:spacing w:before="40" w:after="40"/>
              <w:jc w:val="both"/>
              <w:rPr>
                <w:rFonts w:ascii="Arial" w:hAnsi="Arial"/>
                <w:sz w:val="18"/>
                <w:szCs w:val="18"/>
              </w:rPr>
            </w:pPr>
            <w:r w:rsidRPr="0048305E">
              <w:rPr>
                <w:rFonts w:ascii="Arial" w:hAnsi="Arial"/>
                <w:sz w:val="18"/>
                <w:szCs w:val="18"/>
              </w:rPr>
              <w:t>Evidence for accelerating declines; ongoing threats from habitat loss, disturbance and climate change.</w:t>
            </w:r>
          </w:p>
        </w:tc>
      </w:tr>
      <w:tr w:rsidR="002D72AD" w:rsidRPr="0048305E" w14:paraId="28B27458" w14:textId="77777777" w:rsidTr="009555C6">
        <w:tc>
          <w:tcPr>
            <w:tcW w:w="2405" w:type="dxa"/>
            <w:tcBorders>
              <w:left w:val="nil"/>
              <w:right w:val="nil"/>
            </w:tcBorders>
            <w:shd w:val="clear" w:color="auto" w:fill="FBE4D5" w:themeFill="accent2" w:themeFillTint="33"/>
          </w:tcPr>
          <w:p w14:paraId="36832523" w14:textId="77777777" w:rsidR="002D72AD" w:rsidRPr="0048305E" w:rsidRDefault="002D72AD" w:rsidP="00ED0994">
            <w:pPr>
              <w:spacing w:before="40" w:after="40"/>
              <w:rPr>
                <w:rFonts w:ascii="Arial" w:hAnsi="Arial"/>
                <w:b/>
                <w:sz w:val="18"/>
                <w:szCs w:val="18"/>
              </w:rPr>
            </w:pPr>
            <w:proofErr w:type="spellStart"/>
            <w:r w:rsidRPr="0048305E">
              <w:rPr>
                <w:rFonts w:ascii="Arial" w:hAnsi="Arial"/>
                <w:b/>
                <w:i/>
                <w:sz w:val="18"/>
                <w:szCs w:val="18"/>
              </w:rPr>
              <w:t>Asarcornis</w:t>
            </w:r>
            <w:proofErr w:type="spellEnd"/>
            <w:r w:rsidRPr="0048305E">
              <w:rPr>
                <w:rFonts w:ascii="Arial" w:hAnsi="Arial"/>
                <w:b/>
                <w:i/>
                <w:sz w:val="18"/>
                <w:szCs w:val="18"/>
              </w:rPr>
              <w:t xml:space="preserve"> </w:t>
            </w:r>
            <w:proofErr w:type="spellStart"/>
            <w:r w:rsidRPr="0048305E">
              <w:rPr>
                <w:rFonts w:ascii="Arial" w:hAnsi="Arial"/>
                <w:b/>
                <w:i/>
                <w:sz w:val="18"/>
                <w:szCs w:val="18"/>
              </w:rPr>
              <w:t>scutulata</w:t>
            </w:r>
            <w:proofErr w:type="spellEnd"/>
            <w:r w:rsidRPr="0048305E">
              <w:rPr>
                <w:rFonts w:ascii="Arial" w:hAnsi="Arial"/>
                <w:b/>
                <w:i/>
                <w:sz w:val="18"/>
                <w:szCs w:val="18"/>
              </w:rPr>
              <w:t xml:space="preserve"> </w:t>
            </w:r>
            <w:r w:rsidRPr="0048305E">
              <w:rPr>
                <w:rFonts w:ascii="Arial" w:hAnsi="Arial"/>
                <w:b/>
                <w:sz w:val="18"/>
                <w:szCs w:val="18"/>
              </w:rPr>
              <w:t>(White-winged Duck)</w:t>
            </w:r>
          </w:p>
        </w:tc>
        <w:tc>
          <w:tcPr>
            <w:tcW w:w="680" w:type="dxa"/>
            <w:tcBorders>
              <w:left w:val="nil"/>
              <w:right w:val="nil"/>
            </w:tcBorders>
            <w:shd w:val="clear" w:color="auto" w:fill="FBE4D5" w:themeFill="accent2" w:themeFillTint="33"/>
          </w:tcPr>
          <w:p w14:paraId="603486DB"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II</w:t>
            </w:r>
          </w:p>
        </w:tc>
        <w:tc>
          <w:tcPr>
            <w:tcW w:w="1814" w:type="dxa"/>
            <w:tcBorders>
              <w:left w:val="nil"/>
              <w:right w:val="nil"/>
            </w:tcBorders>
            <w:shd w:val="clear" w:color="auto" w:fill="FBE4D5" w:themeFill="accent2" w:themeFillTint="33"/>
          </w:tcPr>
          <w:p w14:paraId="5A2662EA"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 xml:space="preserve">EN </w:t>
            </w:r>
            <w:r w:rsidRPr="0048305E">
              <w:rPr>
                <w:rFonts w:ascii="Arial" w:hAnsi="Arial"/>
                <w:sz w:val="18"/>
                <w:szCs w:val="18"/>
                <w:shd w:val="clear" w:color="auto" w:fill="FBE4D5" w:themeFill="accent2" w:themeFillTint="33"/>
              </w:rPr>
              <w:t>(</w:t>
            </w:r>
            <w:r w:rsidRPr="0048305E">
              <w:rPr>
                <w:rFonts w:ascii="Arial" w:hAnsi="Arial"/>
                <w:color w:val="1F1F1F"/>
                <w:sz w:val="18"/>
                <w:szCs w:val="18"/>
                <w:shd w:val="clear" w:color="auto" w:fill="FBE4D5" w:themeFill="accent2" w:themeFillTint="33"/>
              </w:rPr>
              <w:t>↓</w:t>
            </w:r>
            <w:r w:rsidRPr="0048305E">
              <w:rPr>
                <w:rFonts w:ascii="Arial" w:hAnsi="Arial"/>
                <w:sz w:val="18"/>
                <w:szCs w:val="18"/>
                <w:shd w:val="clear" w:color="auto" w:fill="FBE4D5" w:themeFill="accent2" w:themeFillTint="33"/>
              </w:rPr>
              <w:t xml:space="preserve">) </w:t>
            </w:r>
            <w:r w:rsidRPr="0048305E">
              <w:rPr>
                <w:rFonts w:ascii="Arial" w:hAnsi="Arial"/>
                <w:color w:val="040C28"/>
                <w:sz w:val="18"/>
                <w:szCs w:val="18"/>
                <w:shd w:val="clear" w:color="auto" w:fill="FBE4D5" w:themeFill="accent2" w:themeFillTint="33"/>
              </w:rPr>
              <w:t>→</w:t>
            </w:r>
            <w:r w:rsidRPr="0048305E">
              <w:rPr>
                <w:rFonts w:ascii="Arial" w:hAnsi="Arial"/>
                <w:sz w:val="18"/>
                <w:szCs w:val="18"/>
                <w:shd w:val="clear" w:color="auto" w:fill="FBE4D5" w:themeFill="accent2" w:themeFillTint="33"/>
              </w:rPr>
              <w:t xml:space="preserve"> </w:t>
            </w:r>
            <w:r w:rsidRPr="0048305E">
              <w:rPr>
                <w:rFonts w:ascii="Arial" w:hAnsi="Arial"/>
                <w:color w:val="040C28"/>
                <w:sz w:val="18"/>
                <w:szCs w:val="18"/>
                <w:shd w:val="clear" w:color="auto" w:fill="FBE4D5" w:themeFill="accent2" w:themeFillTint="33"/>
              </w:rPr>
              <w:t>CR (</w:t>
            </w:r>
            <w:r w:rsidRPr="0048305E">
              <w:rPr>
                <w:rFonts w:ascii="Arial" w:hAnsi="Arial"/>
                <w:color w:val="1F1F1F"/>
                <w:sz w:val="18"/>
                <w:szCs w:val="18"/>
                <w:shd w:val="clear" w:color="auto" w:fill="FBE4D5" w:themeFill="accent2" w:themeFillTint="33"/>
              </w:rPr>
              <w:t>↓</w:t>
            </w:r>
            <w:r w:rsidRPr="0048305E">
              <w:rPr>
                <w:rFonts w:ascii="Arial" w:hAnsi="Arial"/>
                <w:color w:val="474747"/>
                <w:sz w:val="18"/>
                <w:szCs w:val="18"/>
                <w:shd w:val="clear" w:color="auto" w:fill="FBE4D5" w:themeFill="accent2" w:themeFillTint="33"/>
              </w:rPr>
              <w:t>)</w:t>
            </w:r>
          </w:p>
          <w:p w14:paraId="0DAD7F4E" w14:textId="77777777" w:rsidR="002D72AD" w:rsidRPr="0048305E" w:rsidRDefault="002D72AD" w:rsidP="00ED0994">
            <w:pPr>
              <w:spacing w:before="40" w:after="40"/>
              <w:rPr>
                <w:rFonts w:ascii="Arial" w:hAnsi="Arial"/>
                <w:sz w:val="18"/>
                <w:szCs w:val="18"/>
              </w:rPr>
            </w:pPr>
          </w:p>
        </w:tc>
        <w:tc>
          <w:tcPr>
            <w:tcW w:w="4168" w:type="dxa"/>
            <w:tcBorders>
              <w:left w:val="nil"/>
              <w:right w:val="nil"/>
            </w:tcBorders>
            <w:shd w:val="clear" w:color="auto" w:fill="FBE4D5" w:themeFill="accent2" w:themeFillTint="33"/>
          </w:tcPr>
          <w:p w14:paraId="53F99413" w14:textId="77777777" w:rsidR="002D72AD" w:rsidRPr="0048305E" w:rsidRDefault="002D72AD" w:rsidP="00ED5A72">
            <w:pPr>
              <w:spacing w:before="40" w:after="40"/>
              <w:jc w:val="both"/>
              <w:rPr>
                <w:rFonts w:ascii="Arial" w:hAnsi="Arial"/>
                <w:sz w:val="18"/>
                <w:szCs w:val="18"/>
              </w:rPr>
            </w:pPr>
            <w:r w:rsidRPr="0048305E">
              <w:rPr>
                <w:rFonts w:ascii="Arial" w:hAnsi="Arial"/>
                <w:sz w:val="18"/>
                <w:szCs w:val="18"/>
              </w:rPr>
              <w:t>Population decline due to habitat loss, disturbance and hunting probably &gt;80%; populations are now small and fragmented.</w:t>
            </w:r>
          </w:p>
        </w:tc>
      </w:tr>
      <w:tr w:rsidR="002D72AD" w:rsidRPr="0048305E" w14:paraId="5BDBDBBA" w14:textId="77777777" w:rsidTr="009555C6">
        <w:tc>
          <w:tcPr>
            <w:tcW w:w="2405" w:type="dxa"/>
            <w:tcBorders>
              <w:left w:val="nil"/>
              <w:right w:val="nil"/>
            </w:tcBorders>
          </w:tcPr>
          <w:p w14:paraId="61262CD5" w14:textId="77777777" w:rsidR="002D72AD" w:rsidRPr="0048305E" w:rsidRDefault="002D72AD" w:rsidP="00ED0994">
            <w:pPr>
              <w:spacing w:before="40" w:after="40"/>
              <w:rPr>
                <w:rFonts w:ascii="Arial" w:hAnsi="Arial"/>
                <w:i/>
                <w:sz w:val="18"/>
                <w:szCs w:val="18"/>
              </w:rPr>
            </w:pPr>
            <w:proofErr w:type="spellStart"/>
            <w:r w:rsidRPr="0048305E">
              <w:rPr>
                <w:rFonts w:ascii="Arial" w:hAnsi="Arial"/>
                <w:i/>
                <w:sz w:val="18"/>
                <w:szCs w:val="18"/>
              </w:rPr>
              <w:t>Mareca</w:t>
            </w:r>
            <w:proofErr w:type="spellEnd"/>
            <w:r w:rsidRPr="0048305E">
              <w:rPr>
                <w:rFonts w:ascii="Arial" w:hAnsi="Arial"/>
                <w:i/>
                <w:sz w:val="18"/>
                <w:szCs w:val="18"/>
              </w:rPr>
              <w:t xml:space="preserve"> falcata </w:t>
            </w:r>
          </w:p>
          <w:p w14:paraId="1092D18E"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(Falcated Duck)</w:t>
            </w:r>
          </w:p>
        </w:tc>
        <w:tc>
          <w:tcPr>
            <w:tcW w:w="680" w:type="dxa"/>
            <w:tcBorders>
              <w:left w:val="nil"/>
              <w:right w:val="nil"/>
            </w:tcBorders>
          </w:tcPr>
          <w:p w14:paraId="6B7DF6D2"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II</w:t>
            </w:r>
          </w:p>
        </w:tc>
        <w:tc>
          <w:tcPr>
            <w:tcW w:w="1814" w:type="dxa"/>
            <w:tcBorders>
              <w:left w:val="nil"/>
              <w:right w:val="nil"/>
            </w:tcBorders>
          </w:tcPr>
          <w:p w14:paraId="5A72C602"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NT (</w:t>
            </w:r>
            <w:r w:rsidRPr="0048305E">
              <w:rPr>
                <w:rFonts w:ascii="Arial" w:hAnsi="Arial"/>
                <w:color w:val="1F1F1F"/>
                <w:sz w:val="18"/>
                <w:szCs w:val="18"/>
              </w:rPr>
              <w:t>↓</w:t>
            </w:r>
            <w:r w:rsidRPr="0048305E">
              <w:rPr>
                <w:rFonts w:ascii="Arial" w:hAnsi="Arial"/>
                <w:sz w:val="18"/>
                <w:szCs w:val="18"/>
              </w:rPr>
              <w:t xml:space="preserve">) </w:t>
            </w:r>
            <w:r w:rsidRPr="0048305E">
              <w:rPr>
                <w:rFonts w:ascii="Arial" w:hAnsi="Arial"/>
                <w:color w:val="040C28"/>
                <w:sz w:val="18"/>
                <w:szCs w:val="18"/>
              </w:rPr>
              <w:t>→</w:t>
            </w:r>
            <w:r w:rsidRPr="0048305E">
              <w:rPr>
                <w:rFonts w:ascii="Arial" w:hAnsi="Arial"/>
                <w:sz w:val="18"/>
                <w:szCs w:val="18"/>
              </w:rPr>
              <w:t xml:space="preserve"> </w:t>
            </w:r>
            <w:r w:rsidRPr="0048305E">
              <w:rPr>
                <w:rFonts w:ascii="Arial" w:hAnsi="Arial"/>
                <w:color w:val="040C28"/>
                <w:sz w:val="18"/>
                <w:szCs w:val="18"/>
              </w:rPr>
              <w:t>LC (-)</w:t>
            </w:r>
          </w:p>
        </w:tc>
        <w:tc>
          <w:tcPr>
            <w:tcW w:w="4168" w:type="dxa"/>
            <w:tcBorders>
              <w:left w:val="nil"/>
              <w:right w:val="nil"/>
            </w:tcBorders>
          </w:tcPr>
          <w:p w14:paraId="00230DFA" w14:textId="77777777" w:rsidR="002D72AD" w:rsidRPr="0048305E" w:rsidRDefault="002D72AD" w:rsidP="00ED5A72">
            <w:pPr>
              <w:spacing w:before="40" w:after="40"/>
              <w:jc w:val="both"/>
              <w:rPr>
                <w:rFonts w:ascii="Arial" w:hAnsi="Arial"/>
                <w:sz w:val="18"/>
                <w:szCs w:val="18"/>
              </w:rPr>
            </w:pPr>
            <w:r w:rsidRPr="0048305E">
              <w:rPr>
                <w:rFonts w:ascii="Arial" w:hAnsi="Arial"/>
                <w:sz w:val="18"/>
                <w:szCs w:val="18"/>
              </w:rPr>
              <w:t>Large population, population trend appears to be stable.</w:t>
            </w:r>
          </w:p>
        </w:tc>
      </w:tr>
      <w:tr w:rsidR="002D72AD" w:rsidRPr="0048305E" w14:paraId="5CE7B1EA" w14:textId="77777777" w:rsidTr="009555C6">
        <w:tc>
          <w:tcPr>
            <w:tcW w:w="2405" w:type="dxa"/>
            <w:tcBorders>
              <w:left w:val="nil"/>
              <w:right w:val="nil"/>
            </w:tcBorders>
            <w:shd w:val="clear" w:color="auto" w:fill="FBE4D5" w:themeFill="accent2" w:themeFillTint="33"/>
          </w:tcPr>
          <w:p w14:paraId="1C895959" w14:textId="77777777" w:rsidR="002D72AD" w:rsidRPr="0048305E" w:rsidRDefault="002D72AD" w:rsidP="00ED0994">
            <w:pPr>
              <w:spacing w:before="40" w:after="40"/>
              <w:rPr>
                <w:rFonts w:ascii="Arial" w:hAnsi="Arial"/>
                <w:b/>
                <w:i/>
                <w:sz w:val="18"/>
                <w:szCs w:val="18"/>
              </w:rPr>
            </w:pPr>
            <w:r w:rsidRPr="0048305E">
              <w:rPr>
                <w:rFonts w:ascii="Arial" w:hAnsi="Arial"/>
                <w:b/>
                <w:i/>
                <w:sz w:val="18"/>
                <w:szCs w:val="18"/>
              </w:rPr>
              <w:t xml:space="preserve">Hirundo </w:t>
            </w:r>
            <w:proofErr w:type="spellStart"/>
            <w:r w:rsidRPr="0048305E">
              <w:rPr>
                <w:rFonts w:ascii="Arial" w:hAnsi="Arial"/>
                <w:b/>
                <w:i/>
                <w:sz w:val="18"/>
                <w:szCs w:val="18"/>
              </w:rPr>
              <w:t>atrocaerulea</w:t>
            </w:r>
            <w:proofErr w:type="spellEnd"/>
            <w:r w:rsidRPr="0048305E">
              <w:rPr>
                <w:rFonts w:ascii="Arial" w:hAnsi="Arial"/>
                <w:b/>
                <w:i/>
                <w:sz w:val="18"/>
                <w:szCs w:val="18"/>
              </w:rPr>
              <w:t xml:space="preserve"> </w:t>
            </w:r>
          </w:p>
          <w:p w14:paraId="5C3566F9" w14:textId="77777777" w:rsidR="002D72AD" w:rsidRPr="0048305E" w:rsidRDefault="002D72AD" w:rsidP="00ED0994">
            <w:pPr>
              <w:spacing w:before="40" w:after="40"/>
              <w:rPr>
                <w:rFonts w:ascii="Arial" w:hAnsi="Arial"/>
                <w:b/>
                <w:sz w:val="18"/>
                <w:szCs w:val="18"/>
              </w:rPr>
            </w:pPr>
            <w:r w:rsidRPr="0048305E">
              <w:rPr>
                <w:rFonts w:ascii="Arial" w:hAnsi="Arial"/>
                <w:b/>
                <w:sz w:val="18"/>
                <w:szCs w:val="18"/>
              </w:rPr>
              <w:t>(Blue Swallow)</w:t>
            </w:r>
          </w:p>
        </w:tc>
        <w:tc>
          <w:tcPr>
            <w:tcW w:w="680" w:type="dxa"/>
            <w:tcBorders>
              <w:left w:val="nil"/>
              <w:right w:val="nil"/>
            </w:tcBorders>
            <w:shd w:val="clear" w:color="auto" w:fill="FBE4D5" w:themeFill="accent2" w:themeFillTint="33"/>
          </w:tcPr>
          <w:p w14:paraId="07BC4EC7"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I/II</w:t>
            </w:r>
          </w:p>
        </w:tc>
        <w:tc>
          <w:tcPr>
            <w:tcW w:w="1814" w:type="dxa"/>
            <w:tcBorders>
              <w:left w:val="nil"/>
              <w:right w:val="nil"/>
            </w:tcBorders>
            <w:shd w:val="clear" w:color="auto" w:fill="FBE4D5" w:themeFill="accent2" w:themeFillTint="33"/>
          </w:tcPr>
          <w:p w14:paraId="5E26E67B"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VU (</w:t>
            </w:r>
            <w:r w:rsidRPr="0048305E">
              <w:rPr>
                <w:rFonts w:ascii="Arial" w:hAnsi="Arial"/>
                <w:color w:val="1F1F1F"/>
                <w:sz w:val="18"/>
                <w:szCs w:val="18"/>
                <w:shd w:val="clear" w:color="auto" w:fill="FBE4D5" w:themeFill="accent2" w:themeFillTint="33"/>
              </w:rPr>
              <w:t>↓</w:t>
            </w:r>
            <w:r w:rsidRPr="0048305E">
              <w:rPr>
                <w:rFonts w:ascii="Arial" w:hAnsi="Arial"/>
                <w:sz w:val="18"/>
                <w:szCs w:val="18"/>
                <w:shd w:val="clear" w:color="auto" w:fill="FBE4D5" w:themeFill="accent2" w:themeFillTint="33"/>
              </w:rPr>
              <w:t xml:space="preserve">) </w:t>
            </w:r>
            <w:r w:rsidRPr="0048305E">
              <w:rPr>
                <w:rFonts w:ascii="Arial" w:hAnsi="Arial"/>
                <w:color w:val="040C28"/>
                <w:sz w:val="18"/>
                <w:szCs w:val="18"/>
              </w:rPr>
              <w:t>→</w:t>
            </w:r>
            <w:r w:rsidRPr="0048305E">
              <w:rPr>
                <w:rFonts w:ascii="Arial" w:hAnsi="Arial"/>
                <w:sz w:val="18"/>
                <w:szCs w:val="18"/>
              </w:rPr>
              <w:t xml:space="preserve"> EN (</w:t>
            </w:r>
            <w:r w:rsidRPr="0048305E">
              <w:rPr>
                <w:rFonts w:ascii="Arial" w:hAnsi="Arial"/>
                <w:color w:val="1F1F1F"/>
                <w:sz w:val="18"/>
                <w:szCs w:val="18"/>
                <w:shd w:val="clear" w:color="auto" w:fill="FBE4D5" w:themeFill="accent2" w:themeFillTint="33"/>
              </w:rPr>
              <w:t>↓</w:t>
            </w:r>
            <w:r w:rsidRPr="0048305E">
              <w:rPr>
                <w:rFonts w:ascii="Arial" w:hAnsi="Arial"/>
                <w:sz w:val="18"/>
                <w:szCs w:val="18"/>
                <w:shd w:val="clear" w:color="auto" w:fill="FBE4D5" w:themeFill="accent2" w:themeFillTint="33"/>
              </w:rPr>
              <w:t>)</w:t>
            </w:r>
          </w:p>
        </w:tc>
        <w:tc>
          <w:tcPr>
            <w:tcW w:w="4168" w:type="dxa"/>
            <w:tcBorders>
              <w:left w:val="nil"/>
              <w:right w:val="nil"/>
            </w:tcBorders>
            <w:shd w:val="clear" w:color="auto" w:fill="FBE4D5" w:themeFill="accent2" w:themeFillTint="33"/>
          </w:tcPr>
          <w:p w14:paraId="1564F3BF" w14:textId="77777777" w:rsidR="002D72AD" w:rsidRPr="0048305E" w:rsidRDefault="002D72AD" w:rsidP="00ED5A72">
            <w:pPr>
              <w:spacing w:before="40" w:after="40"/>
              <w:jc w:val="both"/>
              <w:rPr>
                <w:rFonts w:ascii="Arial" w:hAnsi="Arial"/>
                <w:sz w:val="18"/>
                <w:szCs w:val="18"/>
              </w:rPr>
            </w:pPr>
            <w:r w:rsidRPr="0048305E">
              <w:rPr>
                <w:rFonts w:ascii="Arial" w:hAnsi="Arial"/>
                <w:sz w:val="18"/>
                <w:szCs w:val="18"/>
              </w:rPr>
              <w:t>Small, declining population, threatened by habitat loss and degradation.</w:t>
            </w:r>
          </w:p>
        </w:tc>
      </w:tr>
      <w:tr w:rsidR="002D72AD" w:rsidRPr="0048305E" w14:paraId="4C4A9068" w14:textId="77777777" w:rsidTr="009555C6">
        <w:tc>
          <w:tcPr>
            <w:tcW w:w="2405" w:type="dxa"/>
            <w:tcBorders>
              <w:left w:val="nil"/>
              <w:right w:val="nil"/>
            </w:tcBorders>
            <w:shd w:val="clear" w:color="auto" w:fill="FBE4D5" w:themeFill="accent2" w:themeFillTint="33"/>
          </w:tcPr>
          <w:p w14:paraId="3FA13B72" w14:textId="77777777" w:rsidR="002D72AD" w:rsidRPr="0048305E" w:rsidRDefault="002D72AD" w:rsidP="00ED0994">
            <w:pPr>
              <w:spacing w:before="40" w:after="40"/>
              <w:rPr>
                <w:rFonts w:ascii="Arial" w:hAnsi="Arial"/>
                <w:b/>
                <w:i/>
                <w:sz w:val="18"/>
                <w:szCs w:val="18"/>
              </w:rPr>
            </w:pPr>
            <w:r w:rsidRPr="0048305E">
              <w:rPr>
                <w:rFonts w:ascii="Arial" w:hAnsi="Arial"/>
                <w:b/>
                <w:i/>
                <w:sz w:val="18"/>
                <w:szCs w:val="18"/>
              </w:rPr>
              <w:t xml:space="preserve">Otis </w:t>
            </w:r>
            <w:proofErr w:type="spellStart"/>
            <w:r w:rsidRPr="0048305E">
              <w:rPr>
                <w:rFonts w:ascii="Arial" w:hAnsi="Arial"/>
                <w:b/>
                <w:i/>
                <w:sz w:val="18"/>
                <w:szCs w:val="18"/>
              </w:rPr>
              <w:t>tarda</w:t>
            </w:r>
            <w:proofErr w:type="spellEnd"/>
            <w:r w:rsidRPr="0048305E">
              <w:rPr>
                <w:rFonts w:ascii="Arial" w:hAnsi="Arial"/>
                <w:b/>
                <w:i/>
                <w:sz w:val="18"/>
                <w:szCs w:val="18"/>
              </w:rPr>
              <w:t xml:space="preserve"> </w:t>
            </w:r>
          </w:p>
          <w:p w14:paraId="27724B4C" w14:textId="77777777" w:rsidR="002D72AD" w:rsidRPr="0048305E" w:rsidRDefault="002D72AD" w:rsidP="00ED0994">
            <w:pPr>
              <w:spacing w:before="40" w:after="40"/>
              <w:rPr>
                <w:rFonts w:ascii="Arial" w:hAnsi="Arial"/>
                <w:b/>
                <w:i/>
                <w:sz w:val="18"/>
                <w:szCs w:val="18"/>
              </w:rPr>
            </w:pPr>
            <w:r w:rsidRPr="0048305E">
              <w:rPr>
                <w:rFonts w:ascii="Arial" w:hAnsi="Arial"/>
                <w:b/>
                <w:sz w:val="18"/>
                <w:szCs w:val="18"/>
              </w:rPr>
              <w:t>(Great Bustard)</w:t>
            </w:r>
          </w:p>
        </w:tc>
        <w:tc>
          <w:tcPr>
            <w:tcW w:w="680" w:type="dxa"/>
            <w:tcBorders>
              <w:left w:val="nil"/>
              <w:right w:val="nil"/>
            </w:tcBorders>
            <w:shd w:val="clear" w:color="auto" w:fill="FBE4D5" w:themeFill="accent2" w:themeFillTint="33"/>
          </w:tcPr>
          <w:p w14:paraId="66BF7601"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I/II</w:t>
            </w:r>
          </w:p>
        </w:tc>
        <w:tc>
          <w:tcPr>
            <w:tcW w:w="1814" w:type="dxa"/>
            <w:tcBorders>
              <w:left w:val="nil"/>
              <w:right w:val="nil"/>
            </w:tcBorders>
            <w:shd w:val="clear" w:color="auto" w:fill="FBE4D5" w:themeFill="accent2" w:themeFillTint="33"/>
          </w:tcPr>
          <w:p w14:paraId="5A1EE492"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VU (</w:t>
            </w:r>
            <w:r w:rsidRPr="0048305E">
              <w:rPr>
                <w:rFonts w:ascii="Arial" w:hAnsi="Arial"/>
                <w:color w:val="1F1F1F"/>
                <w:sz w:val="18"/>
                <w:szCs w:val="18"/>
                <w:shd w:val="clear" w:color="auto" w:fill="FBE4D5" w:themeFill="accent2" w:themeFillTint="33"/>
              </w:rPr>
              <w:t>↓</w:t>
            </w:r>
            <w:r w:rsidRPr="0048305E">
              <w:rPr>
                <w:rFonts w:ascii="Arial" w:hAnsi="Arial"/>
                <w:sz w:val="18"/>
                <w:szCs w:val="18"/>
                <w:shd w:val="clear" w:color="auto" w:fill="FBE4D5" w:themeFill="accent2" w:themeFillTint="33"/>
              </w:rPr>
              <w:t xml:space="preserve">) </w:t>
            </w:r>
            <w:r w:rsidRPr="0048305E">
              <w:rPr>
                <w:rFonts w:ascii="Arial" w:hAnsi="Arial"/>
                <w:color w:val="040C28"/>
                <w:sz w:val="18"/>
                <w:szCs w:val="18"/>
              </w:rPr>
              <w:t>→</w:t>
            </w:r>
            <w:r w:rsidRPr="0048305E">
              <w:rPr>
                <w:rFonts w:ascii="Arial" w:hAnsi="Arial"/>
                <w:sz w:val="18"/>
                <w:szCs w:val="18"/>
              </w:rPr>
              <w:t xml:space="preserve"> EN </w:t>
            </w:r>
            <w:r w:rsidRPr="0048305E">
              <w:rPr>
                <w:rFonts w:ascii="Arial" w:hAnsi="Arial"/>
                <w:sz w:val="18"/>
                <w:szCs w:val="18"/>
                <w:shd w:val="clear" w:color="auto" w:fill="FBE4D5" w:themeFill="accent2" w:themeFillTint="33"/>
              </w:rPr>
              <w:t>(</w:t>
            </w:r>
            <w:r w:rsidRPr="0048305E">
              <w:rPr>
                <w:rFonts w:ascii="Arial" w:hAnsi="Arial"/>
                <w:color w:val="1F1F1F"/>
                <w:sz w:val="18"/>
                <w:szCs w:val="18"/>
                <w:shd w:val="clear" w:color="auto" w:fill="FBE4D5" w:themeFill="accent2" w:themeFillTint="33"/>
              </w:rPr>
              <w:t>↓</w:t>
            </w:r>
            <w:r w:rsidRPr="0048305E">
              <w:rPr>
                <w:rFonts w:ascii="Arial" w:hAnsi="Arial"/>
                <w:sz w:val="18"/>
                <w:szCs w:val="18"/>
                <w:shd w:val="clear" w:color="auto" w:fill="FBE4D5" w:themeFill="accent2" w:themeFillTint="33"/>
              </w:rPr>
              <w:t>)</w:t>
            </w:r>
          </w:p>
        </w:tc>
        <w:tc>
          <w:tcPr>
            <w:tcW w:w="4168" w:type="dxa"/>
            <w:tcBorders>
              <w:left w:val="nil"/>
              <w:right w:val="nil"/>
            </w:tcBorders>
            <w:shd w:val="clear" w:color="auto" w:fill="FBE4D5" w:themeFill="accent2" w:themeFillTint="33"/>
          </w:tcPr>
          <w:p w14:paraId="6E339791" w14:textId="77777777" w:rsidR="002D72AD" w:rsidRPr="0048305E" w:rsidRDefault="002D72AD" w:rsidP="00ED5A72">
            <w:pPr>
              <w:spacing w:before="40" w:after="40"/>
              <w:jc w:val="both"/>
              <w:rPr>
                <w:rFonts w:ascii="Arial" w:hAnsi="Arial"/>
                <w:sz w:val="18"/>
                <w:szCs w:val="18"/>
              </w:rPr>
            </w:pPr>
            <w:r w:rsidRPr="0048305E">
              <w:rPr>
                <w:rFonts w:ascii="Arial" w:hAnsi="Arial"/>
                <w:sz w:val="18"/>
                <w:szCs w:val="18"/>
              </w:rPr>
              <w:t>Rapid population declines across most of the species’ range; threats include habitat alteration, infrastructure impacts, climate change and illegal taking.</w:t>
            </w:r>
          </w:p>
        </w:tc>
      </w:tr>
      <w:tr w:rsidR="002D72AD" w:rsidRPr="0048305E" w14:paraId="2C808CE0" w14:textId="77777777" w:rsidTr="009555C6">
        <w:tc>
          <w:tcPr>
            <w:tcW w:w="2405" w:type="dxa"/>
            <w:tcBorders>
              <w:left w:val="nil"/>
              <w:right w:val="nil"/>
            </w:tcBorders>
          </w:tcPr>
          <w:p w14:paraId="6392D400" w14:textId="77777777" w:rsidR="002D72AD" w:rsidRPr="0048305E" w:rsidRDefault="002D72AD" w:rsidP="00ED0994">
            <w:pPr>
              <w:spacing w:before="40" w:after="40"/>
              <w:ind w:right="-252"/>
              <w:rPr>
                <w:rFonts w:ascii="Arial" w:hAnsi="Arial"/>
                <w:sz w:val="18"/>
                <w:szCs w:val="18"/>
              </w:rPr>
            </w:pPr>
            <w:proofErr w:type="spellStart"/>
            <w:r w:rsidRPr="0048305E">
              <w:rPr>
                <w:rFonts w:ascii="Arial" w:hAnsi="Arial"/>
                <w:i/>
                <w:sz w:val="18"/>
                <w:szCs w:val="18"/>
              </w:rPr>
              <w:t>Terpsiphone</w:t>
            </w:r>
            <w:proofErr w:type="spellEnd"/>
            <w:r w:rsidRPr="0048305E">
              <w:rPr>
                <w:rFonts w:ascii="Arial" w:hAnsi="Arial"/>
                <w:i/>
                <w:sz w:val="18"/>
                <w:szCs w:val="18"/>
              </w:rPr>
              <w:t xml:space="preserve"> </w:t>
            </w:r>
            <w:proofErr w:type="spellStart"/>
            <w:r w:rsidRPr="0048305E">
              <w:rPr>
                <w:rFonts w:ascii="Arial" w:hAnsi="Arial"/>
                <w:i/>
                <w:sz w:val="18"/>
                <w:szCs w:val="18"/>
              </w:rPr>
              <w:t>atrocaudata</w:t>
            </w:r>
            <w:proofErr w:type="spellEnd"/>
            <w:r w:rsidRPr="0048305E">
              <w:rPr>
                <w:rFonts w:ascii="Arial" w:hAnsi="Arial"/>
                <w:i/>
                <w:sz w:val="18"/>
                <w:szCs w:val="18"/>
              </w:rPr>
              <w:t xml:space="preserve"> </w:t>
            </w:r>
            <w:r w:rsidRPr="0048305E">
              <w:rPr>
                <w:rFonts w:ascii="Arial" w:hAnsi="Arial"/>
                <w:sz w:val="18"/>
                <w:szCs w:val="18"/>
              </w:rPr>
              <w:t>(Japanese Paradise-Flycatcher)</w:t>
            </w:r>
          </w:p>
        </w:tc>
        <w:tc>
          <w:tcPr>
            <w:tcW w:w="680" w:type="dxa"/>
            <w:tcBorders>
              <w:left w:val="nil"/>
              <w:right w:val="nil"/>
            </w:tcBorders>
          </w:tcPr>
          <w:p w14:paraId="12DBE543"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II</w:t>
            </w:r>
          </w:p>
        </w:tc>
        <w:tc>
          <w:tcPr>
            <w:tcW w:w="1814" w:type="dxa"/>
            <w:tcBorders>
              <w:left w:val="nil"/>
              <w:right w:val="nil"/>
            </w:tcBorders>
          </w:tcPr>
          <w:p w14:paraId="18F6E5FA"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NT (</w:t>
            </w:r>
            <w:r w:rsidRPr="0048305E">
              <w:rPr>
                <w:rFonts w:ascii="Arial" w:hAnsi="Arial"/>
                <w:color w:val="1F1F1F"/>
                <w:sz w:val="18"/>
                <w:szCs w:val="18"/>
              </w:rPr>
              <w:t>↓</w:t>
            </w:r>
            <w:r w:rsidRPr="0048305E">
              <w:rPr>
                <w:rFonts w:ascii="Arial" w:hAnsi="Arial"/>
                <w:sz w:val="18"/>
                <w:szCs w:val="18"/>
              </w:rPr>
              <w:t xml:space="preserve">) </w:t>
            </w:r>
            <w:r w:rsidRPr="0048305E">
              <w:rPr>
                <w:rFonts w:ascii="Arial" w:hAnsi="Arial"/>
                <w:color w:val="040C28"/>
                <w:sz w:val="18"/>
                <w:szCs w:val="18"/>
              </w:rPr>
              <w:t>→</w:t>
            </w:r>
            <w:r w:rsidRPr="0048305E">
              <w:rPr>
                <w:rFonts w:ascii="Arial" w:hAnsi="Arial"/>
                <w:sz w:val="18"/>
                <w:szCs w:val="18"/>
              </w:rPr>
              <w:t xml:space="preserve"> </w:t>
            </w:r>
            <w:r w:rsidRPr="0048305E">
              <w:rPr>
                <w:rFonts w:ascii="Arial" w:hAnsi="Arial"/>
                <w:color w:val="040C28"/>
                <w:sz w:val="18"/>
                <w:szCs w:val="18"/>
              </w:rPr>
              <w:t>LC (-)</w:t>
            </w:r>
          </w:p>
        </w:tc>
        <w:tc>
          <w:tcPr>
            <w:tcW w:w="4168" w:type="dxa"/>
            <w:tcBorders>
              <w:left w:val="nil"/>
              <w:right w:val="nil"/>
            </w:tcBorders>
          </w:tcPr>
          <w:p w14:paraId="52E168DB" w14:textId="77777777" w:rsidR="002D72AD" w:rsidRPr="0048305E" w:rsidRDefault="002D72AD" w:rsidP="00ED5A72">
            <w:pPr>
              <w:spacing w:before="40" w:after="40"/>
              <w:jc w:val="both"/>
              <w:rPr>
                <w:rFonts w:ascii="Arial" w:hAnsi="Arial"/>
                <w:sz w:val="18"/>
                <w:szCs w:val="18"/>
              </w:rPr>
            </w:pPr>
            <w:r w:rsidRPr="0048305E">
              <w:rPr>
                <w:rFonts w:ascii="Arial" w:hAnsi="Arial"/>
                <w:sz w:val="18"/>
                <w:szCs w:val="18"/>
              </w:rPr>
              <w:t>Species has a large range, population trend appears to be stable.</w:t>
            </w:r>
          </w:p>
        </w:tc>
      </w:tr>
      <w:tr w:rsidR="002D72AD" w:rsidRPr="0048305E" w14:paraId="15AE61BA" w14:textId="77777777" w:rsidTr="009555C6">
        <w:tc>
          <w:tcPr>
            <w:tcW w:w="2405" w:type="dxa"/>
            <w:tcBorders>
              <w:left w:val="nil"/>
              <w:right w:val="nil"/>
            </w:tcBorders>
            <w:shd w:val="clear" w:color="auto" w:fill="FBE4D5" w:themeFill="accent2" w:themeFillTint="33"/>
          </w:tcPr>
          <w:p w14:paraId="5AA935C1" w14:textId="77777777" w:rsidR="002D72AD" w:rsidRPr="0048305E" w:rsidRDefault="002D72AD" w:rsidP="00ED0994">
            <w:pPr>
              <w:spacing w:before="40" w:after="40"/>
              <w:rPr>
                <w:rFonts w:ascii="Arial" w:hAnsi="Arial"/>
                <w:i/>
                <w:sz w:val="18"/>
                <w:szCs w:val="18"/>
              </w:rPr>
            </w:pPr>
            <w:r w:rsidRPr="0048305E">
              <w:rPr>
                <w:rFonts w:ascii="Arial" w:hAnsi="Arial"/>
                <w:i/>
                <w:sz w:val="18"/>
                <w:szCs w:val="18"/>
              </w:rPr>
              <w:t xml:space="preserve">Arenaria </w:t>
            </w:r>
            <w:proofErr w:type="spellStart"/>
            <w:r w:rsidRPr="0048305E">
              <w:rPr>
                <w:rFonts w:ascii="Arial" w:hAnsi="Arial"/>
                <w:i/>
                <w:sz w:val="18"/>
                <w:szCs w:val="18"/>
              </w:rPr>
              <w:t>interpres</w:t>
            </w:r>
            <w:proofErr w:type="spellEnd"/>
            <w:r w:rsidRPr="0048305E">
              <w:rPr>
                <w:rFonts w:ascii="Arial" w:hAnsi="Arial"/>
                <w:i/>
                <w:sz w:val="18"/>
                <w:szCs w:val="18"/>
              </w:rPr>
              <w:t xml:space="preserve"> </w:t>
            </w:r>
          </w:p>
          <w:p w14:paraId="288018C9" w14:textId="77777777" w:rsidR="002D72AD" w:rsidRPr="0048305E" w:rsidRDefault="002D72AD" w:rsidP="00ED0994">
            <w:pPr>
              <w:spacing w:before="40" w:after="40"/>
              <w:rPr>
                <w:rFonts w:ascii="Arial" w:hAnsi="Arial"/>
                <w:i/>
                <w:sz w:val="18"/>
                <w:szCs w:val="18"/>
              </w:rPr>
            </w:pPr>
            <w:r w:rsidRPr="0048305E">
              <w:rPr>
                <w:rFonts w:ascii="Arial" w:hAnsi="Arial"/>
                <w:sz w:val="18"/>
                <w:szCs w:val="18"/>
              </w:rPr>
              <w:t>(Ruddy Turnstone)</w:t>
            </w:r>
          </w:p>
        </w:tc>
        <w:tc>
          <w:tcPr>
            <w:tcW w:w="680" w:type="dxa"/>
            <w:tcBorders>
              <w:left w:val="nil"/>
              <w:right w:val="nil"/>
            </w:tcBorders>
            <w:shd w:val="clear" w:color="auto" w:fill="FBE4D5" w:themeFill="accent2" w:themeFillTint="33"/>
          </w:tcPr>
          <w:p w14:paraId="5543B188"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II</w:t>
            </w:r>
          </w:p>
        </w:tc>
        <w:tc>
          <w:tcPr>
            <w:tcW w:w="1814" w:type="dxa"/>
            <w:tcBorders>
              <w:left w:val="nil"/>
              <w:right w:val="nil"/>
            </w:tcBorders>
            <w:shd w:val="clear" w:color="auto" w:fill="FBE4D5" w:themeFill="accent2" w:themeFillTint="33"/>
          </w:tcPr>
          <w:p w14:paraId="20FE986F"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LC (</w:t>
            </w:r>
            <w:r w:rsidRPr="0048305E">
              <w:rPr>
                <w:rFonts w:ascii="Arial" w:hAnsi="Arial"/>
                <w:color w:val="1F1F1F"/>
                <w:sz w:val="18"/>
                <w:szCs w:val="18"/>
                <w:shd w:val="clear" w:color="auto" w:fill="FBE4D5" w:themeFill="accent2" w:themeFillTint="33"/>
              </w:rPr>
              <w:t>↓</w:t>
            </w:r>
            <w:r w:rsidRPr="0048305E">
              <w:rPr>
                <w:rFonts w:ascii="Arial" w:hAnsi="Arial"/>
                <w:sz w:val="18"/>
                <w:szCs w:val="18"/>
                <w:shd w:val="clear" w:color="auto" w:fill="FBE4D5" w:themeFill="accent2" w:themeFillTint="33"/>
              </w:rPr>
              <w:t xml:space="preserve">) </w:t>
            </w:r>
            <w:r w:rsidRPr="0048305E">
              <w:rPr>
                <w:rFonts w:ascii="Arial" w:hAnsi="Arial"/>
                <w:color w:val="040C28"/>
                <w:sz w:val="18"/>
                <w:szCs w:val="18"/>
              </w:rPr>
              <w:t>→</w:t>
            </w:r>
            <w:r w:rsidRPr="0048305E">
              <w:rPr>
                <w:rFonts w:ascii="Arial" w:hAnsi="Arial"/>
                <w:sz w:val="18"/>
                <w:szCs w:val="18"/>
              </w:rPr>
              <w:t xml:space="preserve"> NT (</w:t>
            </w:r>
            <w:r w:rsidRPr="0048305E">
              <w:rPr>
                <w:rFonts w:ascii="Arial" w:hAnsi="Arial"/>
                <w:color w:val="1F1F1F"/>
                <w:sz w:val="18"/>
                <w:szCs w:val="18"/>
                <w:shd w:val="clear" w:color="auto" w:fill="FBE4D5" w:themeFill="accent2" w:themeFillTint="33"/>
              </w:rPr>
              <w:t>↓)</w:t>
            </w:r>
          </w:p>
        </w:tc>
        <w:tc>
          <w:tcPr>
            <w:tcW w:w="4168" w:type="dxa"/>
            <w:tcBorders>
              <w:left w:val="nil"/>
              <w:right w:val="nil"/>
            </w:tcBorders>
            <w:shd w:val="clear" w:color="auto" w:fill="FBE4D5" w:themeFill="accent2" w:themeFillTint="33"/>
          </w:tcPr>
          <w:p w14:paraId="622A8E9F" w14:textId="77777777" w:rsidR="002D72AD" w:rsidRPr="0048305E" w:rsidRDefault="002D72AD" w:rsidP="00ED5A72">
            <w:pPr>
              <w:spacing w:before="40" w:after="40"/>
              <w:jc w:val="both"/>
              <w:rPr>
                <w:rFonts w:ascii="Arial" w:hAnsi="Arial"/>
                <w:sz w:val="18"/>
                <w:szCs w:val="18"/>
              </w:rPr>
            </w:pPr>
            <w:r w:rsidRPr="0048305E">
              <w:rPr>
                <w:rFonts w:ascii="Arial" w:hAnsi="Arial"/>
                <w:sz w:val="18"/>
                <w:szCs w:val="18"/>
              </w:rPr>
              <w:t>Estimated population reduction of 20-29%; exact drivers of decline are unknown.</w:t>
            </w:r>
          </w:p>
        </w:tc>
      </w:tr>
      <w:tr w:rsidR="002D72AD" w:rsidRPr="0048305E" w14:paraId="7E5C805F" w14:textId="77777777" w:rsidTr="009555C6">
        <w:tc>
          <w:tcPr>
            <w:tcW w:w="2405" w:type="dxa"/>
            <w:tcBorders>
              <w:left w:val="nil"/>
              <w:right w:val="nil"/>
            </w:tcBorders>
            <w:shd w:val="clear" w:color="auto" w:fill="FBE4D5" w:themeFill="accent2" w:themeFillTint="33"/>
          </w:tcPr>
          <w:p w14:paraId="5DE7C8A0" w14:textId="77777777" w:rsidR="002D72AD" w:rsidRPr="0048305E" w:rsidRDefault="002D72AD" w:rsidP="00ED0994">
            <w:pPr>
              <w:spacing w:before="40" w:after="40"/>
              <w:rPr>
                <w:rFonts w:ascii="Arial" w:hAnsi="Arial"/>
                <w:i/>
                <w:sz w:val="18"/>
                <w:szCs w:val="18"/>
              </w:rPr>
            </w:pPr>
            <w:r w:rsidRPr="0048305E">
              <w:rPr>
                <w:rFonts w:ascii="Arial" w:hAnsi="Arial"/>
                <w:i/>
                <w:sz w:val="18"/>
                <w:szCs w:val="18"/>
              </w:rPr>
              <w:t xml:space="preserve">Calidris </w:t>
            </w:r>
            <w:proofErr w:type="spellStart"/>
            <w:r w:rsidRPr="0048305E">
              <w:rPr>
                <w:rFonts w:ascii="Arial" w:hAnsi="Arial"/>
                <w:i/>
                <w:sz w:val="18"/>
                <w:szCs w:val="18"/>
              </w:rPr>
              <w:t>alpina</w:t>
            </w:r>
            <w:proofErr w:type="spellEnd"/>
            <w:r w:rsidRPr="0048305E">
              <w:rPr>
                <w:rFonts w:ascii="Arial" w:hAnsi="Arial"/>
                <w:i/>
                <w:sz w:val="18"/>
                <w:szCs w:val="18"/>
              </w:rPr>
              <w:t xml:space="preserve"> </w:t>
            </w:r>
          </w:p>
          <w:p w14:paraId="20089AD6" w14:textId="77777777" w:rsidR="002D72AD" w:rsidRPr="0048305E" w:rsidRDefault="002D72AD" w:rsidP="00ED0994">
            <w:pPr>
              <w:spacing w:before="40" w:after="40"/>
              <w:rPr>
                <w:rFonts w:ascii="Arial" w:hAnsi="Arial"/>
                <w:i/>
                <w:sz w:val="18"/>
                <w:szCs w:val="18"/>
              </w:rPr>
            </w:pPr>
            <w:r w:rsidRPr="0048305E">
              <w:rPr>
                <w:rFonts w:ascii="Arial" w:hAnsi="Arial"/>
                <w:sz w:val="18"/>
                <w:szCs w:val="18"/>
              </w:rPr>
              <w:t>(Dunlin)</w:t>
            </w:r>
          </w:p>
        </w:tc>
        <w:tc>
          <w:tcPr>
            <w:tcW w:w="680" w:type="dxa"/>
            <w:tcBorders>
              <w:left w:val="nil"/>
              <w:right w:val="nil"/>
            </w:tcBorders>
            <w:shd w:val="clear" w:color="auto" w:fill="FBE4D5" w:themeFill="accent2" w:themeFillTint="33"/>
          </w:tcPr>
          <w:p w14:paraId="0528CF20"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II</w:t>
            </w:r>
          </w:p>
        </w:tc>
        <w:tc>
          <w:tcPr>
            <w:tcW w:w="1814" w:type="dxa"/>
            <w:tcBorders>
              <w:left w:val="nil"/>
              <w:right w:val="nil"/>
            </w:tcBorders>
            <w:shd w:val="clear" w:color="auto" w:fill="FBE4D5" w:themeFill="accent2" w:themeFillTint="33"/>
          </w:tcPr>
          <w:p w14:paraId="099EA7C4"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 xml:space="preserve">LC </w:t>
            </w:r>
            <w:r w:rsidRPr="0048305E">
              <w:rPr>
                <w:rFonts w:ascii="Arial" w:hAnsi="Arial"/>
                <w:sz w:val="18"/>
                <w:szCs w:val="18"/>
                <w:shd w:val="clear" w:color="auto" w:fill="FBE4D5" w:themeFill="accent2" w:themeFillTint="33"/>
              </w:rPr>
              <w:t>(</w:t>
            </w:r>
            <w:r w:rsidRPr="0048305E">
              <w:rPr>
                <w:rFonts w:ascii="Arial" w:hAnsi="Arial"/>
                <w:color w:val="1F1F1F"/>
                <w:sz w:val="18"/>
                <w:szCs w:val="18"/>
                <w:shd w:val="clear" w:color="auto" w:fill="FBE4D5" w:themeFill="accent2" w:themeFillTint="33"/>
              </w:rPr>
              <w:t>↓</w:t>
            </w:r>
            <w:r w:rsidRPr="0048305E">
              <w:rPr>
                <w:rFonts w:ascii="Arial" w:hAnsi="Arial"/>
                <w:sz w:val="18"/>
                <w:szCs w:val="18"/>
                <w:shd w:val="clear" w:color="auto" w:fill="FBE4D5" w:themeFill="accent2" w:themeFillTint="33"/>
              </w:rPr>
              <w:t xml:space="preserve">) </w:t>
            </w:r>
            <w:r w:rsidRPr="0048305E">
              <w:rPr>
                <w:rFonts w:ascii="Arial" w:hAnsi="Arial"/>
                <w:color w:val="040C28"/>
                <w:sz w:val="18"/>
                <w:szCs w:val="18"/>
              </w:rPr>
              <w:t>→</w:t>
            </w:r>
            <w:r w:rsidRPr="0048305E">
              <w:rPr>
                <w:rFonts w:ascii="Arial" w:hAnsi="Arial"/>
                <w:sz w:val="18"/>
                <w:szCs w:val="18"/>
              </w:rPr>
              <w:t xml:space="preserve"> NT (</w:t>
            </w:r>
            <w:r w:rsidRPr="0048305E">
              <w:rPr>
                <w:rFonts w:ascii="Arial" w:hAnsi="Arial"/>
                <w:color w:val="1F1F1F"/>
                <w:sz w:val="18"/>
                <w:szCs w:val="18"/>
                <w:shd w:val="clear" w:color="auto" w:fill="FBE4D5" w:themeFill="accent2" w:themeFillTint="33"/>
              </w:rPr>
              <w:t>↓)</w:t>
            </w:r>
          </w:p>
        </w:tc>
        <w:tc>
          <w:tcPr>
            <w:tcW w:w="4168" w:type="dxa"/>
            <w:tcBorders>
              <w:left w:val="nil"/>
              <w:right w:val="nil"/>
            </w:tcBorders>
            <w:shd w:val="clear" w:color="auto" w:fill="FBE4D5" w:themeFill="accent2" w:themeFillTint="33"/>
          </w:tcPr>
          <w:p w14:paraId="2696B2F7" w14:textId="77777777" w:rsidR="002D72AD" w:rsidRPr="0048305E" w:rsidRDefault="002D72AD" w:rsidP="00ED5A72">
            <w:pPr>
              <w:spacing w:before="40" w:after="40"/>
              <w:jc w:val="both"/>
              <w:rPr>
                <w:rFonts w:ascii="Arial" w:hAnsi="Arial"/>
                <w:sz w:val="18"/>
                <w:szCs w:val="18"/>
              </w:rPr>
            </w:pPr>
            <w:r w:rsidRPr="0048305E">
              <w:rPr>
                <w:rFonts w:ascii="Arial" w:hAnsi="Arial"/>
                <w:sz w:val="18"/>
                <w:szCs w:val="18"/>
              </w:rPr>
              <w:t>Suspected population decline of 20-29%; exact drivers of decline remain unknown.</w:t>
            </w:r>
          </w:p>
        </w:tc>
      </w:tr>
      <w:tr w:rsidR="002D72AD" w:rsidRPr="0048305E" w14:paraId="60C8FDB5" w14:textId="77777777" w:rsidTr="009555C6">
        <w:tc>
          <w:tcPr>
            <w:tcW w:w="2405" w:type="dxa"/>
            <w:tcBorders>
              <w:left w:val="nil"/>
              <w:right w:val="nil"/>
            </w:tcBorders>
            <w:shd w:val="clear" w:color="auto" w:fill="FBE4D5" w:themeFill="accent2" w:themeFillTint="33"/>
          </w:tcPr>
          <w:p w14:paraId="3DB5CA20" w14:textId="77777777" w:rsidR="002D72AD" w:rsidRPr="0048305E" w:rsidRDefault="002D72AD" w:rsidP="00ED0994">
            <w:pPr>
              <w:spacing w:before="40" w:after="40"/>
              <w:rPr>
                <w:rFonts w:ascii="Arial" w:hAnsi="Arial"/>
                <w:b/>
                <w:i/>
                <w:sz w:val="18"/>
                <w:szCs w:val="18"/>
              </w:rPr>
            </w:pPr>
            <w:r w:rsidRPr="0048305E">
              <w:rPr>
                <w:rFonts w:ascii="Arial" w:hAnsi="Arial"/>
                <w:b/>
                <w:i/>
                <w:sz w:val="18"/>
                <w:szCs w:val="18"/>
              </w:rPr>
              <w:t xml:space="preserve">Calidris </w:t>
            </w:r>
            <w:proofErr w:type="spellStart"/>
            <w:r w:rsidRPr="0048305E">
              <w:rPr>
                <w:rFonts w:ascii="Arial" w:hAnsi="Arial"/>
                <w:b/>
                <w:i/>
                <w:sz w:val="18"/>
                <w:szCs w:val="18"/>
              </w:rPr>
              <w:t>falcinellus</w:t>
            </w:r>
            <w:proofErr w:type="spellEnd"/>
            <w:r w:rsidRPr="0048305E">
              <w:rPr>
                <w:rFonts w:ascii="Arial" w:hAnsi="Arial"/>
                <w:b/>
                <w:i/>
                <w:sz w:val="18"/>
                <w:szCs w:val="18"/>
              </w:rPr>
              <w:t xml:space="preserve"> </w:t>
            </w:r>
          </w:p>
          <w:p w14:paraId="02181328" w14:textId="77777777" w:rsidR="002D72AD" w:rsidRPr="0048305E" w:rsidRDefault="002D72AD" w:rsidP="00ED0994">
            <w:pPr>
              <w:spacing w:before="40" w:after="40"/>
              <w:rPr>
                <w:rFonts w:ascii="Arial" w:hAnsi="Arial"/>
                <w:b/>
                <w:i/>
                <w:sz w:val="18"/>
                <w:szCs w:val="18"/>
              </w:rPr>
            </w:pPr>
            <w:r w:rsidRPr="0048305E">
              <w:rPr>
                <w:rFonts w:ascii="Arial" w:hAnsi="Arial"/>
                <w:b/>
                <w:sz w:val="18"/>
                <w:szCs w:val="18"/>
              </w:rPr>
              <w:t>(Broad-billed Sandpiper)</w:t>
            </w:r>
          </w:p>
        </w:tc>
        <w:tc>
          <w:tcPr>
            <w:tcW w:w="680" w:type="dxa"/>
            <w:tcBorders>
              <w:left w:val="nil"/>
              <w:right w:val="nil"/>
            </w:tcBorders>
            <w:shd w:val="clear" w:color="auto" w:fill="FBE4D5" w:themeFill="accent2" w:themeFillTint="33"/>
          </w:tcPr>
          <w:p w14:paraId="70A39DBA"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II</w:t>
            </w:r>
          </w:p>
        </w:tc>
        <w:tc>
          <w:tcPr>
            <w:tcW w:w="1814" w:type="dxa"/>
            <w:tcBorders>
              <w:left w:val="nil"/>
              <w:right w:val="nil"/>
            </w:tcBorders>
            <w:shd w:val="clear" w:color="auto" w:fill="FBE4D5" w:themeFill="accent2" w:themeFillTint="33"/>
          </w:tcPr>
          <w:p w14:paraId="4FE6CB41"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LC (</w:t>
            </w:r>
            <w:r w:rsidRPr="0048305E">
              <w:rPr>
                <w:rFonts w:ascii="Arial" w:hAnsi="Arial"/>
                <w:color w:val="1F1F1F"/>
                <w:sz w:val="18"/>
                <w:szCs w:val="18"/>
                <w:shd w:val="clear" w:color="auto" w:fill="FBE4D5" w:themeFill="accent2" w:themeFillTint="33"/>
              </w:rPr>
              <w:t>↓</w:t>
            </w:r>
            <w:r w:rsidRPr="0048305E">
              <w:rPr>
                <w:rFonts w:ascii="Arial" w:hAnsi="Arial"/>
                <w:sz w:val="18"/>
                <w:szCs w:val="18"/>
                <w:shd w:val="clear" w:color="auto" w:fill="FBE4D5" w:themeFill="accent2" w:themeFillTint="33"/>
              </w:rPr>
              <w:t xml:space="preserve">) </w:t>
            </w:r>
            <w:r w:rsidRPr="0048305E">
              <w:rPr>
                <w:rFonts w:ascii="Arial" w:hAnsi="Arial"/>
                <w:color w:val="040C28"/>
                <w:sz w:val="18"/>
                <w:szCs w:val="18"/>
              </w:rPr>
              <w:t>→</w:t>
            </w:r>
            <w:r w:rsidRPr="0048305E">
              <w:rPr>
                <w:rFonts w:ascii="Arial" w:hAnsi="Arial"/>
                <w:sz w:val="18"/>
                <w:szCs w:val="18"/>
              </w:rPr>
              <w:t xml:space="preserve"> VU (</w:t>
            </w:r>
            <w:r w:rsidRPr="0048305E">
              <w:rPr>
                <w:rFonts w:ascii="Arial" w:hAnsi="Arial"/>
                <w:color w:val="1F1F1F"/>
                <w:sz w:val="18"/>
                <w:szCs w:val="18"/>
                <w:shd w:val="clear" w:color="auto" w:fill="FBE4D5" w:themeFill="accent2" w:themeFillTint="33"/>
              </w:rPr>
              <w:t>↓)</w:t>
            </w:r>
          </w:p>
        </w:tc>
        <w:tc>
          <w:tcPr>
            <w:tcW w:w="4168" w:type="dxa"/>
            <w:tcBorders>
              <w:left w:val="nil"/>
              <w:right w:val="nil"/>
            </w:tcBorders>
            <w:shd w:val="clear" w:color="auto" w:fill="FBE4D5" w:themeFill="accent2" w:themeFillTint="33"/>
          </w:tcPr>
          <w:p w14:paraId="64104F8F" w14:textId="77777777" w:rsidR="002D72AD" w:rsidRPr="0048305E" w:rsidRDefault="002D72AD" w:rsidP="00ED5A72">
            <w:pPr>
              <w:spacing w:before="40" w:after="40"/>
              <w:jc w:val="both"/>
              <w:rPr>
                <w:rFonts w:ascii="Arial" w:hAnsi="Arial"/>
                <w:sz w:val="18"/>
                <w:szCs w:val="18"/>
              </w:rPr>
            </w:pPr>
            <w:r w:rsidRPr="0048305E">
              <w:rPr>
                <w:rFonts w:ascii="Arial" w:hAnsi="Arial"/>
                <w:sz w:val="18"/>
                <w:szCs w:val="18"/>
              </w:rPr>
              <w:t>Estimated population declines of 30-49%; drivers poorly known, but likely to include loss/degradation of breeding habitat.</w:t>
            </w:r>
          </w:p>
        </w:tc>
      </w:tr>
      <w:tr w:rsidR="002D72AD" w:rsidRPr="0048305E" w14:paraId="6E58ABBC" w14:textId="77777777" w:rsidTr="009555C6">
        <w:tc>
          <w:tcPr>
            <w:tcW w:w="2405" w:type="dxa"/>
            <w:tcBorders>
              <w:left w:val="nil"/>
              <w:right w:val="nil"/>
            </w:tcBorders>
            <w:shd w:val="clear" w:color="auto" w:fill="FBE4D5" w:themeFill="accent2" w:themeFillTint="33"/>
          </w:tcPr>
          <w:p w14:paraId="19BA0403" w14:textId="77777777" w:rsidR="002D72AD" w:rsidRPr="0048305E" w:rsidRDefault="002D72AD" w:rsidP="00ED0994">
            <w:pPr>
              <w:spacing w:before="40" w:after="40"/>
              <w:rPr>
                <w:rFonts w:ascii="Arial" w:hAnsi="Arial"/>
                <w:b/>
                <w:i/>
                <w:sz w:val="18"/>
                <w:szCs w:val="18"/>
              </w:rPr>
            </w:pPr>
            <w:r w:rsidRPr="0048305E">
              <w:rPr>
                <w:rFonts w:ascii="Arial" w:hAnsi="Arial"/>
                <w:b/>
                <w:i/>
                <w:sz w:val="18"/>
                <w:szCs w:val="18"/>
              </w:rPr>
              <w:lastRenderedPageBreak/>
              <w:t xml:space="preserve">Calidris </w:t>
            </w:r>
            <w:proofErr w:type="spellStart"/>
            <w:r w:rsidRPr="0048305E">
              <w:rPr>
                <w:rFonts w:ascii="Arial" w:hAnsi="Arial"/>
                <w:b/>
                <w:i/>
                <w:sz w:val="18"/>
                <w:szCs w:val="18"/>
              </w:rPr>
              <w:t>ferruginea</w:t>
            </w:r>
            <w:proofErr w:type="spellEnd"/>
            <w:r w:rsidRPr="0048305E">
              <w:rPr>
                <w:rFonts w:ascii="Arial" w:hAnsi="Arial"/>
                <w:b/>
                <w:i/>
                <w:sz w:val="18"/>
                <w:szCs w:val="18"/>
              </w:rPr>
              <w:t xml:space="preserve"> </w:t>
            </w:r>
          </w:p>
          <w:p w14:paraId="1038B937" w14:textId="77777777" w:rsidR="002D72AD" w:rsidRPr="0048305E" w:rsidRDefault="002D72AD" w:rsidP="00ED0994">
            <w:pPr>
              <w:spacing w:before="40" w:after="40"/>
              <w:rPr>
                <w:rFonts w:ascii="Arial" w:hAnsi="Arial"/>
                <w:b/>
                <w:sz w:val="18"/>
                <w:szCs w:val="18"/>
              </w:rPr>
            </w:pPr>
            <w:r w:rsidRPr="0048305E">
              <w:rPr>
                <w:rFonts w:ascii="Arial" w:hAnsi="Arial"/>
                <w:b/>
                <w:sz w:val="18"/>
                <w:szCs w:val="18"/>
              </w:rPr>
              <w:t>(Curlew Sandpiper)</w:t>
            </w:r>
          </w:p>
        </w:tc>
        <w:tc>
          <w:tcPr>
            <w:tcW w:w="680" w:type="dxa"/>
            <w:tcBorders>
              <w:left w:val="nil"/>
              <w:right w:val="nil"/>
            </w:tcBorders>
            <w:shd w:val="clear" w:color="auto" w:fill="FBE4D5" w:themeFill="accent2" w:themeFillTint="33"/>
          </w:tcPr>
          <w:p w14:paraId="6B262973"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II</w:t>
            </w:r>
          </w:p>
        </w:tc>
        <w:tc>
          <w:tcPr>
            <w:tcW w:w="1814" w:type="dxa"/>
            <w:tcBorders>
              <w:left w:val="nil"/>
              <w:right w:val="nil"/>
            </w:tcBorders>
            <w:shd w:val="clear" w:color="auto" w:fill="FBE4D5" w:themeFill="accent2" w:themeFillTint="33"/>
          </w:tcPr>
          <w:p w14:paraId="32112301"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 xml:space="preserve">NT </w:t>
            </w:r>
            <w:r w:rsidRPr="0048305E">
              <w:rPr>
                <w:rFonts w:ascii="Arial" w:hAnsi="Arial"/>
                <w:sz w:val="18"/>
                <w:szCs w:val="18"/>
                <w:shd w:val="clear" w:color="auto" w:fill="FBE4D5" w:themeFill="accent2" w:themeFillTint="33"/>
              </w:rPr>
              <w:t>(</w:t>
            </w:r>
            <w:r w:rsidRPr="0048305E">
              <w:rPr>
                <w:rFonts w:ascii="Arial" w:hAnsi="Arial"/>
                <w:color w:val="1F1F1F"/>
                <w:sz w:val="18"/>
                <w:szCs w:val="18"/>
                <w:shd w:val="clear" w:color="auto" w:fill="FBE4D5" w:themeFill="accent2" w:themeFillTint="33"/>
              </w:rPr>
              <w:t>↓</w:t>
            </w:r>
            <w:r w:rsidRPr="0048305E">
              <w:rPr>
                <w:rFonts w:ascii="Arial" w:hAnsi="Arial"/>
                <w:sz w:val="18"/>
                <w:szCs w:val="18"/>
                <w:shd w:val="clear" w:color="auto" w:fill="FBE4D5" w:themeFill="accent2" w:themeFillTint="33"/>
              </w:rPr>
              <w:t>)</w:t>
            </w:r>
            <w:r w:rsidRPr="0048305E">
              <w:rPr>
                <w:rFonts w:ascii="Arial" w:hAnsi="Arial"/>
                <w:sz w:val="18"/>
                <w:szCs w:val="18"/>
              </w:rPr>
              <w:t xml:space="preserve"> </w:t>
            </w:r>
            <w:r w:rsidRPr="0048305E">
              <w:rPr>
                <w:rFonts w:ascii="Arial" w:hAnsi="Arial"/>
                <w:color w:val="040C28"/>
                <w:sz w:val="18"/>
                <w:szCs w:val="18"/>
              </w:rPr>
              <w:t>→</w:t>
            </w:r>
            <w:r w:rsidRPr="0048305E">
              <w:rPr>
                <w:rFonts w:ascii="Arial" w:hAnsi="Arial"/>
                <w:sz w:val="18"/>
                <w:szCs w:val="18"/>
              </w:rPr>
              <w:t xml:space="preserve"> VU (</w:t>
            </w:r>
            <w:r w:rsidRPr="0048305E">
              <w:rPr>
                <w:rFonts w:ascii="Arial" w:hAnsi="Arial"/>
                <w:color w:val="1F1F1F"/>
                <w:sz w:val="18"/>
                <w:szCs w:val="18"/>
                <w:shd w:val="clear" w:color="auto" w:fill="FBE4D5" w:themeFill="accent2" w:themeFillTint="33"/>
              </w:rPr>
              <w:t>↓</w:t>
            </w:r>
            <w:r w:rsidRPr="0048305E">
              <w:rPr>
                <w:rFonts w:ascii="Arial" w:hAnsi="Arial"/>
                <w:sz w:val="18"/>
                <w:szCs w:val="18"/>
                <w:shd w:val="clear" w:color="auto" w:fill="FBE4D5" w:themeFill="accent2" w:themeFillTint="33"/>
              </w:rPr>
              <w:t>)</w:t>
            </w:r>
          </w:p>
        </w:tc>
        <w:tc>
          <w:tcPr>
            <w:tcW w:w="4168" w:type="dxa"/>
            <w:tcBorders>
              <w:left w:val="nil"/>
              <w:right w:val="nil"/>
            </w:tcBorders>
            <w:shd w:val="clear" w:color="auto" w:fill="FBE4D5" w:themeFill="accent2" w:themeFillTint="33"/>
          </w:tcPr>
          <w:p w14:paraId="5678AB83" w14:textId="77777777" w:rsidR="002D72AD" w:rsidRPr="0048305E" w:rsidRDefault="002D72AD" w:rsidP="00ED5A72">
            <w:pPr>
              <w:spacing w:before="40" w:after="40"/>
              <w:jc w:val="both"/>
              <w:rPr>
                <w:rFonts w:ascii="Arial" w:hAnsi="Arial"/>
                <w:sz w:val="18"/>
                <w:szCs w:val="18"/>
              </w:rPr>
            </w:pPr>
            <w:r w:rsidRPr="0048305E">
              <w:rPr>
                <w:rFonts w:ascii="Arial" w:hAnsi="Arial"/>
                <w:sz w:val="18"/>
                <w:szCs w:val="18"/>
              </w:rPr>
              <w:t>Probable population decline of 30-49%; likely causes include habitat loss/degradation and climate change.</w:t>
            </w:r>
          </w:p>
        </w:tc>
      </w:tr>
      <w:tr w:rsidR="002D72AD" w:rsidRPr="0048305E" w14:paraId="6973B809" w14:textId="77777777" w:rsidTr="009555C6">
        <w:tc>
          <w:tcPr>
            <w:tcW w:w="2405" w:type="dxa"/>
            <w:tcBorders>
              <w:left w:val="nil"/>
              <w:right w:val="nil"/>
            </w:tcBorders>
            <w:shd w:val="clear" w:color="auto" w:fill="FBE4D5" w:themeFill="accent2" w:themeFillTint="33"/>
          </w:tcPr>
          <w:p w14:paraId="5AC141C2" w14:textId="77777777" w:rsidR="002D72AD" w:rsidRPr="0048305E" w:rsidRDefault="002D72AD" w:rsidP="00ED0994">
            <w:pPr>
              <w:spacing w:before="40" w:after="40"/>
              <w:rPr>
                <w:rFonts w:ascii="Arial" w:hAnsi="Arial"/>
                <w:b/>
                <w:i/>
                <w:sz w:val="18"/>
                <w:szCs w:val="18"/>
              </w:rPr>
            </w:pPr>
            <w:r w:rsidRPr="0048305E">
              <w:rPr>
                <w:rFonts w:ascii="Arial" w:hAnsi="Arial"/>
                <w:b/>
                <w:i/>
                <w:sz w:val="18"/>
                <w:szCs w:val="18"/>
              </w:rPr>
              <w:t xml:space="preserve">Calidris </w:t>
            </w:r>
            <w:proofErr w:type="spellStart"/>
            <w:r w:rsidRPr="0048305E">
              <w:rPr>
                <w:rFonts w:ascii="Arial" w:hAnsi="Arial"/>
                <w:b/>
                <w:i/>
                <w:sz w:val="18"/>
                <w:szCs w:val="18"/>
              </w:rPr>
              <w:t>fuscicollis</w:t>
            </w:r>
            <w:proofErr w:type="spellEnd"/>
            <w:r w:rsidRPr="0048305E">
              <w:rPr>
                <w:rFonts w:ascii="Arial" w:hAnsi="Arial"/>
                <w:b/>
                <w:i/>
                <w:sz w:val="18"/>
                <w:szCs w:val="18"/>
              </w:rPr>
              <w:t xml:space="preserve"> </w:t>
            </w:r>
          </w:p>
          <w:p w14:paraId="4304900F" w14:textId="77777777" w:rsidR="002D72AD" w:rsidRPr="0048305E" w:rsidRDefault="002D72AD" w:rsidP="00ED0994">
            <w:pPr>
              <w:spacing w:before="40" w:after="40"/>
              <w:rPr>
                <w:rFonts w:ascii="Arial" w:hAnsi="Arial"/>
                <w:b/>
                <w:sz w:val="18"/>
                <w:szCs w:val="18"/>
              </w:rPr>
            </w:pPr>
            <w:r w:rsidRPr="0048305E">
              <w:rPr>
                <w:rFonts w:ascii="Arial" w:hAnsi="Arial"/>
                <w:b/>
                <w:sz w:val="18"/>
                <w:szCs w:val="18"/>
              </w:rPr>
              <w:t>(White-rumped Sandpiper)</w:t>
            </w:r>
          </w:p>
        </w:tc>
        <w:tc>
          <w:tcPr>
            <w:tcW w:w="680" w:type="dxa"/>
            <w:tcBorders>
              <w:left w:val="nil"/>
              <w:right w:val="nil"/>
            </w:tcBorders>
            <w:shd w:val="clear" w:color="auto" w:fill="FBE4D5" w:themeFill="accent2" w:themeFillTint="33"/>
          </w:tcPr>
          <w:p w14:paraId="21176E76"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II</w:t>
            </w:r>
          </w:p>
        </w:tc>
        <w:tc>
          <w:tcPr>
            <w:tcW w:w="1814" w:type="dxa"/>
            <w:tcBorders>
              <w:left w:val="nil"/>
              <w:right w:val="nil"/>
            </w:tcBorders>
            <w:shd w:val="clear" w:color="auto" w:fill="FBE4D5" w:themeFill="accent2" w:themeFillTint="33"/>
          </w:tcPr>
          <w:p w14:paraId="1AF564A2"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 xml:space="preserve">LC </w:t>
            </w:r>
            <w:r w:rsidRPr="0048305E">
              <w:rPr>
                <w:rFonts w:ascii="Arial" w:hAnsi="Arial"/>
                <w:sz w:val="18"/>
                <w:szCs w:val="18"/>
                <w:shd w:val="clear" w:color="auto" w:fill="FBE4D5" w:themeFill="accent2" w:themeFillTint="33"/>
              </w:rPr>
              <w:t>(</w:t>
            </w:r>
            <w:r w:rsidRPr="0048305E">
              <w:rPr>
                <w:rFonts w:ascii="Arial" w:hAnsi="Arial"/>
                <w:color w:val="1F1F1F"/>
                <w:sz w:val="18"/>
                <w:szCs w:val="18"/>
                <w:shd w:val="clear" w:color="auto" w:fill="FBE4D5" w:themeFill="accent2" w:themeFillTint="33"/>
              </w:rPr>
              <w:t>↓</w:t>
            </w:r>
            <w:r w:rsidRPr="0048305E">
              <w:rPr>
                <w:rFonts w:ascii="Arial" w:hAnsi="Arial"/>
                <w:sz w:val="18"/>
                <w:szCs w:val="18"/>
                <w:shd w:val="clear" w:color="auto" w:fill="FBE4D5" w:themeFill="accent2" w:themeFillTint="33"/>
              </w:rPr>
              <w:t xml:space="preserve">) </w:t>
            </w:r>
            <w:r w:rsidRPr="0048305E">
              <w:rPr>
                <w:rFonts w:ascii="Arial" w:hAnsi="Arial"/>
                <w:color w:val="040C28"/>
                <w:sz w:val="18"/>
                <w:szCs w:val="18"/>
              </w:rPr>
              <w:t>→</w:t>
            </w:r>
            <w:r w:rsidRPr="0048305E">
              <w:rPr>
                <w:rFonts w:ascii="Arial" w:hAnsi="Arial"/>
                <w:sz w:val="18"/>
                <w:szCs w:val="18"/>
              </w:rPr>
              <w:t xml:space="preserve"> VU (</w:t>
            </w:r>
            <w:r w:rsidRPr="0048305E">
              <w:rPr>
                <w:rFonts w:ascii="Arial" w:hAnsi="Arial"/>
                <w:color w:val="1F1F1F"/>
                <w:sz w:val="18"/>
                <w:szCs w:val="18"/>
                <w:shd w:val="clear" w:color="auto" w:fill="FBE4D5" w:themeFill="accent2" w:themeFillTint="33"/>
              </w:rPr>
              <w:t>↓</w:t>
            </w:r>
            <w:r w:rsidRPr="0048305E">
              <w:rPr>
                <w:rFonts w:ascii="Arial" w:hAnsi="Arial"/>
                <w:sz w:val="18"/>
                <w:szCs w:val="18"/>
              </w:rPr>
              <w:t>)</w:t>
            </w:r>
          </w:p>
        </w:tc>
        <w:tc>
          <w:tcPr>
            <w:tcW w:w="4168" w:type="dxa"/>
            <w:tcBorders>
              <w:left w:val="nil"/>
              <w:right w:val="nil"/>
            </w:tcBorders>
            <w:shd w:val="clear" w:color="auto" w:fill="FBE4D5" w:themeFill="accent2" w:themeFillTint="33"/>
          </w:tcPr>
          <w:p w14:paraId="5322646E" w14:textId="77777777" w:rsidR="002D72AD" w:rsidRPr="0048305E" w:rsidRDefault="002D72AD" w:rsidP="00ED5A72">
            <w:pPr>
              <w:spacing w:before="40" w:after="40"/>
              <w:jc w:val="both"/>
              <w:rPr>
                <w:rFonts w:ascii="Arial" w:hAnsi="Arial"/>
                <w:sz w:val="18"/>
                <w:szCs w:val="18"/>
              </w:rPr>
            </w:pPr>
            <w:r w:rsidRPr="0048305E">
              <w:rPr>
                <w:rFonts w:ascii="Arial" w:hAnsi="Arial"/>
                <w:sz w:val="18"/>
                <w:szCs w:val="18"/>
              </w:rPr>
              <w:t>Recent monitoring suggests a rapid population decline of 40-49%; drivers of decline are poorly understood.</w:t>
            </w:r>
          </w:p>
        </w:tc>
      </w:tr>
      <w:tr w:rsidR="002D72AD" w:rsidRPr="0048305E" w14:paraId="5EFCCA9C" w14:textId="77777777" w:rsidTr="009555C6">
        <w:tc>
          <w:tcPr>
            <w:tcW w:w="2405" w:type="dxa"/>
            <w:tcBorders>
              <w:left w:val="nil"/>
              <w:right w:val="nil"/>
            </w:tcBorders>
            <w:shd w:val="clear" w:color="auto" w:fill="FBE4D5" w:themeFill="accent2" w:themeFillTint="33"/>
          </w:tcPr>
          <w:p w14:paraId="17681693" w14:textId="77777777" w:rsidR="002D72AD" w:rsidRPr="0048305E" w:rsidRDefault="002D72AD" w:rsidP="00ED0994">
            <w:pPr>
              <w:spacing w:before="40" w:after="40"/>
              <w:rPr>
                <w:rFonts w:ascii="Arial" w:hAnsi="Arial"/>
                <w:i/>
                <w:sz w:val="18"/>
                <w:szCs w:val="18"/>
              </w:rPr>
            </w:pPr>
            <w:r w:rsidRPr="0048305E">
              <w:rPr>
                <w:rFonts w:ascii="Arial" w:hAnsi="Arial"/>
                <w:i/>
                <w:sz w:val="18"/>
                <w:szCs w:val="18"/>
              </w:rPr>
              <w:t xml:space="preserve">Calidris </w:t>
            </w:r>
            <w:proofErr w:type="spellStart"/>
            <w:r w:rsidRPr="0048305E">
              <w:rPr>
                <w:rFonts w:ascii="Arial" w:hAnsi="Arial"/>
                <w:i/>
                <w:sz w:val="18"/>
                <w:szCs w:val="18"/>
              </w:rPr>
              <w:t>himantopus</w:t>
            </w:r>
            <w:proofErr w:type="spellEnd"/>
            <w:r w:rsidRPr="0048305E">
              <w:rPr>
                <w:rFonts w:ascii="Arial" w:hAnsi="Arial"/>
                <w:i/>
                <w:sz w:val="18"/>
                <w:szCs w:val="18"/>
              </w:rPr>
              <w:t xml:space="preserve"> </w:t>
            </w:r>
          </w:p>
          <w:p w14:paraId="0F36CF0F"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(Stilt Sandpiper)</w:t>
            </w:r>
          </w:p>
        </w:tc>
        <w:tc>
          <w:tcPr>
            <w:tcW w:w="680" w:type="dxa"/>
            <w:tcBorders>
              <w:left w:val="nil"/>
              <w:right w:val="nil"/>
            </w:tcBorders>
            <w:shd w:val="clear" w:color="auto" w:fill="FBE4D5" w:themeFill="accent2" w:themeFillTint="33"/>
          </w:tcPr>
          <w:p w14:paraId="44B23B21"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II</w:t>
            </w:r>
          </w:p>
        </w:tc>
        <w:tc>
          <w:tcPr>
            <w:tcW w:w="1814" w:type="dxa"/>
            <w:tcBorders>
              <w:left w:val="nil"/>
              <w:right w:val="nil"/>
            </w:tcBorders>
            <w:shd w:val="clear" w:color="auto" w:fill="FBE4D5" w:themeFill="accent2" w:themeFillTint="33"/>
          </w:tcPr>
          <w:p w14:paraId="0493422D"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LC (</w:t>
            </w:r>
            <w:r w:rsidRPr="0048305E">
              <w:rPr>
                <w:rFonts w:ascii="Arial" w:hAnsi="Arial"/>
                <w:color w:val="474747"/>
                <w:sz w:val="18"/>
                <w:szCs w:val="18"/>
                <w:shd w:val="clear" w:color="auto" w:fill="FBE4D5" w:themeFill="accent2" w:themeFillTint="33"/>
              </w:rPr>
              <w:t>↑</w:t>
            </w:r>
            <w:r w:rsidRPr="0048305E">
              <w:rPr>
                <w:rFonts w:ascii="Arial" w:hAnsi="Arial"/>
                <w:sz w:val="18"/>
                <w:szCs w:val="18"/>
                <w:shd w:val="clear" w:color="auto" w:fill="FBE4D5" w:themeFill="accent2" w:themeFillTint="33"/>
              </w:rPr>
              <w:t>)</w:t>
            </w:r>
            <w:r w:rsidRPr="0048305E">
              <w:rPr>
                <w:rFonts w:ascii="Arial" w:hAnsi="Arial"/>
                <w:sz w:val="18"/>
                <w:szCs w:val="18"/>
              </w:rPr>
              <w:t xml:space="preserve"> </w:t>
            </w:r>
            <w:r w:rsidRPr="0048305E">
              <w:rPr>
                <w:rFonts w:ascii="Arial" w:hAnsi="Arial"/>
                <w:color w:val="040C28"/>
                <w:sz w:val="18"/>
                <w:szCs w:val="18"/>
              </w:rPr>
              <w:t>→</w:t>
            </w:r>
            <w:r w:rsidRPr="0048305E">
              <w:rPr>
                <w:rFonts w:ascii="Arial" w:hAnsi="Arial"/>
                <w:sz w:val="18"/>
                <w:szCs w:val="18"/>
              </w:rPr>
              <w:t xml:space="preserve"> NT </w:t>
            </w:r>
            <w:r w:rsidRPr="0048305E">
              <w:rPr>
                <w:rFonts w:ascii="Arial" w:hAnsi="Arial"/>
                <w:sz w:val="18"/>
                <w:szCs w:val="18"/>
                <w:shd w:val="clear" w:color="auto" w:fill="FBE4D5" w:themeFill="accent2" w:themeFillTint="33"/>
              </w:rPr>
              <w:t>(</w:t>
            </w:r>
            <w:r w:rsidRPr="0048305E">
              <w:rPr>
                <w:rFonts w:ascii="Arial" w:hAnsi="Arial"/>
                <w:color w:val="1F1F1F"/>
                <w:sz w:val="18"/>
                <w:szCs w:val="18"/>
                <w:shd w:val="clear" w:color="auto" w:fill="FBE4D5" w:themeFill="accent2" w:themeFillTint="33"/>
              </w:rPr>
              <w:t>↓)</w:t>
            </w:r>
          </w:p>
        </w:tc>
        <w:tc>
          <w:tcPr>
            <w:tcW w:w="4168" w:type="dxa"/>
            <w:tcBorders>
              <w:left w:val="nil"/>
              <w:right w:val="nil"/>
            </w:tcBorders>
            <w:shd w:val="clear" w:color="auto" w:fill="FBE4D5" w:themeFill="accent2" w:themeFillTint="33"/>
          </w:tcPr>
          <w:p w14:paraId="205E5C04" w14:textId="77777777" w:rsidR="002D72AD" w:rsidRPr="0048305E" w:rsidRDefault="002D72AD" w:rsidP="00ED5A72">
            <w:pPr>
              <w:spacing w:before="40" w:after="40"/>
              <w:jc w:val="both"/>
              <w:rPr>
                <w:rFonts w:ascii="Arial" w:hAnsi="Arial"/>
                <w:sz w:val="18"/>
                <w:szCs w:val="18"/>
              </w:rPr>
            </w:pPr>
            <w:r w:rsidRPr="0048305E">
              <w:rPr>
                <w:rFonts w:ascii="Arial" w:hAnsi="Arial"/>
                <w:sz w:val="18"/>
                <w:szCs w:val="18"/>
              </w:rPr>
              <w:t>Population estimated to be decreasing by 20-29%; causes of decline are uncertain.</w:t>
            </w:r>
          </w:p>
        </w:tc>
      </w:tr>
      <w:tr w:rsidR="002D72AD" w:rsidRPr="0048305E" w14:paraId="7B899BF0" w14:textId="77777777" w:rsidTr="009555C6">
        <w:tc>
          <w:tcPr>
            <w:tcW w:w="2405" w:type="dxa"/>
            <w:tcBorders>
              <w:left w:val="nil"/>
              <w:right w:val="nil"/>
            </w:tcBorders>
            <w:shd w:val="clear" w:color="auto" w:fill="FBE4D5" w:themeFill="accent2" w:themeFillTint="33"/>
          </w:tcPr>
          <w:p w14:paraId="22F5B59D" w14:textId="77777777" w:rsidR="002D72AD" w:rsidRPr="0048305E" w:rsidRDefault="002D72AD" w:rsidP="00ED0994">
            <w:pPr>
              <w:spacing w:before="40" w:after="40"/>
              <w:rPr>
                <w:rFonts w:ascii="Arial" w:hAnsi="Arial"/>
                <w:i/>
                <w:sz w:val="18"/>
                <w:szCs w:val="18"/>
              </w:rPr>
            </w:pPr>
            <w:r w:rsidRPr="0048305E">
              <w:rPr>
                <w:rFonts w:ascii="Arial" w:hAnsi="Arial"/>
                <w:i/>
                <w:sz w:val="18"/>
                <w:szCs w:val="18"/>
              </w:rPr>
              <w:t xml:space="preserve">Calidris </w:t>
            </w:r>
            <w:proofErr w:type="spellStart"/>
            <w:r w:rsidRPr="0048305E">
              <w:rPr>
                <w:rFonts w:ascii="Arial" w:hAnsi="Arial"/>
                <w:i/>
                <w:sz w:val="18"/>
                <w:szCs w:val="18"/>
              </w:rPr>
              <w:t>minutilla</w:t>
            </w:r>
            <w:proofErr w:type="spellEnd"/>
            <w:r w:rsidRPr="0048305E">
              <w:rPr>
                <w:rFonts w:ascii="Arial" w:hAnsi="Arial"/>
                <w:i/>
                <w:sz w:val="18"/>
                <w:szCs w:val="18"/>
              </w:rPr>
              <w:t xml:space="preserve"> </w:t>
            </w:r>
          </w:p>
          <w:p w14:paraId="474513F0"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(Least Sandpiper)</w:t>
            </w:r>
          </w:p>
        </w:tc>
        <w:tc>
          <w:tcPr>
            <w:tcW w:w="680" w:type="dxa"/>
            <w:tcBorders>
              <w:left w:val="nil"/>
              <w:right w:val="nil"/>
            </w:tcBorders>
            <w:shd w:val="clear" w:color="auto" w:fill="FBE4D5" w:themeFill="accent2" w:themeFillTint="33"/>
          </w:tcPr>
          <w:p w14:paraId="401AB81A"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II</w:t>
            </w:r>
          </w:p>
        </w:tc>
        <w:tc>
          <w:tcPr>
            <w:tcW w:w="1814" w:type="dxa"/>
            <w:tcBorders>
              <w:left w:val="nil"/>
              <w:right w:val="nil"/>
            </w:tcBorders>
            <w:shd w:val="clear" w:color="auto" w:fill="FBE4D5" w:themeFill="accent2" w:themeFillTint="33"/>
          </w:tcPr>
          <w:p w14:paraId="5C159616"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LC (</w:t>
            </w:r>
            <w:r w:rsidRPr="0048305E">
              <w:rPr>
                <w:rFonts w:ascii="Arial" w:hAnsi="Arial"/>
                <w:color w:val="1F1F1F"/>
                <w:sz w:val="18"/>
                <w:szCs w:val="18"/>
                <w:shd w:val="clear" w:color="auto" w:fill="FBE4D5" w:themeFill="accent2" w:themeFillTint="33"/>
              </w:rPr>
              <w:t>↓</w:t>
            </w:r>
            <w:r w:rsidRPr="0048305E">
              <w:rPr>
                <w:rFonts w:ascii="Arial" w:hAnsi="Arial"/>
                <w:sz w:val="18"/>
                <w:szCs w:val="18"/>
                <w:shd w:val="clear" w:color="auto" w:fill="FBE4D5" w:themeFill="accent2" w:themeFillTint="33"/>
              </w:rPr>
              <w:t xml:space="preserve">) </w:t>
            </w:r>
            <w:r w:rsidRPr="0048305E">
              <w:rPr>
                <w:rFonts w:ascii="Arial" w:hAnsi="Arial"/>
                <w:color w:val="040C28"/>
                <w:sz w:val="18"/>
                <w:szCs w:val="18"/>
              </w:rPr>
              <w:t>→</w:t>
            </w:r>
            <w:r w:rsidRPr="0048305E">
              <w:rPr>
                <w:rFonts w:ascii="Arial" w:hAnsi="Arial"/>
                <w:sz w:val="18"/>
                <w:szCs w:val="18"/>
              </w:rPr>
              <w:t xml:space="preserve"> NT </w:t>
            </w:r>
            <w:r w:rsidRPr="0048305E">
              <w:rPr>
                <w:rFonts w:ascii="Arial" w:hAnsi="Arial"/>
                <w:sz w:val="18"/>
                <w:szCs w:val="18"/>
                <w:shd w:val="clear" w:color="auto" w:fill="FBE4D5" w:themeFill="accent2" w:themeFillTint="33"/>
              </w:rPr>
              <w:t>(</w:t>
            </w:r>
            <w:r w:rsidRPr="0048305E">
              <w:rPr>
                <w:rFonts w:ascii="Arial" w:hAnsi="Arial"/>
                <w:color w:val="1F1F1F"/>
                <w:sz w:val="18"/>
                <w:szCs w:val="18"/>
                <w:shd w:val="clear" w:color="auto" w:fill="FBE4D5" w:themeFill="accent2" w:themeFillTint="33"/>
              </w:rPr>
              <w:t>↓</w:t>
            </w:r>
            <w:r w:rsidRPr="0048305E">
              <w:rPr>
                <w:rFonts w:ascii="Arial" w:hAnsi="Arial"/>
                <w:sz w:val="18"/>
                <w:szCs w:val="18"/>
                <w:shd w:val="clear" w:color="auto" w:fill="FBE4D5" w:themeFill="accent2" w:themeFillTint="33"/>
              </w:rPr>
              <w:t>)</w:t>
            </w:r>
          </w:p>
        </w:tc>
        <w:tc>
          <w:tcPr>
            <w:tcW w:w="4168" w:type="dxa"/>
            <w:tcBorders>
              <w:left w:val="nil"/>
              <w:right w:val="nil"/>
            </w:tcBorders>
            <w:shd w:val="clear" w:color="auto" w:fill="FBE4D5" w:themeFill="accent2" w:themeFillTint="33"/>
          </w:tcPr>
          <w:p w14:paraId="432B9F43" w14:textId="77777777" w:rsidR="002D72AD" w:rsidRPr="0048305E" w:rsidRDefault="002D72AD" w:rsidP="00ED5A72">
            <w:pPr>
              <w:spacing w:before="40" w:after="40"/>
              <w:jc w:val="both"/>
              <w:rPr>
                <w:rFonts w:ascii="Arial" w:hAnsi="Arial"/>
                <w:sz w:val="18"/>
                <w:szCs w:val="18"/>
              </w:rPr>
            </w:pPr>
            <w:r w:rsidRPr="0048305E">
              <w:rPr>
                <w:rFonts w:ascii="Arial" w:hAnsi="Arial"/>
                <w:sz w:val="18"/>
                <w:szCs w:val="18"/>
              </w:rPr>
              <w:t>Recent monitoring suggests a moderately rapid decline; drivers are very poorly known.</w:t>
            </w:r>
          </w:p>
        </w:tc>
      </w:tr>
      <w:tr w:rsidR="002D72AD" w:rsidRPr="0048305E" w14:paraId="5563F859" w14:textId="77777777" w:rsidTr="009555C6">
        <w:tc>
          <w:tcPr>
            <w:tcW w:w="2405" w:type="dxa"/>
            <w:tcBorders>
              <w:left w:val="nil"/>
              <w:right w:val="nil"/>
            </w:tcBorders>
            <w:shd w:val="clear" w:color="auto" w:fill="FBE4D5" w:themeFill="accent2" w:themeFillTint="33"/>
          </w:tcPr>
          <w:p w14:paraId="693034C8" w14:textId="77777777" w:rsidR="002D72AD" w:rsidRPr="0048305E" w:rsidRDefault="002D72AD" w:rsidP="00ED0994">
            <w:pPr>
              <w:spacing w:before="40" w:after="40"/>
              <w:rPr>
                <w:rFonts w:ascii="Arial" w:hAnsi="Arial"/>
                <w:b/>
                <w:i/>
                <w:sz w:val="18"/>
                <w:szCs w:val="18"/>
              </w:rPr>
            </w:pPr>
            <w:r w:rsidRPr="0048305E">
              <w:rPr>
                <w:rFonts w:ascii="Arial" w:hAnsi="Arial"/>
                <w:b/>
                <w:i/>
                <w:sz w:val="18"/>
                <w:szCs w:val="18"/>
              </w:rPr>
              <w:t xml:space="preserve">Calidris </w:t>
            </w:r>
            <w:proofErr w:type="spellStart"/>
            <w:r w:rsidRPr="0048305E">
              <w:rPr>
                <w:rFonts w:ascii="Arial" w:hAnsi="Arial"/>
                <w:b/>
                <w:i/>
                <w:sz w:val="18"/>
                <w:szCs w:val="18"/>
              </w:rPr>
              <w:t>subruficollis</w:t>
            </w:r>
            <w:proofErr w:type="spellEnd"/>
            <w:r w:rsidRPr="0048305E">
              <w:rPr>
                <w:rFonts w:ascii="Arial" w:hAnsi="Arial"/>
                <w:b/>
                <w:i/>
                <w:sz w:val="18"/>
                <w:szCs w:val="18"/>
              </w:rPr>
              <w:t xml:space="preserve"> </w:t>
            </w:r>
          </w:p>
          <w:p w14:paraId="7965BA63" w14:textId="77777777" w:rsidR="002D72AD" w:rsidRPr="0048305E" w:rsidRDefault="002D72AD" w:rsidP="00ED0994">
            <w:pPr>
              <w:spacing w:before="40" w:after="40"/>
              <w:rPr>
                <w:rFonts w:ascii="Arial" w:hAnsi="Arial"/>
                <w:b/>
                <w:sz w:val="18"/>
                <w:szCs w:val="18"/>
              </w:rPr>
            </w:pPr>
            <w:r w:rsidRPr="0048305E">
              <w:rPr>
                <w:rFonts w:ascii="Arial" w:hAnsi="Arial"/>
                <w:b/>
                <w:sz w:val="18"/>
                <w:szCs w:val="18"/>
              </w:rPr>
              <w:t>(Buff-breasted Sandpiper)</w:t>
            </w:r>
          </w:p>
        </w:tc>
        <w:tc>
          <w:tcPr>
            <w:tcW w:w="680" w:type="dxa"/>
            <w:tcBorders>
              <w:left w:val="nil"/>
              <w:right w:val="nil"/>
            </w:tcBorders>
            <w:shd w:val="clear" w:color="auto" w:fill="FBE4D5" w:themeFill="accent2" w:themeFillTint="33"/>
          </w:tcPr>
          <w:p w14:paraId="4EAC7115"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I/II</w:t>
            </w:r>
          </w:p>
        </w:tc>
        <w:tc>
          <w:tcPr>
            <w:tcW w:w="1814" w:type="dxa"/>
            <w:tcBorders>
              <w:left w:val="nil"/>
              <w:right w:val="nil"/>
            </w:tcBorders>
            <w:shd w:val="clear" w:color="auto" w:fill="FBE4D5" w:themeFill="accent2" w:themeFillTint="33"/>
          </w:tcPr>
          <w:p w14:paraId="487B1C0E"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NT (</w:t>
            </w:r>
            <w:r w:rsidRPr="0048305E">
              <w:rPr>
                <w:rFonts w:ascii="Arial" w:hAnsi="Arial"/>
                <w:color w:val="1F1F1F"/>
                <w:sz w:val="18"/>
                <w:szCs w:val="18"/>
                <w:shd w:val="clear" w:color="auto" w:fill="FBE4D5" w:themeFill="accent2" w:themeFillTint="33"/>
              </w:rPr>
              <w:t>↓</w:t>
            </w:r>
            <w:r w:rsidRPr="0048305E">
              <w:rPr>
                <w:rFonts w:ascii="Arial" w:hAnsi="Arial"/>
                <w:sz w:val="18"/>
                <w:szCs w:val="18"/>
                <w:shd w:val="clear" w:color="auto" w:fill="FBE4D5" w:themeFill="accent2" w:themeFillTint="33"/>
              </w:rPr>
              <w:t>)</w:t>
            </w:r>
            <w:r w:rsidRPr="0048305E">
              <w:rPr>
                <w:rFonts w:ascii="Arial" w:hAnsi="Arial"/>
                <w:sz w:val="18"/>
                <w:szCs w:val="18"/>
              </w:rPr>
              <w:t xml:space="preserve"> </w:t>
            </w:r>
            <w:r w:rsidRPr="0048305E">
              <w:rPr>
                <w:rFonts w:ascii="Arial" w:hAnsi="Arial"/>
                <w:color w:val="040C28"/>
                <w:sz w:val="18"/>
                <w:szCs w:val="18"/>
              </w:rPr>
              <w:t>→</w:t>
            </w:r>
            <w:r w:rsidRPr="0048305E">
              <w:rPr>
                <w:rFonts w:ascii="Arial" w:hAnsi="Arial"/>
                <w:sz w:val="18"/>
                <w:szCs w:val="18"/>
              </w:rPr>
              <w:t xml:space="preserve"> VU</w:t>
            </w:r>
            <w:r w:rsidRPr="0048305E">
              <w:rPr>
                <w:rFonts w:ascii="Arial" w:hAnsi="Arial"/>
                <w:sz w:val="18"/>
                <w:szCs w:val="18"/>
                <w:shd w:val="clear" w:color="auto" w:fill="FBE4D5" w:themeFill="accent2" w:themeFillTint="33"/>
              </w:rPr>
              <w:t xml:space="preserve"> (</w:t>
            </w:r>
            <w:r w:rsidRPr="0048305E">
              <w:rPr>
                <w:rFonts w:ascii="Arial" w:hAnsi="Arial"/>
                <w:color w:val="1F1F1F"/>
                <w:sz w:val="18"/>
                <w:szCs w:val="18"/>
                <w:shd w:val="clear" w:color="auto" w:fill="FBE4D5" w:themeFill="accent2" w:themeFillTint="33"/>
              </w:rPr>
              <w:t>↓</w:t>
            </w:r>
            <w:r w:rsidRPr="0048305E">
              <w:rPr>
                <w:rFonts w:ascii="Arial" w:hAnsi="Arial"/>
                <w:sz w:val="18"/>
                <w:szCs w:val="18"/>
                <w:shd w:val="clear" w:color="auto" w:fill="FBE4D5" w:themeFill="accent2" w:themeFillTint="33"/>
              </w:rPr>
              <w:t>)</w:t>
            </w:r>
          </w:p>
        </w:tc>
        <w:tc>
          <w:tcPr>
            <w:tcW w:w="4168" w:type="dxa"/>
            <w:tcBorders>
              <w:left w:val="nil"/>
              <w:right w:val="nil"/>
            </w:tcBorders>
            <w:shd w:val="clear" w:color="auto" w:fill="FBE4D5" w:themeFill="accent2" w:themeFillTint="33"/>
          </w:tcPr>
          <w:p w14:paraId="35F00E5E" w14:textId="77777777" w:rsidR="002D72AD" w:rsidRPr="0048305E" w:rsidRDefault="002D72AD" w:rsidP="00ED5A72">
            <w:pPr>
              <w:spacing w:before="40" w:after="40"/>
              <w:jc w:val="both"/>
              <w:rPr>
                <w:rFonts w:ascii="Arial" w:hAnsi="Arial"/>
                <w:sz w:val="18"/>
                <w:szCs w:val="18"/>
              </w:rPr>
            </w:pPr>
            <w:r w:rsidRPr="0048305E">
              <w:rPr>
                <w:rFonts w:ascii="Arial" w:hAnsi="Arial"/>
                <w:sz w:val="18"/>
                <w:szCs w:val="18"/>
              </w:rPr>
              <w:t xml:space="preserve">Evidence for a moderately rapid to rapid population decline, driven by habitat loss at non-breeding and stopover sites. </w:t>
            </w:r>
          </w:p>
        </w:tc>
      </w:tr>
      <w:tr w:rsidR="002D72AD" w:rsidRPr="0048305E" w14:paraId="23E42526" w14:textId="77777777" w:rsidTr="009555C6">
        <w:tc>
          <w:tcPr>
            <w:tcW w:w="2405" w:type="dxa"/>
            <w:tcBorders>
              <w:left w:val="nil"/>
              <w:right w:val="nil"/>
            </w:tcBorders>
            <w:shd w:val="clear" w:color="auto" w:fill="EAEAEA"/>
          </w:tcPr>
          <w:p w14:paraId="773B641E" w14:textId="77777777" w:rsidR="002D72AD" w:rsidRPr="0048305E" w:rsidRDefault="002D72AD" w:rsidP="00ED0994">
            <w:pPr>
              <w:spacing w:before="40" w:after="40"/>
              <w:rPr>
                <w:rFonts w:ascii="Arial" w:hAnsi="Arial"/>
                <w:sz w:val="18"/>
                <w:szCs w:val="18"/>
              </w:rPr>
            </w:pPr>
            <w:r w:rsidRPr="0048305E">
              <w:rPr>
                <w:rFonts w:ascii="Arial" w:hAnsi="Arial"/>
                <w:i/>
                <w:sz w:val="18"/>
                <w:szCs w:val="18"/>
              </w:rPr>
              <w:t xml:space="preserve">Charadrius </w:t>
            </w:r>
            <w:proofErr w:type="spellStart"/>
            <w:r w:rsidRPr="0048305E">
              <w:rPr>
                <w:rFonts w:ascii="Arial" w:hAnsi="Arial"/>
                <w:i/>
                <w:sz w:val="18"/>
                <w:szCs w:val="18"/>
              </w:rPr>
              <w:t>dealbatus</w:t>
            </w:r>
            <w:proofErr w:type="spellEnd"/>
            <w:r w:rsidRPr="0048305E">
              <w:rPr>
                <w:rFonts w:ascii="Arial" w:hAnsi="Arial"/>
                <w:i/>
                <w:sz w:val="18"/>
                <w:szCs w:val="18"/>
              </w:rPr>
              <w:t xml:space="preserve"> </w:t>
            </w:r>
            <w:r w:rsidRPr="0048305E">
              <w:rPr>
                <w:rFonts w:ascii="Arial" w:hAnsi="Arial"/>
                <w:sz w:val="18"/>
                <w:szCs w:val="18"/>
              </w:rPr>
              <w:t>(White-faced Plover)</w:t>
            </w:r>
          </w:p>
        </w:tc>
        <w:tc>
          <w:tcPr>
            <w:tcW w:w="680" w:type="dxa"/>
            <w:tcBorders>
              <w:left w:val="nil"/>
              <w:right w:val="nil"/>
            </w:tcBorders>
            <w:shd w:val="clear" w:color="auto" w:fill="EAEAEA"/>
          </w:tcPr>
          <w:p w14:paraId="3C7CC16B"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II</w:t>
            </w:r>
          </w:p>
        </w:tc>
        <w:tc>
          <w:tcPr>
            <w:tcW w:w="1814" w:type="dxa"/>
            <w:tcBorders>
              <w:left w:val="nil"/>
              <w:right w:val="nil"/>
            </w:tcBorders>
            <w:shd w:val="clear" w:color="auto" w:fill="EAEAEA"/>
          </w:tcPr>
          <w:p w14:paraId="1914FCB7"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 xml:space="preserve">DD (?) </w:t>
            </w:r>
            <w:r w:rsidRPr="0048305E">
              <w:rPr>
                <w:rFonts w:ascii="Arial" w:hAnsi="Arial"/>
                <w:color w:val="040C28"/>
                <w:sz w:val="18"/>
                <w:szCs w:val="18"/>
              </w:rPr>
              <w:t>→ LC (?)</w:t>
            </w:r>
          </w:p>
        </w:tc>
        <w:tc>
          <w:tcPr>
            <w:tcW w:w="4168" w:type="dxa"/>
            <w:tcBorders>
              <w:left w:val="nil"/>
              <w:right w:val="nil"/>
            </w:tcBorders>
            <w:shd w:val="clear" w:color="auto" w:fill="EAEAEA"/>
          </w:tcPr>
          <w:p w14:paraId="552FBFF6" w14:textId="77777777" w:rsidR="002D72AD" w:rsidRPr="0048305E" w:rsidRDefault="002D72AD" w:rsidP="00ED5A72">
            <w:pPr>
              <w:spacing w:before="40" w:after="40"/>
              <w:jc w:val="both"/>
              <w:rPr>
                <w:rFonts w:ascii="Arial" w:hAnsi="Arial"/>
                <w:sz w:val="18"/>
                <w:szCs w:val="18"/>
              </w:rPr>
            </w:pPr>
            <w:r w:rsidRPr="0048305E">
              <w:rPr>
                <w:rFonts w:ascii="Arial" w:hAnsi="Arial"/>
                <w:sz w:val="18"/>
                <w:szCs w:val="18"/>
              </w:rPr>
              <w:t>Previously poorly known, but recently confirmed to be fairly widespread; population size suspected to be large.</w:t>
            </w:r>
          </w:p>
        </w:tc>
      </w:tr>
      <w:tr w:rsidR="002D72AD" w:rsidRPr="0048305E" w14:paraId="2D91C4B6" w14:textId="77777777" w:rsidTr="009555C6">
        <w:tc>
          <w:tcPr>
            <w:tcW w:w="2405" w:type="dxa"/>
            <w:tcBorders>
              <w:left w:val="nil"/>
              <w:right w:val="nil"/>
            </w:tcBorders>
            <w:shd w:val="clear" w:color="auto" w:fill="FBE4D5" w:themeFill="accent2" w:themeFillTint="33"/>
          </w:tcPr>
          <w:p w14:paraId="0271E20C" w14:textId="77777777" w:rsidR="002D72AD" w:rsidRPr="0048305E" w:rsidRDefault="002D72AD" w:rsidP="00ED0994">
            <w:pPr>
              <w:spacing w:before="40" w:after="40"/>
              <w:rPr>
                <w:rFonts w:ascii="Arial" w:hAnsi="Arial"/>
                <w:b/>
                <w:sz w:val="18"/>
                <w:szCs w:val="18"/>
              </w:rPr>
            </w:pPr>
            <w:r w:rsidRPr="0048305E">
              <w:rPr>
                <w:rFonts w:ascii="Arial" w:hAnsi="Arial"/>
                <w:b/>
                <w:i/>
                <w:sz w:val="18"/>
                <w:szCs w:val="18"/>
              </w:rPr>
              <w:t xml:space="preserve">Charadrius </w:t>
            </w:r>
            <w:proofErr w:type="spellStart"/>
            <w:r w:rsidRPr="0048305E">
              <w:rPr>
                <w:rFonts w:ascii="Arial" w:hAnsi="Arial"/>
                <w:b/>
                <w:i/>
                <w:sz w:val="18"/>
                <w:szCs w:val="18"/>
              </w:rPr>
              <w:t>mongolus</w:t>
            </w:r>
            <w:proofErr w:type="spellEnd"/>
            <w:r w:rsidRPr="0048305E">
              <w:rPr>
                <w:rFonts w:ascii="Arial" w:hAnsi="Arial"/>
                <w:b/>
                <w:i/>
                <w:sz w:val="18"/>
                <w:szCs w:val="18"/>
              </w:rPr>
              <w:t xml:space="preserve"> </w:t>
            </w:r>
            <w:r w:rsidRPr="0048305E">
              <w:rPr>
                <w:rFonts w:ascii="Arial" w:hAnsi="Arial"/>
                <w:b/>
                <w:sz w:val="18"/>
                <w:szCs w:val="18"/>
              </w:rPr>
              <w:t xml:space="preserve">(Siberian </w:t>
            </w:r>
            <w:proofErr w:type="spellStart"/>
            <w:r w:rsidRPr="0048305E">
              <w:rPr>
                <w:rFonts w:ascii="Arial" w:hAnsi="Arial"/>
                <w:b/>
                <w:sz w:val="18"/>
                <w:szCs w:val="18"/>
              </w:rPr>
              <w:t>Sandplover</w:t>
            </w:r>
            <w:proofErr w:type="spellEnd"/>
            <w:r w:rsidRPr="0048305E">
              <w:rPr>
                <w:rFonts w:ascii="Arial" w:hAnsi="Arial"/>
                <w:b/>
                <w:sz w:val="18"/>
                <w:szCs w:val="18"/>
              </w:rPr>
              <w:t>)</w:t>
            </w:r>
          </w:p>
        </w:tc>
        <w:tc>
          <w:tcPr>
            <w:tcW w:w="680" w:type="dxa"/>
            <w:tcBorders>
              <w:left w:val="nil"/>
              <w:right w:val="nil"/>
            </w:tcBorders>
            <w:shd w:val="clear" w:color="auto" w:fill="FBE4D5" w:themeFill="accent2" w:themeFillTint="33"/>
          </w:tcPr>
          <w:p w14:paraId="65F9A586"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II</w:t>
            </w:r>
          </w:p>
        </w:tc>
        <w:tc>
          <w:tcPr>
            <w:tcW w:w="1814" w:type="dxa"/>
            <w:tcBorders>
              <w:left w:val="nil"/>
              <w:right w:val="nil"/>
            </w:tcBorders>
            <w:shd w:val="clear" w:color="auto" w:fill="FBE4D5" w:themeFill="accent2" w:themeFillTint="33"/>
          </w:tcPr>
          <w:p w14:paraId="354FE43E"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 xml:space="preserve">LC (?) </w:t>
            </w:r>
            <w:r w:rsidRPr="0048305E">
              <w:rPr>
                <w:rFonts w:ascii="Arial" w:hAnsi="Arial"/>
                <w:color w:val="040C28"/>
                <w:sz w:val="18"/>
                <w:szCs w:val="18"/>
              </w:rPr>
              <w:t>→</w:t>
            </w:r>
            <w:r w:rsidRPr="0048305E">
              <w:rPr>
                <w:rFonts w:ascii="Arial" w:hAnsi="Arial"/>
                <w:sz w:val="18"/>
                <w:szCs w:val="18"/>
              </w:rPr>
              <w:t xml:space="preserve"> EN (</w:t>
            </w:r>
            <w:r w:rsidRPr="0048305E">
              <w:rPr>
                <w:rFonts w:ascii="Arial" w:hAnsi="Arial"/>
                <w:color w:val="1F1F1F"/>
                <w:sz w:val="18"/>
                <w:szCs w:val="18"/>
                <w:shd w:val="clear" w:color="auto" w:fill="FBE4D5" w:themeFill="accent2" w:themeFillTint="33"/>
              </w:rPr>
              <w:t>↓)</w:t>
            </w:r>
          </w:p>
        </w:tc>
        <w:tc>
          <w:tcPr>
            <w:tcW w:w="4168" w:type="dxa"/>
            <w:tcBorders>
              <w:left w:val="nil"/>
              <w:right w:val="nil"/>
            </w:tcBorders>
            <w:shd w:val="clear" w:color="auto" w:fill="FBE4D5" w:themeFill="accent2" w:themeFillTint="33"/>
          </w:tcPr>
          <w:p w14:paraId="54F3F1D8" w14:textId="77777777" w:rsidR="002D72AD" w:rsidRPr="0048305E" w:rsidRDefault="002D72AD" w:rsidP="00ED5A72">
            <w:pPr>
              <w:spacing w:before="40" w:after="40"/>
              <w:jc w:val="both"/>
              <w:rPr>
                <w:rFonts w:ascii="Arial" w:hAnsi="Arial"/>
                <w:sz w:val="18"/>
                <w:szCs w:val="18"/>
              </w:rPr>
            </w:pPr>
            <w:r w:rsidRPr="0048305E">
              <w:rPr>
                <w:rFonts w:ascii="Arial" w:hAnsi="Arial"/>
                <w:sz w:val="18"/>
                <w:szCs w:val="18"/>
              </w:rPr>
              <w:t>Estimated population decline of 50-62%; threatened by the loss and degradation of stopover habitat and climate change.</w:t>
            </w:r>
          </w:p>
        </w:tc>
      </w:tr>
      <w:tr w:rsidR="002D72AD" w:rsidRPr="0048305E" w14:paraId="01B58BE5" w14:textId="77777777" w:rsidTr="009555C6">
        <w:tc>
          <w:tcPr>
            <w:tcW w:w="2405" w:type="dxa"/>
            <w:tcBorders>
              <w:left w:val="nil"/>
              <w:right w:val="nil"/>
            </w:tcBorders>
            <w:shd w:val="clear" w:color="auto" w:fill="FBE4D5" w:themeFill="accent2" w:themeFillTint="33"/>
          </w:tcPr>
          <w:p w14:paraId="4C343A68" w14:textId="77777777" w:rsidR="002D72AD" w:rsidRPr="0048305E" w:rsidRDefault="002D72AD" w:rsidP="00ED0994">
            <w:pPr>
              <w:spacing w:before="40" w:after="40"/>
              <w:rPr>
                <w:rFonts w:ascii="Arial" w:hAnsi="Arial"/>
                <w:i/>
                <w:sz w:val="18"/>
                <w:szCs w:val="18"/>
              </w:rPr>
            </w:pPr>
            <w:r w:rsidRPr="0048305E">
              <w:rPr>
                <w:rFonts w:ascii="Arial" w:hAnsi="Arial"/>
                <w:i/>
                <w:sz w:val="18"/>
                <w:szCs w:val="18"/>
              </w:rPr>
              <w:t xml:space="preserve">Charadrius vociferus </w:t>
            </w:r>
            <w:r w:rsidRPr="0048305E">
              <w:rPr>
                <w:rFonts w:ascii="Arial" w:hAnsi="Arial"/>
                <w:sz w:val="18"/>
                <w:szCs w:val="18"/>
              </w:rPr>
              <w:t>(Killdeer)</w:t>
            </w:r>
          </w:p>
        </w:tc>
        <w:tc>
          <w:tcPr>
            <w:tcW w:w="680" w:type="dxa"/>
            <w:tcBorders>
              <w:left w:val="nil"/>
              <w:right w:val="nil"/>
            </w:tcBorders>
            <w:shd w:val="clear" w:color="auto" w:fill="FBE4D5" w:themeFill="accent2" w:themeFillTint="33"/>
          </w:tcPr>
          <w:p w14:paraId="0AB17BC8"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II</w:t>
            </w:r>
          </w:p>
        </w:tc>
        <w:tc>
          <w:tcPr>
            <w:tcW w:w="1814" w:type="dxa"/>
            <w:tcBorders>
              <w:left w:val="nil"/>
              <w:right w:val="nil"/>
            </w:tcBorders>
            <w:shd w:val="clear" w:color="auto" w:fill="FBE4D5" w:themeFill="accent2" w:themeFillTint="33"/>
          </w:tcPr>
          <w:p w14:paraId="55E64C85"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LC (</w:t>
            </w:r>
            <w:r w:rsidRPr="0048305E">
              <w:rPr>
                <w:rFonts w:ascii="Arial" w:hAnsi="Arial"/>
                <w:color w:val="1F1F1F"/>
                <w:sz w:val="18"/>
                <w:szCs w:val="18"/>
                <w:shd w:val="clear" w:color="auto" w:fill="FBE4D5" w:themeFill="accent2" w:themeFillTint="33"/>
              </w:rPr>
              <w:t>↓</w:t>
            </w:r>
            <w:r w:rsidRPr="0048305E">
              <w:rPr>
                <w:rFonts w:ascii="Arial" w:hAnsi="Arial"/>
                <w:sz w:val="18"/>
                <w:szCs w:val="18"/>
                <w:shd w:val="clear" w:color="auto" w:fill="FBE4D5" w:themeFill="accent2" w:themeFillTint="33"/>
              </w:rPr>
              <w:t xml:space="preserve">) </w:t>
            </w:r>
            <w:r w:rsidRPr="0048305E">
              <w:rPr>
                <w:rFonts w:ascii="Arial" w:hAnsi="Arial"/>
                <w:color w:val="040C28"/>
                <w:sz w:val="18"/>
                <w:szCs w:val="18"/>
              </w:rPr>
              <w:t>→</w:t>
            </w:r>
            <w:r w:rsidRPr="0048305E">
              <w:rPr>
                <w:rFonts w:ascii="Arial" w:hAnsi="Arial"/>
                <w:sz w:val="18"/>
                <w:szCs w:val="18"/>
              </w:rPr>
              <w:t xml:space="preserve"> NT (</w:t>
            </w:r>
            <w:r w:rsidRPr="0048305E">
              <w:rPr>
                <w:rFonts w:ascii="Arial" w:hAnsi="Arial"/>
                <w:color w:val="1F1F1F"/>
                <w:sz w:val="18"/>
                <w:szCs w:val="18"/>
                <w:shd w:val="clear" w:color="auto" w:fill="FBE4D5" w:themeFill="accent2" w:themeFillTint="33"/>
              </w:rPr>
              <w:t>↓</w:t>
            </w:r>
            <w:r w:rsidRPr="0048305E">
              <w:rPr>
                <w:rFonts w:ascii="Arial" w:hAnsi="Arial"/>
                <w:sz w:val="18"/>
                <w:szCs w:val="18"/>
                <w:shd w:val="clear" w:color="auto" w:fill="FBE4D5" w:themeFill="accent2" w:themeFillTint="33"/>
              </w:rPr>
              <w:t>)</w:t>
            </w:r>
          </w:p>
        </w:tc>
        <w:tc>
          <w:tcPr>
            <w:tcW w:w="4168" w:type="dxa"/>
            <w:tcBorders>
              <w:left w:val="nil"/>
              <w:right w:val="nil"/>
            </w:tcBorders>
            <w:shd w:val="clear" w:color="auto" w:fill="FBE4D5" w:themeFill="accent2" w:themeFillTint="33"/>
          </w:tcPr>
          <w:p w14:paraId="7F12723D" w14:textId="77777777" w:rsidR="002D72AD" w:rsidRPr="0048305E" w:rsidRDefault="002D72AD" w:rsidP="00ED5A72">
            <w:pPr>
              <w:spacing w:before="40" w:after="40"/>
              <w:jc w:val="both"/>
              <w:rPr>
                <w:rFonts w:ascii="Arial" w:hAnsi="Arial"/>
                <w:sz w:val="18"/>
                <w:szCs w:val="18"/>
              </w:rPr>
            </w:pPr>
            <w:r w:rsidRPr="0048305E">
              <w:rPr>
                <w:rFonts w:ascii="Arial" w:hAnsi="Arial"/>
                <w:sz w:val="18"/>
                <w:szCs w:val="18"/>
              </w:rPr>
              <w:t>Estimated population reduction of &gt;20%; uncertain drivers of decline.</w:t>
            </w:r>
          </w:p>
        </w:tc>
      </w:tr>
      <w:tr w:rsidR="002D72AD" w:rsidRPr="0048305E" w14:paraId="1DB7185D" w14:textId="77777777" w:rsidTr="009555C6">
        <w:tc>
          <w:tcPr>
            <w:tcW w:w="2405" w:type="dxa"/>
            <w:tcBorders>
              <w:left w:val="nil"/>
              <w:right w:val="nil"/>
            </w:tcBorders>
            <w:shd w:val="clear" w:color="auto" w:fill="FBE4D5" w:themeFill="accent2" w:themeFillTint="33"/>
          </w:tcPr>
          <w:p w14:paraId="2CC47BE0" w14:textId="77777777" w:rsidR="002D72AD" w:rsidRPr="0048305E" w:rsidRDefault="002D72AD" w:rsidP="00ED0994">
            <w:pPr>
              <w:spacing w:before="40" w:after="40"/>
              <w:rPr>
                <w:rFonts w:ascii="Arial" w:hAnsi="Arial"/>
                <w:b/>
                <w:i/>
                <w:sz w:val="18"/>
                <w:szCs w:val="18"/>
              </w:rPr>
            </w:pPr>
            <w:proofErr w:type="spellStart"/>
            <w:r w:rsidRPr="0048305E">
              <w:rPr>
                <w:rFonts w:ascii="Arial" w:hAnsi="Arial"/>
                <w:b/>
                <w:i/>
                <w:sz w:val="18"/>
                <w:szCs w:val="18"/>
              </w:rPr>
              <w:t>Limnodromus</w:t>
            </w:r>
            <w:proofErr w:type="spellEnd"/>
            <w:r w:rsidRPr="0048305E">
              <w:rPr>
                <w:rFonts w:ascii="Arial" w:hAnsi="Arial"/>
                <w:b/>
                <w:i/>
                <w:sz w:val="18"/>
                <w:szCs w:val="18"/>
              </w:rPr>
              <w:t xml:space="preserve"> griseus </w:t>
            </w:r>
            <w:r w:rsidRPr="0048305E">
              <w:rPr>
                <w:rFonts w:ascii="Arial" w:hAnsi="Arial"/>
                <w:b/>
                <w:sz w:val="18"/>
                <w:szCs w:val="18"/>
              </w:rPr>
              <w:t>(Short-billed Dowitcher)</w:t>
            </w:r>
          </w:p>
        </w:tc>
        <w:tc>
          <w:tcPr>
            <w:tcW w:w="680" w:type="dxa"/>
            <w:tcBorders>
              <w:left w:val="nil"/>
              <w:right w:val="nil"/>
            </w:tcBorders>
            <w:shd w:val="clear" w:color="auto" w:fill="FBE4D5" w:themeFill="accent2" w:themeFillTint="33"/>
          </w:tcPr>
          <w:p w14:paraId="08D11640"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II</w:t>
            </w:r>
          </w:p>
        </w:tc>
        <w:tc>
          <w:tcPr>
            <w:tcW w:w="1814" w:type="dxa"/>
            <w:tcBorders>
              <w:left w:val="nil"/>
              <w:right w:val="nil"/>
            </w:tcBorders>
            <w:shd w:val="clear" w:color="auto" w:fill="FBE4D5" w:themeFill="accent2" w:themeFillTint="33"/>
          </w:tcPr>
          <w:p w14:paraId="584F3F82"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LC (</w:t>
            </w:r>
            <w:r w:rsidRPr="0048305E">
              <w:rPr>
                <w:rFonts w:ascii="Arial" w:hAnsi="Arial"/>
                <w:color w:val="1F1F1F"/>
                <w:sz w:val="18"/>
                <w:szCs w:val="18"/>
                <w:shd w:val="clear" w:color="auto" w:fill="FBE4D5" w:themeFill="accent2" w:themeFillTint="33"/>
              </w:rPr>
              <w:t>↓</w:t>
            </w:r>
            <w:r w:rsidRPr="0048305E">
              <w:rPr>
                <w:rFonts w:ascii="Arial" w:hAnsi="Arial"/>
                <w:sz w:val="18"/>
                <w:szCs w:val="18"/>
                <w:shd w:val="clear" w:color="auto" w:fill="FBE4D5" w:themeFill="accent2" w:themeFillTint="33"/>
              </w:rPr>
              <w:t xml:space="preserve">) </w:t>
            </w:r>
            <w:r w:rsidRPr="0048305E">
              <w:rPr>
                <w:rFonts w:ascii="Arial" w:hAnsi="Arial"/>
                <w:color w:val="040C28"/>
                <w:sz w:val="18"/>
                <w:szCs w:val="18"/>
              </w:rPr>
              <w:t>→</w:t>
            </w:r>
            <w:r w:rsidRPr="0048305E">
              <w:rPr>
                <w:rFonts w:ascii="Arial" w:hAnsi="Arial"/>
                <w:sz w:val="18"/>
                <w:szCs w:val="18"/>
              </w:rPr>
              <w:t xml:space="preserve"> VU</w:t>
            </w:r>
            <w:r w:rsidRPr="0048305E">
              <w:rPr>
                <w:rFonts w:ascii="Arial" w:hAnsi="Arial"/>
                <w:sz w:val="18"/>
                <w:szCs w:val="18"/>
                <w:shd w:val="clear" w:color="auto" w:fill="FBE4D5" w:themeFill="accent2" w:themeFillTint="33"/>
              </w:rPr>
              <w:t xml:space="preserve"> (</w:t>
            </w:r>
            <w:r w:rsidRPr="0048305E">
              <w:rPr>
                <w:rFonts w:ascii="Arial" w:hAnsi="Arial"/>
                <w:color w:val="1F1F1F"/>
                <w:sz w:val="18"/>
                <w:szCs w:val="18"/>
                <w:shd w:val="clear" w:color="auto" w:fill="FBE4D5" w:themeFill="accent2" w:themeFillTint="33"/>
              </w:rPr>
              <w:t>↓</w:t>
            </w:r>
            <w:r w:rsidRPr="0048305E">
              <w:rPr>
                <w:rFonts w:ascii="Arial" w:hAnsi="Arial"/>
                <w:sz w:val="18"/>
                <w:szCs w:val="18"/>
                <w:shd w:val="clear" w:color="auto" w:fill="FBE4D5" w:themeFill="accent2" w:themeFillTint="33"/>
              </w:rPr>
              <w:t>)</w:t>
            </w:r>
          </w:p>
        </w:tc>
        <w:tc>
          <w:tcPr>
            <w:tcW w:w="4168" w:type="dxa"/>
            <w:tcBorders>
              <w:left w:val="nil"/>
              <w:right w:val="nil"/>
            </w:tcBorders>
            <w:shd w:val="clear" w:color="auto" w:fill="FBE4D5" w:themeFill="accent2" w:themeFillTint="33"/>
          </w:tcPr>
          <w:p w14:paraId="73444925" w14:textId="77777777" w:rsidR="002D72AD" w:rsidRPr="0048305E" w:rsidRDefault="002D72AD" w:rsidP="00ED5A72">
            <w:pPr>
              <w:spacing w:before="40" w:after="40"/>
              <w:jc w:val="both"/>
              <w:rPr>
                <w:rFonts w:ascii="Arial" w:hAnsi="Arial"/>
                <w:sz w:val="18"/>
                <w:szCs w:val="18"/>
              </w:rPr>
            </w:pPr>
            <w:r w:rsidRPr="0048305E">
              <w:rPr>
                <w:rFonts w:ascii="Arial" w:hAnsi="Arial"/>
                <w:sz w:val="18"/>
                <w:szCs w:val="18"/>
              </w:rPr>
              <w:t xml:space="preserve">Estimated population decline of 20-49%; uncertain drivers of decline. </w:t>
            </w:r>
          </w:p>
        </w:tc>
      </w:tr>
      <w:tr w:rsidR="002D72AD" w:rsidRPr="0048305E" w14:paraId="339C23DC" w14:textId="77777777" w:rsidTr="009555C6">
        <w:tc>
          <w:tcPr>
            <w:tcW w:w="2405" w:type="dxa"/>
            <w:tcBorders>
              <w:left w:val="nil"/>
              <w:right w:val="nil"/>
            </w:tcBorders>
            <w:shd w:val="clear" w:color="auto" w:fill="FBE4D5" w:themeFill="accent2" w:themeFillTint="33"/>
          </w:tcPr>
          <w:p w14:paraId="142E6E72" w14:textId="77777777" w:rsidR="002D72AD" w:rsidRPr="0048305E" w:rsidRDefault="002D72AD" w:rsidP="00ED0994">
            <w:pPr>
              <w:spacing w:before="40" w:after="40"/>
              <w:rPr>
                <w:rFonts w:ascii="Arial" w:hAnsi="Arial"/>
                <w:i/>
                <w:sz w:val="18"/>
                <w:szCs w:val="18"/>
              </w:rPr>
            </w:pPr>
            <w:proofErr w:type="spellStart"/>
            <w:r w:rsidRPr="0048305E">
              <w:rPr>
                <w:rFonts w:ascii="Arial" w:hAnsi="Arial"/>
                <w:i/>
                <w:sz w:val="18"/>
                <w:szCs w:val="18"/>
              </w:rPr>
              <w:t>Limnodromus</w:t>
            </w:r>
            <w:proofErr w:type="spellEnd"/>
            <w:r w:rsidRPr="0048305E">
              <w:rPr>
                <w:rFonts w:ascii="Arial" w:hAnsi="Arial"/>
                <w:i/>
                <w:sz w:val="18"/>
                <w:szCs w:val="18"/>
              </w:rPr>
              <w:t xml:space="preserve"> </w:t>
            </w:r>
            <w:proofErr w:type="spellStart"/>
            <w:r w:rsidRPr="0048305E">
              <w:rPr>
                <w:rFonts w:ascii="Arial" w:hAnsi="Arial"/>
                <w:i/>
                <w:sz w:val="18"/>
                <w:szCs w:val="18"/>
              </w:rPr>
              <w:t>scolopaceus</w:t>
            </w:r>
            <w:proofErr w:type="spellEnd"/>
            <w:r w:rsidRPr="0048305E">
              <w:rPr>
                <w:rFonts w:ascii="Arial" w:hAnsi="Arial"/>
                <w:i/>
                <w:sz w:val="18"/>
                <w:szCs w:val="18"/>
              </w:rPr>
              <w:t xml:space="preserve"> </w:t>
            </w:r>
            <w:r w:rsidRPr="0048305E">
              <w:rPr>
                <w:rFonts w:ascii="Arial" w:hAnsi="Arial"/>
                <w:sz w:val="18"/>
                <w:szCs w:val="18"/>
              </w:rPr>
              <w:t>(Long-billed Dowitcher)</w:t>
            </w:r>
          </w:p>
        </w:tc>
        <w:tc>
          <w:tcPr>
            <w:tcW w:w="680" w:type="dxa"/>
            <w:tcBorders>
              <w:left w:val="nil"/>
              <w:right w:val="nil"/>
            </w:tcBorders>
            <w:shd w:val="clear" w:color="auto" w:fill="FBE4D5" w:themeFill="accent2" w:themeFillTint="33"/>
          </w:tcPr>
          <w:p w14:paraId="544FC9E7"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II</w:t>
            </w:r>
          </w:p>
        </w:tc>
        <w:tc>
          <w:tcPr>
            <w:tcW w:w="1814" w:type="dxa"/>
            <w:tcBorders>
              <w:left w:val="nil"/>
              <w:right w:val="nil"/>
            </w:tcBorders>
            <w:shd w:val="clear" w:color="auto" w:fill="FBE4D5" w:themeFill="accent2" w:themeFillTint="33"/>
          </w:tcPr>
          <w:p w14:paraId="14018F7E"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LC (</w:t>
            </w:r>
            <w:r w:rsidRPr="0048305E">
              <w:rPr>
                <w:rFonts w:ascii="Arial" w:hAnsi="Arial"/>
                <w:color w:val="1F1F1F"/>
                <w:sz w:val="18"/>
                <w:szCs w:val="18"/>
                <w:shd w:val="clear" w:color="auto" w:fill="FBE4D5" w:themeFill="accent2" w:themeFillTint="33"/>
              </w:rPr>
              <w:t>?</w:t>
            </w:r>
            <w:r w:rsidRPr="0048305E">
              <w:rPr>
                <w:rFonts w:ascii="Arial" w:hAnsi="Arial"/>
                <w:sz w:val="18"/>
                <w:szCs w:val="18"/>
                <w:shd w:val="clear" w:color="auto" w:fill="FBE4D5" w:themeFill="accent2" w:themeFillTint="33"/>
              </w:rPr>
              <w:t xml:space="preserve">) </w:t>
            </w:r>
            <w:r w:rsidRPr="0048305E">
              <w:rPr>
                <w:rFonts w:ascii="Arial" w:hAnsi="Arial"/>
                <w:color w:val="040C28"/>
                <w:sz w:val="18"/>
                <w:szCs w:val="18"/>
              </w:rPr>
              <w:t>→</w:t>
            </w:r>
            <w:r w:rsidRPr="0048305E">
              <w:rPr>
                <w:rFonts w:ascii="Arial" w:hAnsi="Arial"/>
                <w:sz w:val="18"/>
                <w:szCs w:val="18"/>
              </w:rPr>
              <w:t xml:space="preserve"> NT </w:t>
            </w:r>
            <w:r w:rsidRPr="0048305E">
              <w:rPr>
                <w:rFonts w:ascii="Arial" w:hAnsi="Arial"/>
                <w:sz w:val="18"/>
                <w:szCs w:val="18"/>
                <w:shd w:val="clear" w:color="auto" w:fill="FBE4D5" w:themeFill="accent2" w:themeFillTint="33"/>
              </w:rPr>
              <w:t>(</w:t>
            </w:r>
            <w:r w:rsidRPr="0048305E">
              <w:rPr>
                <w:rFonts w:ascii="Arial" w:hAnsi="Arial"/>
                <w:color w:val="1F1F1F"/>
                <w:sz w:val="18"/>
                <w:szCs w:val="18"/>
                <w:shd w:val="clear" w:color="auto" w:fill="FBE4D5" w:themeFill="accent2" w:themeFillTint="33"/>
              </w:rPr>
              <w:t>↓</w:t>
            </w:r>
            <w:r w:rsidRPr="0048305E">
              <w:rPr>
                <w:rFonts w:ascii="Arial" w:hAnsi="Arial"/>
                <w:sz w:val="18"/>
                <w:szCs w:val="18"/>
                <w:shd w:val="clear" w:color="auto" w:fill="FBE4D5" w:themeFill="accent2" w:themeFillTint="33"/>
              </w:rPr>
              <w:t>)</w:t>
            </w:r>
          </w:p>
        </w:tc>
        <w:tc>
          <w:tcPr>
            <w:tcW w:w="4168" w:type="dxa"/>
            <w:tcBorders>
              <w:left w:val="nil"/>
              <w:right w:val="nil"/>
            </w:tcBorders>
            <w:shd w:val="clear" w:color="auto" w:fill="FBE4D5" w:themeFill="accent2" w:themeFillTint="33"/>
          </w:tcPr>
          <w:p w14:paraId="1AEA8FD2" w14:textId="77777777" w:rsidR="002D72AD" w:rsidRPr="0048305E" w:rsidRDefault="002D72AD" w:rsidP="00ED5A72">
            <w:pPr>
              <w:spacing w:before="40" w:after="40"/>
              <w:jc w:val="both"/>
              <w:rPr>
                <w:rFonts w:ascii="Arial" w:hAnsi="Arial"/>
                <w:sz w:val="18"/>
                <w:szCs w:val="18"/>
              </w:rPr>
            </w:pPr>
            <w:r w:rsidRPr="0048305E">
              <w:rPr>
                <w:rFonts w:ascii="Arial" w:hAnsi="Arial"/>
                <w:sz w:val="18"/>
                <w:szCs w:val="18"/>
              </w:rPr>
              <w:t>Suspected population decline of 20-29%; uncertain drivers of decline.</w:t>
            </w:r>
          </w:p>
        </w:tc>
      </w:tr>
      <w:tr w:rsidR="002D72AD" w:rsidRPr="0048305E" w14:paraId="6C685409" w14:textId="77777777" w:rsidTr="009555C6">
        <w:tc>
          <w:tcPr>
            <w:tcW w:w="2405" w:type="dxa"/>
            <w:tcBorders>
              <w:left w:val="nil"/>
              <w:right w:val="nil"/>
            </w:tcBorders>
            <w:shd w:val="clear" w:color="auto" w:fill="FBE4D5" w:themeFill="accent2" w:themeFillTint="33"/>
          </w:tcPr>
          <w:p w14:paraId="08188E16" w14:textId="77777777" w:rsidR="002D72AD" w:rsidRPr="0048305E" w:rsidRDefault="002D72AD" w:rsidP="00ED0994">
            <w:pPr>
              <w:spacing w:before="40" w:after="40"/>
              <w:rPr>
                <w:rFonts w:ascii="Arial" w:hAnsi="Arial"/>
                <w:b/>
                <w:i/>
                <w:sz w:val="18"/>
                <w:szCs w:val="18"/>
              </w:rPr>
            </w:pPr>
            <w:proofErr w:type="spellStart"/>
            <w:r w:rsidRPr="0048305E">
              <w:rPr>
                <w:rFonts w:ascii="Arial" w:hAnsi="Arial"/>
                <w:b/>
                <w:i/>
                <w:sz w:val="18"/>
                <w:szCs w:val="18"/>
              </w:rPr>
              <w:t>Limosa</w:t>
            </w:r>
            <w:proofErr w:type="spellEnd"/>
            <w:r w:rsidRPr="0048305E">
              <w:rPr>
                <w:rFonts w:ascii="Arial" w:hAnsi="Arial"/>
                <w:b/>
                <w:i/>
                <w:sz w:val="18"/>
                <w:szCs w:val="18"/>
              </w:rPr>
              <w:t xml:space="preserve"> </w:t>
            </w:r>
            <w:proofErr w:type="spellStart"/>
            <w:r w:rsidRPr="0048305E">
              <w:rPr>
                <w:rFonts w:ascii="Arial" w:hAnsi="Arial"/>
                <w:b/>
                <w:i/>
                <w:sz w:val="18"/>
                <w:szCs w:val="18"/>
              </w:rPr>
              <w:t>fedoa</w:t>
            </w:r>
            <w:proofErr w:type="spellEnd"/>
            <w:r w:rsidRPr="0048305E">
              <w:rPr>
                <w:rFonts w:ascii="Arial" w:hAnsi="Arial"/>
                <w:b/>
                <w:i/>
                <w:sz w:val="18"/>
                <w:szCs w:val="18"/>
              </w:rPr>
              <w:t xml:space="preserve"> </w:t>
            </w:r>
          </w:p>
          <w:p w14:paraId="310F8955" w14:textId="77777777" w:rsidR="002D72AD" w:rsidRPr="0048305E" w:rsidRDefault="002D72AD" w:rsidP="00ED0994">
            <w:pPr>
              <w:spacing w:before="40" w:after="40"/>
              <w:rPr>
                <w:rFonts w:ascii="Arial" w:hAnsi="Arial"/>
                <w:b/>
                <w:i/>
                <w:sz w:val="18"/>
                <w:szCs w:val="18"/>
              </w:rPr>
            </w:pPr>
            <w:r w:rsidRPr="0048305E">
              <w:rPr>
                <w:rFonts w:ascii="Arial" w:hAnsi="Arial"/>
                <w:b/>
                <w:sz w:val="18"/>
                <w:szCs w:val="18"/>
              </w:rPr>
              <w:t>(Marbled Godwit)</w:t>
            </w:r>
          </w:p>
        </w:tc>
        <w:tc>
          <w:tcPr>
            <w:tcW w:w="680" w:type="dxa"/>
            <w:tcBorders>
              <w:left w:val="nil"/>
              <w:right w:val="nil"/>
            </w:tcBorders>
            <w:shd w:val="clear" w:color="auto" w:fill="FBE4D5" w:themeFill="accent2" w:themeFillTint="33"/>
          </w:tcPr>
          <w:p w14:paraId="3C144338"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II</w:t>
            </w:r>
          </w:p>
        </w:tc>
        <w:tc>
          <w:tcPr>
            <w:tcW w:w="1814" w:type="dxa"/>
            <w:tcBorders>
              <w:left w:val="nil"/>
              <w:right w:val="nil"/>
            </w:tcBorders>
            <w:shd w:val="clear" w:color="auto" w:fill="FBE4D5" w:themeFill="accent2" w:themeFillTint="33"/>
          </w:tcPr>
          <w:p w14:paraId="70637DCD"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LC (</w:t>
            </w:r>
            <w:r w:rsidRPr="0048305E">
              <w:rPr>
                <w:rFonts w:ascii="Arial" w:hAnsi="Arial"/>
                <w:color w:val="1F1F1F"/>
                <w:sz w:val="18"/>
                <w:szCs w:val="18"/>
                <w:shd w:val="clear" w:color="auto" w:fill="FBE4D5" w:themeFill="accent2" w:themeFillTint="33"/>
              </w:rPr>
              <w:t>↓</w:t>
            </w:r>
            <w:r w:rsidRPr="0048305E">
              <w:rPr>
                <w:rFonts w:ascii="Arial" w:hAnsi="Arial"/>
                <w:sz w:val="18"/>
                <w:szCs w:val="18"/>
                <w:shd w:val="clear" w:color="auto" w:fill="FBE4D5" w:themeFill="accent2" w:themeFillTint="33"/>
              </w:rPr>
              <w:t xml:space="preserve">) </w:t>
            </w:r>
            <w:r w:rsidRPr="0048305E">
              <w:rPr>
                <w:rFonts w:ascii="Arial" w:hAnsi="Arial"/>
                <w:color w:val="040C28"/>
                <w:sz w:val="18"/>
                <w:szCs w:val="18"/>
              </w:rPr>
              <w:t>→</w:t>
            </w:r>
            <w:r w:rsidRPr="0048305E">
              <w:rPr>
                <w:rFonts w:ascii="Arial" w:hAnsi="Arial"/>
                <w:sz w:val="18"/>
                <w:szCs w:val="18"/>
              </w:rPr>
              <w:t xml:space="preserve"> VU (</w:t>
            </w:r>
            <w:r w:rsidRPr="0048305E">
              <w:rPr>
                <w:rFonts w:ascii="Arial" w:hAnsi="Arial"/>
                <w:color w:val="1F1F1F"/>
                <w:sz w:val="18"/>
                <w:szCs w:val="18"/>
                <w:shd w:val="clear" w:color="auto" w:fill="FBE4D5" w:themeFill="accent2" w:themeFillTint="33"/>
              </w:rPr>
              <w:t>↓</w:t>
            </w:r>
            <w:r w:rsidRPr="0048305E">
              <w:rPr>
                <w:rFonts w:ascii="Arial" w:hAnsi="Arial"/>
                <w:sz w:val="18"/>
                <w:szCs w:val="18"/>
                <w:shd w:val="clear" w:color="auto" w:fill="FBE4D5" w:themeFill="accent2" w:themeFillTint="33"/>
              </w:rPr>
              <w:t>)</w:t>
            </w:r>
          </w:p>
        </w:tc>
        <w:tc>
          <w:tcPr>
            <w:tcW w:w="4168" w:type="dxa"/>
            <w:tcBorders>
              <w:left w:val="nil"/>
              <w:right w:val="nil"/>
            </w:tcBorders>
            <w:shd w:val="clear" w:color="auto" w:fill="FBE4D5" w:themeFill="accent2" w:themeFillTint="33"/>
          </w:tcPr>
          <w:p w14:paraId="33DE2619" w14:textId="77777777" w:rsidR="002D72AD" w:rsidRPr="0048305E" w:rsidRDefault="002D72AD" w:rsidP="00ED5A72">
            <w:pPr>
              <w:spacing w:before="40" w:after="40"/>
              <w:jc w:val="both"/>
              <w:rPr>
                <w:rFonts w:ascii="Arial" w:hAnsi="Arial"/>
                <w:sz w:val="18"/>
                <w:szCs w:val="18"/>
              </w:rPr>
            </w:pPr>
            <w:r w:rsidRPr="0048305E">
              <w:rPr>
                <w:rFonts w:ascii="Arial" w:hAnsi="Arial"/>
                <w:sz w:val="18"/>
                <w:szCs w:val="18"/>
              </w:rPr>
              <w:t>Rapid population decline noted; threatened by the loss of breeding and staging habitat.</w:t>
            </w:r>
          </w:p>
        </w:tc>
      </w:tr>
      <w:tr w:rsidR="002D72AD" w:rsidRPr="0048305E" w14:paraId="7635BB5C" w14:textId="77777777" w:rsidTr="009555C6">
        <w:tc>
          <w:tcPr>
            <w:tcW w:w="2405" w:type="dxa"/>
            <w:tcBorders>
              <w:left w:val="nil"/>
              <w:right w:val="nil"/>
            </w:tcBorders>
            <w:shd w:val="clear" w:color="auto" w:fill="FBE4D5" w:themeFill="accent2" w:themeFillTint="33"/>
          </w:tcPr>
          <w:p w14:paraId="796CDDFE" w14:textId="77777777" w:rsidR="002D72AD" w:rsidRPr="0048305E" w:rsidRDefault="002D72AD" w:rsidP="00ED0994">
            <w:pPr>
              <w:spacing w:before="40" w:after="40"/>
              <w:rPr>
                <w:rFonts w:ascii="Arial" w:hAnsi="Arial"/>
                <w:b/>
                <w:sz w:val="18"/>
                <w:szCs w:val="18"/>
              </w:rPr>
            </w:pPr>
            <w:proofErr w:type="spellStart"/>
            <w:r w:rsidRPr="0048305E">
              <w:rPr>
                <w:rFonts w:ascii="Arial" w:hAnsi="Arial"/>
                <w:b/>
                <w:i/>
                <w:sz w:val="18"/>
                <w:szCs w:val="18"/>
              </w:rPr>
              <w:t>Limosa</w:t>
            </w:r>
            <w:proofErr w:type="spellEnd"/>
            <w:r w:rsidRPr="0048305E">
              <w:rPr>
                <w:rFonts w:ascii="Arial" w:hAnsi="Arial"/>
                <w:b/>
                <w:i/>
                <w:sz w:val="18"/>
                <w:szCs w:val="18"/>
              </w:rPr>
              <w:t xml:space="preserve"> </w:t>
            </w:r>
            <w:proofErr w:type="spellStart"/>
            <w:r w:rsidRPr="0048305E">
              <w:rPr>
                <w:rFonts w:ascii="Arial" w:hAnsi="Arial"/>
                <w:b/>
                <w:i/>
                <w:sz w:val="18"/>
                <w:szCs w:val="18"/>
              </w:rPr>
              <w:t>haemastica</w:t>
            </w:r>
            <w:proofErr w:type="spellEnd"/>
            <w:r w:rsidRPr="0048305E">
              <w:rPr>
                <w:rFonts w:ascii="Arial" w:hAnsi="Arial"/>
                <w:b/>
                <w:i/>
                <w:sz w:val="18"/>
                <w:szCs w:val="18"/>
              </w:rPr>
              <w:t xml:space="preserve"> </w:t>
            </w:r>
            <w:r w:rsidRPr="0048305E">
              <w:rPr>
                <w:rFonts w:ascii="Arial" w:hAnsi="Arial"/>
                <w:b/>
                <w:sz w:val="18"/>
                <w:szCs w:val="18"/>
              </w:rPr>
              <w:t>(Hudsonian Godwit)</w:t>
            </w:r>
          </w:p>
        </w:tc>
        <w:tc>
          <w:tcPr>
            <w:tcW w:w="680" w:type="dxa"/>
            <w:tcBorders>
              <w:left w:val="nil"/>
              <w:right w:val="nil"/>
            </w:tcBorders>
            <w:shd w:val="clear" w:color="auto" w:fill="FBE4D5" w:themeFill="accent2" w:themeFillTint="33"/>
          </w:tcPr>
          <w:p w14:paraId="608D5BDF"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II</w:t>
            </w:r>
          </w:p>
        </w:tc>
        <w:tc>
          <w:tcPr>
            <w:tcW w:w="1814" w:type="dxa"/>
            <w:tcBorders>
              <w:left w:val="nil"/>
              <w:right w:val="nil"/>
            </w:tcBorders>
            <w:shd w:val="clear" w:color="auto" w:fill="FBE4D5" w:themeFill="accent2" w:themeFillTint="33"/>
          </w:tcPr>
          <w:p w14:paraId="2A0A6AEE"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LC (</w:t>
            </w:r>
            <w:r w:rsidRPr="0048305E">
              <w:rPr>
                <w:rFonts w:ascii="Arial" w:hAnsi="Arial"/>
                <w:color w:val="1F1F1F"/>
                <w:sz w:val="18"/>
                <w:szCs w:val="18"/>
                <w:shd w:val="clear" w:color="auto" w:fill="FBE4D5" w:themeFill="accent2" w:themeFillTint="33"/>
              </w:rPr>
              <w:t>↓</w:t>
            </w:r>
            <w:r w:rsidRPr="0048305E">
              <w:rPr>
                <w:rFonts w:ascii="Arial" w:hAnsi="Arial"/>
                <w:sz w:val="18"/>
                <w:szCs w:val="18"/>
                <w:shd w:val="clear" w:color="auto" w:fill="FBE4D5" w:themeFill="accent2" w:themeFillTint="33"/>
              </w:rPr>
              <w:t xml:space="preserve">) </w:t>
            </w:r>
            <w:r w:rsidRPr="0048305E">
              <w:rPr>
                <w:rFonts w:ascii="Arial" w:hAnsi="Arial"/>
                <w:color w:val="040C28"/>
                <w:sz w:val="18"/>
                <w:szCs w:val="18"/>
              </w:rPr>
              <w:t>→</w:t>
            </w:r>
            <w:r w:rsidRPr="0048305E">
              <w:rPr>
                <w:rFonts w:ascii="Arial" w:hAnsi="Arial"/>
                <w:sz w:val="18"/>
                <w:szCs w:val="18"/>
              </w:rPr>
              <w:t xml:space="preserve"> VU </w:t>
            </w:r>
            <w:r w:rsidRPr="0048305E">
              <w:rPr>
                <w:rFonts w:ascii="Arial" w:hAnsi="Arial"/>
                <w:sz w:val="18"/>
                <w:szCs w:val="18"/>
                <w:shd w:val="clear" w:color="auto" w:fill="FBE4D5" w:themeFill="accent2" w:themeFillTint="33"/>
              </w:rPr>
              <w:t>(</w:t>
            </w:r>
            <w:r w:rsidRPr="0048305E">
              <w:rPr>
                <w:rFonts w:ascii="Arial" w:hAnsi="Arial"/>
                <w:color w:val="1F1F1F"/>
                <w:sz w:val="18"/>
                <w:szCs w:val="18"/>
                <w:shd w:val="clear" w:color="auto" w:fill="FBE4D5" w:themeFill="accent2" w:themeFillTint="33"/>
              </w:rPr>
              <w:t>↓</w:t>
            </w:r>
            <w:r w:rsidRPr="0048305E">
              <w:rPr>
                <w:rFonts w:ascii="Arial" w:hAnsi="Arial"/>
                <w:sz w:val="18"/>
                <w:szCs w:val="18"/>
                <w:shd w:val="clear" w:color="auto" w:fill="FBE4D5" w:themeFill="accent2" w:themeFillTint="33"/>
              </w:rPr>
              <w:t>)</w:t>
            </w:r>
          </w:p>
        </w:tc>
        <w:tc>
          <w:tcPr>
            <w:tcW w:w="4168" w:type="dxa"/>
            <w:tcBorders>
              <w:left w:val="nil"/>
              <w:right w:val="nil"/>
            </w:tcBorders>
            <w:shd w:val="clear" w:color="auto" w:fill="FBE4D5" w:themeFill="accent2" w:themeFillTint="33"/>
          </w:tcPr>
          <w:p w14:paraId="6CB4FC08" w14:textId="77777777" w:rsidR="002D72AD" w:rsidRPr="0048305E" w:rsidRDefault="002D72AD" w:rsidP="00ED5A72">
            <w:pPr>
              <w:spacing w:before="40" w:after="40"/>
              <w:jc w:val="both"/>
              <w:rPr>
                <w:rFonts w:ascii="Arial" w:hAnsi="Arial"/>
                <w:sz w:val="18"/>
                <w:szCs w:val="18"/>
              </w:rPr>
            </w:pPr>
            <w:r w:rsidRPr="0048305E">
              <w:rPr>
                <w:rFonts w:ascii="Arial" w:hAnsi="Arial"/>
                <w:sz w:val="18"/>
                <w:szCs w:val="18"/>
              </w:rPr>
              <w:t xml:space="preserve">Suspected population decline of 20-37%; exact drivers uncertain. </w:t>
            </w:r>
          </w:p>
        </w:tc>
      </w:tr>
      <w:tr w:rsidR="002D72AD" w:rsidRPr="0048305E" w14:paraId="40DF04AF" w14:textId="77777777" w:rsidTr="009555C6">
        <w:tc>
          <w:tcPr>
            <w:tcW w:w="2405" w:type="dxa"/>
            <w:tcBorders>
              <w:left w:val="nil"/>
              <w:right w:val="nil"/>
            </w:tcBorders>
            <w:shd w:val="clear" w:color="auto" w:fill="FBE4D5" w:themeFill="accent2" w:themeFillTint="33"/>
          </w:tcPr>
          <w:p w14:paraId="0661AD64" w14:textId="77777777" w:rsidR="002D72AD" w:rsidRPr="0048305E" w:rsidRDefault="002D72AD" w:rsidP="00ED0994">
            <w:pPr>
              <w:spacing w:before="40" w:after="40"/>
              <w:rPr>
                <w:rFonts w:ascii="Arial" w:hAnsi="Arial"/>
                <w:b/>
                <w:i/>
                <w:sz w:val="18"/>
                <w:szCs w:val="18"/>
              </w:rPr>
            </w:pPr>
            <w:proofErr w:type="spellStart"/>
            <w:r w:rsidRPr="0048305E">
              <w:rPr>
                <w:rFonts w:ascii="Arial" w:hAnsi="Arial"/>
                <w:b/>
                <w:i/>
                <w:sz w:val="18"/>
                <w:szCs w:val="18"/>
              </w:rPr>
              <w:t>Pluvialis</w:t>
            </w:r>
            <w:proofErr w:type="spellEnd"/>
            <w:r w:rsidRPr="0048305E">
              <w:rPr>
                <w:rFonts w:ascii="Arial" w:hAnsi="Arial"/>
                <w:b/>
                <w:i/>
                <w:sz w:val="18"/>
                <w:szCs w:val="18"/>
              </w:rPr>
              <w:t xml:space="preserve"> </w:t>
            </w:r>
            <w:proofErr w:type="spellStart"/>
            <w:r w:rsidRPr="0048305E">
              <w:rPr>
                <w:rFonts w:ascii="Arial" w:hAnsi="Arial"/>
                <w:b/>
                <w:i/>
                <w:sz w:val="18"/>
                <w:szCs w:val="18"/>
              </w:rPr>
              <w:t>squatarola</w:t>
            </w:r>
            <w:proofErr w:type="spellEnd"/>
            <w:r w:rsidRPr="0048305E">
              <w:rPr>
                <w:rFonts w:ascii="Arial" w:hAnsi="Arial"/>
                <w:b/>
                <w:i/>
                <w:sz w:val="18"/>
                <w:szCs w:val="18"/>
              </w:rPr>
              <w:t xml:space="preserve"> </w:t>
            </w:r>
          </w:p>
          <w:p w14:paraId="6C457745" w14:textId="77777777" w:rsidR="002D72AD" w:rsidRPr="0048305E" w:rsidRDefault="002D72AD" w:rsidP="00ED0994">
            <w:pPr>
              <w:spacing w:before="40" w:after="40"/>
              <w:rPr>
                <w:rFonts w:ascii="Arial" w:hAnsi="Arial"/>
                <w:b/>
                <w:i/>
                <w:sz w:val="18"/>
                <w:szCs w:val="18"/>
              </w:rPr>
            </w:pPr>
            <w:r w:rsidRPr="0048305E">
              <w:rPr>
                <w:rFonts w:ascii="Arial" w:hAnsi="Arial"/>
                <w:b/>
                <w:sz w:val="18"/>
                <w:szCs w:val="18"/>
              </w:rPr>
              <w:t>(Grey Plover)</w:t>
            </w:r>
          </w:p>
        </w:tc>
        <w:tc>
          <w:tcPr>
            <w:tcW w:w="680" w:type="dxa"/>
            <w:tcBorders>
              <w:left w:val="nil"/>
              <w:right w:val="nil"/>
            </w:tcBorders>
            <w:shd w:val="clear" w:color="auto" w:fill="FBE4D5" w:themeFill="accent2" w:themeFillTint="33"/>
          </w:tcPr>
          <w:p w14:paraId="3FFD76C5"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II</w:t>
            </w:r>
          </w:p>
        </w:tc>
        <w:tc>
          <w:tcPr>
            <w:tcW w:w="1814" w:type="dxa"/>
            <w:tcBorders>
              <w:left w:val="nil"/>
              <w:right w:val="nil"/>
            </w:tcBorders>
            <w:shd w:val="clear" w:color="auto" w:fill="FBE4D5" w:themeFill="accent2" w:themeFillTint="33"/>
          </w:tcPr>
          <w:p w14:paraId="79C24233"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 xml:space="preserve">LC </w:t>
            </w:r>
            <w:r w:rsidRPr="0048305E">
              <w:rPr>
                <w:rFonts w:ascii="Arial" w:hAnsi="Arial"/>
                <w:sz w:val="18"/>
                <w:szCs w:val="18"/>
                <w:shd w:val="clear" w:color="auto" w:fill="FBE4D5" w:themeFill="accent2" w:themeFillTint="33"/>
              </w:rPr>
              <w:t>(</w:t>
            </w:r>
            <w:r w:rsidRPr="0048305E">
              <w:rPr>
                <w:rFonts w:ascii="Arial" w:hAnsi="Arial"/>
                <w:color w:val="1F1F1F"/>
                <w:sz w:val="18"/>
                <w:szCs w:val="18"/>
                <w:shd w:val="clear" w:color="auto" w:fill="FBE4D5" w:themeFill="accent2" w:themeFillTint="33"/>
              </w:rPr>
              <w:t>↓</w:t>
            </w:r>
            <w:r w:rsidRPr="0048305E">
              <w:rPr>
                <w:rFonts w:ascii="Arial" w:hAnsi="Arial"/>
                <w:sz w:val="18"/>
                <w:szCs w:val="18"/>
                <w:shd w:val="clear" w:color="auto" w:fill="FBE4D5" w:themeFill="accent2" w:themeFillTint="33"/>
              </w:rPr>
              <w:t>)</w:t>
            </w:r>
            <w:r w:rsidRPr="0048305E">
              <w:rPr>
                <w:rFonts w:ascii="Arial" w:hAnsi="Arial"/>
                <w:sz w:val="18"/>
                <w:szCs w:val="18"/>
              </w:rPr>
              <w:t xml:space="preserve"> </w:t>
            </w:r>
            <w:r w:rsidRPr="0048305E">
              <w:rPr>
                <w:rFonts w:ascii="Arial" w:hAnsi="Arial"/>
                <w:color w:val="040C28"/>
                <w:sz w:val="18"/>
                <w:szCs w:val="18"/>
              </w:rPr>
              <w:t>→</w:t>
            </w:r>
            <w:r w:rsidRPr="0048305E">
              <w:rPr>
                <w:rFonts w:ascii="Arial" w:hAnsi="Arial"/>
                <w:sz w:val="18"/>
                <w:szCs w:val="18"/>
              </w:rPr>
              <w:t xml:space="preserve"> VU (</w:t>
            </w:r>
            <w:r w:rsidRPr="0048305E">
              <w:rPr>
                <w:rFonts w:ascii="Arial" w:hAnsi="Arial"/>
                <w:color w:val="1F1F1F"/>
                <w:sz w:val="18"/>
                <w:szCs w:val="18"/>
                <w:shd w:val="clear" w:color="auto" w:fill="FBE4D5" w:themeFill="accent2" w:themeFillTint="33"/>
              </w:rPr>
              <w:t>↓</w:t>
            </w:r>
            <w:r w:rsidRPr="0048305E">
              <w:rPr>
                <w:rFonts w:ascii="Arial" w:hAnsi="Arial"/>
                <w:sz w:val="18"/>
                <w:szCs w:val="18"/>
                <w:shd w:val="clear" w:color="auto" w:fill="FBE4D5" w:themeFill="accent2" w:themeFillTint="33"/>
              </w:rPr>
              <w:t>)</w:t>
            </w:r>
          </w:p>
        </w:tc>
        <w:tc>
          <w:tcPr>
            <w:tcW w:w="4168" w:type="dxa"/>
            <w:tcBorders>
              <w:left w:val="nil"/>
              <w:right w:val="nil"/>
            </w:tcBorders>
            <w:shd w:val="clear" w:color="auto" w:fill="FBE4D5" w:themeFill="accent2" w:themeFillTint="33"/>
          </w:tcPr>
          <w:p w14:paraId="2C72882E" w14:textId="77777777" w:rsidR="002D72AD" w:rsidRPr="0048305E" w:rsidRDefault="002D72AD" w:rsidP="00ED5A72">
            <w:pPr>
              <w:spacing w:before="40" w:after="40"/>
              <w:jc w:val="both"/>
              <w:rPr>
                <w:rFonts w:ascii="Arial" w:hAnsi="Arial"/>
                <w:sz w:val="18"/>
                <w:szCs w:val="18"/>
              </w:rPr>
            </w:pPr>
            <w:r w:rsidRPr="0048305E">
              <w:rPr>
                <w:rFonts w:ascii="Arial" w:hAnsi="Arial"/>
                <w:sz w:val="18"/>
                <w:szCs w:val="18"/>
              </w:rPr>
              <w:t>Estimated population reduction of 30-49%; the precise drivers are unknown.</w:t>
            </w:r>
          </w:p>
        </w:tc>
      </w:tr>
      <w:tr w:rsidR="002D72AD" w:rsidRPr="0048305E" w14:paraId="788A0FD4" w14:textId="77777777" w:rsidTr="009555C6">
        <w:tc>
          <w:tcPr>
            <w:tcW w:w="2405" w:type="dxa"/>
            <w:tcBorders>
              <w:left w:val="nil"/>
              <w:right w:val="nil"/>
            </w:tcBorders>
            <w:shd w:val="clear" w:color="auto" w:fill="FBE4D5" w:themeFill="accent2" w:themeFillTint="33"/>
          </w:tcPr>
          <w:p w14:paraId="46C37B5A" w14:textId="77777777" w:rsidR="002D72AD" w:rsidRPr="0048305E" w:rsidRDefault="002D72AD" w:rsidP="00ED0994">
            <w:pPr>
              <w:spacing w:before="40" w:after="40"/>
              <w:rPr>
                <w:rFonts w:ascii="Arial" w:hAnsi="Arial"/>
                <w:b/>
                <w:sz w:val="18"/>
                <w:szCs w:val="18"/>
              </w:rPr>
            </w:pPr>
            <w:proofErr w:type="spellStart"/>
            <w:r w:rsidRPr="0048305E">
              <w:rPr>
                <w:rFonts w:ascii="Arial" w:hAnsi="Arial"/>
                <w:b/>
                <w:i/>
                <w:sz w:val="18"/>
                <w:szCs w:val="18"/>
              </w:rPr>
              <w:t>Pluvianellus</w:t>
            </w:r>
            <w:proofErr w:type="spellEnd"/>
            <w:r w:rsidRPr="0048305E">
              <w:rPr>
                <w:rFonts w:ascii="Arial" w:hAnsi="Arial"/>
                <w:b/>
                <w:i/>
                <w:sz w:val="18"/>
                <w:szCs w:val="18"/>
              </w:rPr>
              <w:t xml:space="preserve"> socialis </w:t>
            </w:r>
            <w:r w:rsidRPr="0048305E">
              <w:rPr>
                <w:rFonts w:ascii="Arial" w:hAnsi="Arial"/>
                <w:b/>
                <w:sz w:val="18"/>
                <w:szCs w:val="18"/>
              </w:rPr>
              <w:t>(Magellanic Plover)</w:t>
            </w:r>
          </w:p>
        </w:tc>
        <w:tc>
          <w:tcPr>
            <w:tcW w:w="680" w:type="dxa"/>
            <w:tcBorders>
              <w:left w:val="nil"/>
              <w:right w:val="nil"/>
            </w:tcBorders>
            <w:shd w:val="clear" w:color="auto" w:fill="FBE4D5" w:themeFill="accent2" w:themeFillTint="33"/>
          </w:tcPr>
          <w:p w14:paraId="545FF400"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I/II</w:t>
            </w:r>
          </w:p>
        </w:tc>
        <w:tc>
          <w:tcPr>
            <w:tcW w:w="1814" w:type="dxa"/>
            <w:tcBorders>
              <w:left w:val="nil"/>
              <w:right w:val="nil"/>
            </w:tcBorders>
            <w:shd w:val="clear" w:color="auto" w:fill="FBE4D5" w:themeFill="accent2" w:themeFillTint="33"/>
          </w:tcPr>
          <w:p w14:paraId="002088B5"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 xml:space="preserve">NT (-) </w:t>
            </w:r>
            <w:r w:rsidRPr="0048305E">
              <w:rPr>
                <w:rFonts w:ascii="Arial" w:hAnsi="Arial"/>
                <w:color w:val="040C28"/>
                <w:sz w:val="18"/>
                <w:szCs w:val="18"/>
              </w:rPr>
              <w:t>→</w:t>
            </w:r>
            <w:r w:rsidRPr="0048305E">
              <w:rPr>
                <w:rFonts w:ascii="Arial" w:hAnsi="Arial"/>
                <w:sz w:val="18"/>
                <w:szCs w:val="18"/>
              </w:rPr>
              <w:t xml:space="preserve"> VU (-)</w:t>
            </w:r>
          </w:p>
        </w:tc>
        <w:tc>
          <w:tcPr>
            <w:tcW w:w="4168" w:type="dxa"/>
            <w:tcBorders>
              <w:left w:val="nil"/>
              <w:right w:val="nil"/>
            </w:tcBorders>
            <w:shd w:val="clear" w:color="auto" w:fill="FBE4D5" w:themeFill="accent2" w:themeFillTint="33"/>
          </w:tcPr>
          <w:p w14:paraId="7B294006" w14:textId="77777777" w:rsidR="002D72AD" w:rsidRPr="0048305E" w:rsidRDefault="002D72AD" w:rsidP="00ED5A72">
            <w:pPr>
              <w:spacing w:before="40" w:after="40"/>
              <w:jc w:val="both"/>
              <w:rPr>
                <w:rFonts w:ascii="Arial" w:hAnsi="Arial"/>
                <w:sz w:val="18"/>
                <w:szCs w:val="18"/>
              </w:rPr>
            </w:pPr>
            <w:r w:rsidRPr="0048305E">
              <w:rPr>
                <w:rFonts w:ascii="Arial" w:hAnsi="Arial"/>
                <w:sz w:val="18"/>
                <w:szCs w:val="18"/>
              </w:rPr>
              <w:t>Small global population size; stable population trend.</w:t>
            </w:r>
          </w:p>
        </w:tc>
      </w:tr>
      <w:tr w:rsidR="002D72AD" w:rsidRPr="0048305E" w14:paraId="55577EBB" w14:textId="77777777" w:rsidTr="009555C6">
        <w:tc>
          <w:tcPr>
            <w:tcW w:w="2405" w:type="dxa"/>
            <w:tcBorders>
              <w:left w:val="nil"/>
              <w:right w:val="nil"/>
            </w:tcBorders>
          </w:tcPr>
          <w:p w14:paraId="638E2496" w14:textId="77777777" w:rsidR="002D72AD" w:rsidRPr="0048305E" w:rsidRDefault="002D72AD" w:rsidP="00ED0994">
            <w:pPr>
              <w:spacing w:before="40" w:after="40"/>
              <w:rPr>
                <w:rFonts w:ascii="Arial" w:hAnsi="Arial"/>
                <w:i/>
                <w:sz w:val="18"/>
                <w:szCs w:val="18"/>
              </w:rPr>
            </w:pPr>
            <w:r w:rsidRPr="0048305E">
              <w:rPr>
                <w:rFonts w:ascii="Arial" w:hAnsi="Arial"/>
                <w:i/>
                <w:sz w:val="18"/>
                <w:szCs w:val="18"/>
              </w:rPr>
              <w:t xml:space="preserve">Tringa brevipes </w:t>
            </w:r>
          </w:p>
          <w:p w14:paraId="5F1E6FF9"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(Grey-tailed Tattler)</w:t>
            </w:r>
          </w:p>
        </w:tc>
        <w:tc>
          <w:tcPr>
            <w:tcW w:w="680" w:type="dxa"/>
            <w:tcBorders>
              <w:left w:val="nil"/>
              <w:right w:val="nil"/>
            </w:tcBorders>
          </w:tcPr>
          <w:p w14:paraId="2DBA895C"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II</w:t>
            </w:r>
          </w:p>
        </w:tc>
        <w:tc>
          <w:tcPr>
            <w:tcW w:w="1814" w:type="dxa"/>
            <w:tcBorders>
              <w:left w:val="nil"/>
              <w:right w:val="nil"/>
            </w:tcBorders>
          </w:tcPr>
          <w:p w14:paraId="68346975"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NT (</w:t>
            </w:r>
            <w:r w:rsidRPr="0048305E">
              <w:rPr>
                <w:rFonts w:ascii="Arial" w:hAnsi="Arial"/>
                <w:color w:val="1F1F1F"/>
                <w:sz w:val="18"/>
                <w:szCs w:val="18"/>
              </w:rPr>
              <w:t>↓</w:t>
            </w:r>
            <w:r w:rsidRPr="0048305E">
              <w:rPr>
                <w:rFonts w:ascii="Arial" w:hAnsi="Arial"/>
                <w:sz w:val="18"/>
                <w:szCs w:val="18"/>
              </w:rPr>
              <w:t xml:space="preserve">) </w:t>
            </w:r>
            <w:r w:rsidRPr="0048305E">
              <w:rPr>
                <w:rFonts w:ascii="Arial" w:hAnsi="Arial"/>
                <w:color w:val="040C28"/>
                <w:sz w:val="18"/>
                <w:szCs w:val="18"/>
              </w:rPr>
              <w:t>→</w:t>
            </w:r>
            <w:r w:rsidRPr="0048305E">
              <w:rPr>
                <w:rFonts w:ascii="Arial" w:hAnsi="Arial"/>
                <w:sz w:val="18"/>
                <w:szCs w:val="18"/>
              </w:rPr>
              <w:t xml:space="preserve"> LC (-)</w:t>
            </w:r>
          </w:p>
        </w:tc>
        <w:tc>
          <w:tcPr>
            <w:tcW w:w="4168" w:type="dxa"/>
            <w:tcBorders>
              <w:left w:val="nil"/>
              <w:right w:val="nil"/>
            </w:tcBorders>
          </w:tcPr>
          <w:p w14:paraId="3DBEA1F1" w14:textId="77777777" w:rsidR="002D72AD" w:rsidRPr="0048305E" w:rsidRDefault="002D72AD" w:rsidP="00ED5A72">
            <w:pPr>
              <w:spacing w:before="40" w:after="40"/>
              <w:jc w:val="both"/>
              <w:rPr>
                <w:rFonts w:ascii="Arial" w:hAnsi="Arial"/>
                <w:sz w:val="18"/>
                <w:szCs w:val="18"/>
              </w:rPr>
            </w:pPr>
            <w:r w:rsidRPr="0048305E">
              <w:rPr>
                <w:rFonts w:ascii="Arial" w:hAnsi="Arial"/>
                <w:sz w:val="18"/>
                <w:szCs w:val="18"/>
              </w:rPr>
              <w:t>Species has a large range; population trend suspected to be stable.</w:t>
            </w:r>
          </w:p>
        </w:tc>
      </w:tr>
      <w:tr w:rsidR="002D72AD" w:rsidRPr="0048305E" w14:paraId="11123B54" w14:textId="77777777" w:rsidTr="009555C6">
        <w:tc>
          <w:tcPr>
            <w:tcW w:w="2405" w:type="dxa"/>
            <w:tcBorders>
              <w:left w:val="nil"/>
              <w:right w:val="nil"/>
            </w:tcBorders>
            <w:shd w:val="clear" w:color="auto" w:fill="FBE4D5" w:themeFill="accent2" w:themeFillTint="33"/>
          </w:tcPr>
          <w:p w14:paraId="18A5A028" w14:textId="77777777" w:rsidR="002D72AD" w:rsidRPr="0048305E" w:rsidRDefault="002D72AD" w:rsidP="00ED0994">
            <w:pPr>
              <w:spacing w:before="40" w:after="40"/>
              <w:rPr>
                <w:rFonts w:ascii="Arial" w:hAnsi="Arial"/>
                <w:b/>
                <w:i/>
                <w:sz w:val="18"/>
                <w:szCs w:val="18"/>
              </w:rPr>
            </w:pPr>
            <w:r w:rsidRPr="0048305E">
              <w:rPr>
                <w:rFonts w:ascii="Arial" w:hAnsi="Arial"/>
                <w:b/>
                <w:i/>
                <w:sz w:val="18"/>
                <w:szCs w:val="18"/>
              </w:rPr>
              <w:t xml:space="preserve">Tringa flavipes </w:t>
            </w:r>
          </w:p>
          <w:p w14:paraId="24FDD84E" w14:textId="77777777" w:rsidR="002D72AD" w:rsidRPr="0048305E" w:rsidRDefault="002D72AD" w:rsidP="00ED0994">
            <w:pPr>
              <w:spacing w:before="40" w:after="40"/>
              <w:rPr>
                <w:rFonts w:ascii="Arial" w:hAnsi="Arial"/>
                <w:b/>
                <w:sz w:val="18"/>
                <w:szCs w:val="18"/>
              </w:rPr>
            </w:pPr>
            <w:r w:rsidRPr="0048305E">
              <w:rPr>
                <w:rFonts w:ascii="Arial" w:hAnsi="Arial"/>
                <w:b/>
                <w:sz w:val="18"/>
                <w:szCs w:val="18"/>
              </w:rPr>
              <w:t>(Lesser Yellowlegs)</w:t>
            </w:r>
          </w:p>
        </w:tc>
        <w:tc>
          <w:tcPr>
            <w:tcW w:w="680" w:type="dxa"/>
            <w:tcBorders>
              <w:left w:val="nil"/>
              <w:right w:val="nil"/>
            </w:tcBorders>
            <w:shd w:val="clear" w:color="auto" w:fill="FBE4D5" w:themeFill="accent2" w:themeFillTint="33"/>
          </w:tcPr>
          <w:p w14:paraId="395FDD89"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II</w:t>
            </w:r>
          </w:p>
        </w:tc>
        <w:tc>
          <w:tcPr>
            <w:tcW w:w="1814" w:type="dxa"/>
            <w:tcBorders>
              <w:left w:val="nil"/>
              <w:right w:val="nil"/>
            </w:tcBorders>
            <w:shd w:val="clear" w:color="auto" w:fill="FBE4D5" w:themeFill="accent2" w:themeFillTint="33"/>
          </w:tcPr>
          <w:p w14:paraId="2DC2A943"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LC (</w:t>
            </w:r>
            <w:r w:rsidRPr="0048305E">
              <w:rPr>
                <w:rFonts w:ascii="Arial" w:hAnsi="Arial"/>
                <w:color w:val="1F1F1F"/>
                <w:sz w:val="18"/>
                <w:szCs w:val="18"/>
                <w:shd w:val="clear" w:color="auto" w:fill="FBE4D5" w:themeFill="accent2" w:themeFillTint="33"/>
              </w:rPr>
              <w:t>↓</w:t>
            </w:r>
            <w:r w:rsidRPr="0048305E">
              <w:rPr>
                <w:rFonts w:ascii="Arial" w:hAnsi="Arial"/>
                <w:sz w:val="18"/>
                <w:szCs w:val="18"/>
                <w:shd w:val="clear" w:color="auto" w:fill="FBE4D5" w:themeFill="accent2" w:themeFillTint="33"/>
              </w:rPr>
              <w:t xml:space="preserve">) </w:t>
            </w:r>
            <w:r w:rsidRPr="0048305E">
              <w:rPr>
                <w:rFonts w:ascii="Arial" w:hAnsi="Arial"/>
                <w:color w:val="040C28"/>
                <w:sz w:val="18"/>
                <w:szCs w:val="18"/>
              </w:rPr>
              <w:t>→</w:t>
            </w:r>
            <w:r w:rsidRPr="0048305E">
              <w:rPr>
                <w:rFonts w:ascii="Arial" w:hAnsi="Arial"/>
                <w:sz w:val="18"/>
                <w:szCs w:val="18"/>
              </w:rPr>
              <w:t xml:space="preserve"> VU (</w:t>
            </w:r>
            <w:r w:rsidRPr="0048305E">
              <w:rPr>
                <w:rFonts w:ascii="Arial" w:hAnsi="Arial"/>
                <w:color w:val="1F1F1F"/>
                <w:sz w:val="18"/>
                <w:szCs w:val="18"/>
                <w:shd w:val="clear" w:color="auto" w:fill="FBE4D5" w:themeFill="accent2" w:themeFillTint="33"/>
              </w:rPr>
              <w:t>↓</w:t>
            </w:r>
            <w:r w:rsidRPr="0048305E">
              <w:rPr>
                <w:rFonts w:ascii="Arial" w:hAnsi="Arial"/>
                <w:sz w:val="18"/>
                <w:szCs w:val="18"/>
                <w:shd w:val="clear" w:color="auto" w:fill="FBE4D5" w:themeFill="accent2" w:themeFillTint="33"/>
              </w:rPr>
              <w:t>)</w:t>
            </w:r>
          </w:p>
        </w:tc>
        <w:tc>
          <w:tcPr>
            <w:tcW w:w="4168" w:type="dxa"/>
            <w:tcBorders>
              <w:left w:val="nil"/>
              <w:right w:val="nil"/>
            </w:tcBorders>
            <w:shd w:val="clear" w:color="auto" w:fill="FBE4D5" w:themeFill="accent2" w:themeFillTint="33"/>
          </w:tcPr>
          <w:p w14:paraId="1FE436AD" w14:textId="77777777" w:rsidR="002D72AD" w:rsidRPr="0048305E" w:rsidRDefault="002D72AD" w:rsidP="00ED5A72">
            <w:pPr>
              <w:spacing w:before="40" w:after="40"/>
              <w:jc w:val="both"/>
              <w:rPr>
                <w:rFonts w:ascii="Arial" w:hAnsi="Arial"/>
                <w:sz w:val="18"/>
                <w:szCs w:val="18"/>
              </w:rPr>
            </w:pPr>
            <w:r w:rsidRPr="0048305E">
              <w:rPr>
                <w:rFonts w:ascii="Arial" w:hAnsi="Arial"/>
                <w:sz w:val="18"/>
                <w:szCs w:val="18"/>
              </w:rPr>
              <w:t>Estimated population reduction of 26-49%; drivers may include unsustainable taking.</w:t>
            </w:r>
          </w:p>
        </w:tc>
      </w:tr>
      <w:tr w:rsidR="002D72AD" w:rsidRPr="0048305E" w14:paraId="30742797" w14:textId="77777777" w:rsidTr="009555C6">
        <w:tc>
          <w:tcPr>
            <w:tcW w:w="2405" w:type="dxa"/>
            <w:tcBorders>
              <w:left w:val="nil"/>
              <w:right w:val="nil"/>
            </w:tcBorders>
            <w:shd w:val="clear" w:color="auto" w:fill="FBE4D5" w:themeFill="accent2" w:themeFillTint="33"/>
          </w:tcPr>
          <w:p w14:paraId="037ACD00" w14:textId="77777777" w:rsidR="002D72AD" w:rsidRPr="0048305E" w:rsidRDefault="002D72AD" w:rsidP="00ED0994">
            <w:pPr>
              <w:spacing w:before="40" w:after="40"/>
              <w:rPr>
                <w:rFonts w:ascii="Arial" w:hAnsi="Arial"/>
                <w:sz w:val="18"/>
                <w:szCs w:val="18"/>
              </w:rPr>
            </w:pPr>
            <w:r w:rsidRPr="0048305E">
              <w:rPr>
                <w:rFonts w:ascii="Arial" w:hAnsi="Arial"/>
                <w:i/>
                <w:sz w:val="18"/>
                <w:szCs w:val="18"/>
              </w:rPr>
              <w:t xml:space="preserve">Tringa melanoleuca </w:t>
            </w:r>
            <w:r w:rsidRPr="0048305E">
              <w:rPr>
                <w:rFonts w:ascii="Arial" w:hAnsi="Arial"/>
                <w:sz w:val="18"/>
                <w:szCs w:val="18"/>
              </w:rPr>
              <w:t>(Greater Yellowlegs)</w:t>
            </w:r>
          </w:p>
        </w:tc>
        <w:tc>
          <w:tcPr>
            <w:tcW w:w="680" w:type="dxa"/>
            <w:tcBorders>
              <w:left w:val="nil"/>
              <w:right w:val="nil"/>
            </w:tcBorders>
            <w:shd w:val="clear" w:color="auto" w:fill="FBE4D5" w:themeFill="accent2" w:themeFillTint="33"/>
          </w:tcPr>
          <w:p w14:paraId="1917376B"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II</w:t>
            </w:r>
          </w:p>
        </w:tc>
        <w:tc>
          <w:tcPr>
            <w:tcW w:w="1814" w:type="dxa"/>
            <w:tcBorders>
              <w:left w:val="nil"/>
              <w:right w:val="nil"/>
            </w:tcBorders>
            <w:shd w:val="clear" w:color="auto" w:fill="FBE4D5" w:themeFill="accent2" w:themeFillTint="33"/>
          </w:tcPr>
          <w:p w14:paraId="2AB5C31D"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 xml:space="preserve">LC (-) </w:t>
            </w:r>
            <w:r w:rsidRPr="0048305E">
              <w:rPr>
                <w:rFonts w:ascii="Arial" w:hAnsi="Arial"/>
                <w:color w:val="040C28"/>
                <w:sz w:val="18"/>
                <w:szCs w:val="18"/>
              </w:rPr>
              <w:t>→</w:t>
            </w:r>
            <w:r w:rsidRPr="0048305E">
              <w:rPr>
                <w:rFonts w:ascii="Arial" w:hAnsi="Arial"/>
                <w:sz w:val="18"/>
                <w:szCs w:val="18"/>
              </w:rPr>
              <w:t xml:space="preserve"> NT </w:t>
            </w:r>
            <w:r w:rsidRPr="0048305E">
              <w:rPr>
                <w:rFonts w:ascii="Arial" w:hAnsi="Arial"/>
                <w:sz w:val="18"/>
                <w:szCs w:val="18"/>
                <w:shd w:val="clear" w:color="auto" w:fill="FBE4D5" w:themeFill="accent2" w:themeFillTint="33"/>
              </w:rPr>
              <w:t>(</w:t>
            </w:r>
            <w:r w:rsidRPr="0048305E">
              <w:rPr>
                <w:rFonts w:ascii="Arial" w:hAnsi="Arial"/>
                <w:color w:val="1F1F1F"/>
                <w:sz w:val="18"/>
                <w:szCs w:val="18"/>
                <w:shd w:val="clear" w:color="auto" w:fill="FBE4D5" w:themeFill="accent2" w:themeFillTint="33"/>
              </w:rPr>
              <w:t>↓</w:t>
            </w:r>
            <w:r w:rsidRPr="0048305E">
              <w:rPr>
                <w:rFonts w:ascii="Arial" w:hAnsi="Arial"/>
                <w:sz w:val="18"/>
                <w:szCs w:val="18"/>
              </w:rPr>
              <w:t>)</w:t>
            </w:r>
          </w:p>
        </w:tc>
        <w:tc>
          <w:tcPr>
            <w:tcW w:w="4168" w:type="dxa"/>
            <w:tcBorders>
              <w:left w:val="nil"/>
              <w:right w:val="nil"/>
            </w:tcBorders>
            <w:shd w:val="clear" w:color="auto" w:fill="FBE4D5" w:themeFill="accent2" w:themeFillTint="33"/>
          </w:tcPr>
          <w:p w14:paraId="1A0AEEB4" w14:textId="77777777" w:rsidR="002D72AD" w:rsidRPr="0048305E" w:rsidRDefault="002D72AD" w:rsidP="00ED5A72">
            <w:pPr>
              <w:spacing w:before="40" w:after="40"/>
              <w:jc w:val="both"/>
              <w:rPr>
                <w:rFonts w:ascii="Arial" w:hAnsi="Arial"/>
                <w:sz w:val="18"/>
                <w:szCs w:val="18"/>
              </w:rPr>
            </w:pPr>
            <w:r w:rsidRPr="0048305E">
              <w:rPr>
                <w:rFonts w:ascii="Arial" w:hAnsi="Arial"/>
                <w:sz w:val="18"/>
                <w:szCs w:val="18"/>
              </w:rPr>
              <w:t>Suspected population decrease of up to 29%; potential drivers include taking.</w:t>
            </w:r>
          </w:p>
        </w:tc>
      </w:tr>
      <w:tr w:rsidR="002D72AD" w:rsidRPr="0048305E" w14:paraId="6489BBC8" w14:textId="77777777" w:rsidTr="009555C6">
        <w:tc>
          <w:tcPr>
            <w:tcW w:w="2405" w:type="dxa"/>
            <w:tcBorders>
              <w:left w:val="nil"/>
              <w:right w:val="nil"/>
            </w:tcBorders>
            <w:shd w:val="clear" w:color="auto" w:fill="FBE4D5" w:themeFill="accent2" w:themeFillTint="33"/>
          </w:tcPr>
          <w:p w14:paraId="731F882C" w14:textId="77777777" w:rsidR="002D72AD" w:rsidRPr="0048305E" w:rsidRDefault="002D72AD" w:rsidP="00ED0994">
            <w:pPr>
              <w:spacing w:before="40" w:after="40"/>
              <w:rPr>
                <w:rFonts w:ascii="Arial" w:hAnsi="Arial"/>
                <w:b/>
                <w:i/>
                <w:sz w:val="18"/>
                <w:szCs w:val="18"/>
              </w:rPr>
            </w:pPr>
            <w:r w:rsidRPr="0048305E">
              <w:rPr>
                <w:rFonts w:ascii="Arial" w:hAnsi="Arial"/>
                <w:b/>
                <w:i/>
                <w:sz w:val="18"/>
                <w:szCs w:val="18"/>
              </w:rPr>
              <w:t xml:space="preserve">Spheniscus </w:t>
            </w:r>
            <w:proofErr w:type="spellStart"/>
            <w:r w:rsidRPr="0048305E">
              <w:rPr>
                <w:rFonts w:ascii="Arial" w:hAnsi="Arial"/>
                <w:b/>
                <w:i/>
                <w:sz w:val="18"/>
                <w:szCs w:val="18"/>
              </w:rPr>
              <w:t>demersus</w:t>
            </w:r>
            <w:proofErr w:type="spellEnd"/>
            <w:r w:rsidRPr="0048305E">
              <w:rPr>
                <w:rFonts w:ascii="Arial" w:hAnsi="Arial"/>
                <w:b/>
                <w:i/>
                <w:sz w:val="18"/>
                <w:szCs w:val="18"/>
              </w:rPr>
              <w:t xml:space="preserve"> </w:t>
            </w:r>
            <w:r w:rsidRPr="0048305E">
              <w:rPr>
                <w:rFonts w:ascii="Arial" w:hAnsi="Arial"/>
                <w:b/>
                <w:sz w:val="18"/>
                <w:szCs w:val="18"/>
              </w:rPr>
              <w:t>(African Penguin)</w:t>
            </w:r>
          </w:p>
        </w:tc>
        <w:tc>
          <w:tcPr>
            <w:tcW w:w="680" w:type="dxa"/>
            <w:tcBorders>
              <w:left w:val="nil"/>
              <w:right w:val="nil"/>
            </w:tcBorders>
            <w:shd w:val="clear" w:color="auto" w:fill="FBE4D5" w:themeFill="accent2" w:themeFillTint="33"/>
          </w:tcPr>
          <w:p w14:paraId="1BB7E24B"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II</w:t>
            </w:r>
          </w:p>
        </w:tc>
        <w:tc>
          <w:tcPr>
            <w:tcW w:w="1814" w:type="dxa"/>
            <w:tcBorders>
              <w:left w:val="nil"/>
              <w:right w:val="nil"/>
            </w:tcBorders>
            <w:shd w:val="clear" w:color="auto" w:fill="FBE4D5" w:themeFill="accent2" w:themeFillTint="33"/>
          </w:tcPr>
          <w:p w14:paraId="787116B5"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EN</w:t>
            </w:r>
            <w:r w:rsidRPr="0048305E">
              <w:rPr>
                <w:rFonts w:ascii="Arial" w:hAnsi="Arial"/>
                <w:sz w:val="18"/>
                <w:szCs w:val="18"/>
                <w:shd w:val="clear" w:color="auto" w:fill="FBE4D5" w:themeFill="accent2" w:themeFillTint="33"/>
              </w:rPr>
              <w:t xml:space="preserve"> (</w:t>
            </w:r>
            <w:r w:rsidRPr="0048305E">
              <w:rPr>
                <w:rFonts w:ascii="Arial" w:hAnsi="Arial"/>
                <w:color w:val="1F1F1F"/>
                <w:sz w:val="18"/>
                <w:szCs w:val="18"/>
                <w:shd w:val="clear" w:color="auto" w:fill="FBE4D5" w:themeFill="accent2" w:themeFillTint="33"/>
              </w:rPr>
              <w:t>↓</w:t>
            </w:r>
            <w:r w:rsidRPr="0048305E">
              <w:rPr>
                <w:rFonts w:ascii="Arial" w:hAnsi="Arial"/>
                <w:sz w:val="18"/>
                <w:szCs w:val="18"/>
                <w:shd w:val="clear" w:color="auto" w:fill="FBE4D5" w:themeFill="accent2" w:themeFillTint="33"/>
              </w:rPr>
              <w:t>)</w:t>
            </w:r>
            <w:r w:rsidRPr="0048305E">
              <w:rPr>
                <w:rFonts w:ascii="Arial" w:hAnsi="Arial"/>
                <w:sz w:val="18"/>
                <w:szCs w:val="18"/>
              </w:rPr>
              <w:t xml:space="preserve"> </w:t>
            </w:r>
            <w:r w:rsidRPr="0048305E">
              <w:rPr>
                <w:rFonts w:ascii="Arial" w:hAnsi="Arial"/>
                <w:color w:val="040C28"/>
                <w:sz w:val="18"/>
                <w:szCs w:val="18"/>
              </w:rPr>
              <w:t>→</w:t>
            </w:r>
            <w:r w:rsidRPr="0048305E">
              <w:rPr>
                <w:rFonts w:ascii="Arial" w:hAnsi="Arial"/>
                <w:sz w:val="18"/>
                <w:szCs w:val="18"/>
              </w:rPr>
              <w:t xml:space="preserve"> CR </w:t>
            </w:r>
            <w:r w:rsidRPr="0048305E">
              <w:rPr>
                <w:rFonts w:ascii="Arial" w:hAnsi="Arial"/>
                <w:sz w:val="18"/>
                <w:szCs w:val="18"/>
                <w:shd w:val="clear" w:color="auto" w:fill="FBE4D5" w:themeFill="accent2" w:themeFillTint="33"/>
              </w:rPr>
              <w:t>(</w:t>
            </w:r>
            <w:r w:rsidRPr="0048305E">
              <w:rPr>
                <w:rFonts w:ascii="Arial" w:hAnsi="Arial"/>
                <w:color w:val="1F1F1F"/>
                <w:sz w:val="18"/>
                <w:szCs w:val="18"/>
                <w:shd w:val="clear" w:color="auto" w:fill="FBE4D5" w:themeFill="accent2" w:themeFillTint="33"/>
              </w:rPr>
              <w:t>↓</w:t>
            </w:r>
            <w:r w:rsidRPr="0048305E">
              <w:rPr>
                <w:rFonts w:ascii="Arial" w:hAnsi="Arial"/>
                <w:sz w:val="18"/>
                <w:szCs w:val="18"/>
                <w:shd w:val="clear" w:color="auto" w:fill="FBE4D5" w:themeFill="accent2" w:themeFillTint="33"/>
              </w:rPr>
              <w:t>)</w:t>
            </w:r>
          </w:p>
        </w:tc>
        <w:tc>
          <w:tcPr>
            <w:tcW w:w="4168" w:type="dxa"/>
            <w:tcBorders>
              <w:left w:val="nil"/>
              <w:right w:val="nil"/>
            </w:tcBorders>
            <w:shd w:val="clear" w:color="auto" w:fill="FBE4D5" w:themeFill="accent2" w:themeFillTint="33"/>
          </w:tcPr>
          <w:p w14:paraId="25811830" w14:textId="77777777" w:rsidR="002D72AD" w:rsidRPr="0048305E" w:rsidRDefault="002D72AD" w:rsidP="00ED5A72">
            <w:pPr>
              <w:spacing w:before="40" w:after="40"/>
              <w:jc w:val="both"/>
              <w:rPr>
                <w:rFonts w:ascii="Arial" w:hAnsi="Arial"/>
                <w:sz w:val="18"/>
                <w:szCs w:val="18"/>
              </w:rPr>
            </w:pPr>
            <w:r w:rsidRPr="0048305E">
              <w:rPr>
                <w:rFonts w:ascii="Arial" w:hAnsi="Arial"/>
                <w:sz w:val="18"/>
                <w:szCs w:val="18"/>
              </w:rPr>
              <w:t xml:space="preserve">Population decreasing extremely rapidly; likely main drivers are impacts of fisheries and climate change on prey. </w:t>
            </w:r>
          </w:p>
        </w:tc>
      </w:tr>
      <w:tr w:rsidR="002D72AD" w:rsidRPr="0048305E" w14:paraId="7CA1ED8D" w14:textId="77777777" w:rsidTr="009555C6">
        <w:tc>
          <w:tcPr>
            <w:tcW w:w="9067" w:type="dxa"/>
            <w:gridSpan w:val="4"/>
            <w:tcBorders>
              <w:left w:val="nil"/>
              <w:right w:val="nil"/>
            </w:tcBorders>
            <w:shd w:val="clear" w:color="auto" w:fill="67A2C0"/>
          </w:tcPr>
          <w:p w14:paraId="12F5D967" w14:textId="77777777" w:rsidR="002D72AD" w:rsidRPr="0048305E" w:rsidRDefault="002D72AD" w:rsidP="00ED5A72">
            <w:pPr>
              <w:spacing w:before="40" w:after="40"/>
              <w:jc w:val="both"/>
              <w:rPr>
                <w:rFonts w:ascii="Arial" w:hAnsi="Arial"/>
                <w:sz w:val="18"/>
                <w:szCs w:val="18"/>
              </w:rPr>
            </w:pPr>
            <w:r w:rsidRPr="0048305E">
              <w:rPr>
                <w:rFonts w:ascii="Arial" w:hAnsi="Arial"/>
                <w:color w:val="FFFFFF" w:themeColor="background1"/>
                <w:sz w:val="18"/>
                <w:szCs w:val="18"/>
              </w:rPr>
              <w:t>Fish</w:t>
            </w:r>
          </w:p>
        </w:tc>
      </w:tr>
      <w:tr w:rsidR="002D72AD" w:rsidRPr="0048305E" w14:paraId="3B26F8D0" w14:textId="77777777" w:rsidTr="009555C6">
        <w:tc>
          <w:tcPr>
            <w:tcW w:w="2405" w:type="dxa"/>
            <w:tcBorders>
              <w:left w:val="nil"/>
              <w:right w:val="nil"/>
            </w:tcBorders>
            <w:shd w:val="clear" w:color="auto" w:fill="FBE4D5" w:themeFill="accent2" w:themeFillTint="33"/>
          </w:tcPr>
          <w:p w14:paraId="6B232FB5" w14:textId="77777777" w:rsidR="002D72AD" w:rsidRPr="0048305E" w:rsidRDefault="002D72AD" w:rsidP="00ED0994">
            <w:pPr>
              <w:spacing w:before="40" w:after="40"/>
              <w:rPr>
                <w:rFonts w:ascii="Arial" w:hAnsi="Arial"/>
                <w:b/>
                <w:sz w:val="18"/>
                <w:szCs w:val="18"/>
              </w:rPr>
            </w:pPr>
            <w:r w:rsidRPr="0048305E">
              <w:rPr>
                <w:rFonts w:ascii="Arial" w:hAnsi="Arial"/>
                <w:b/>
                <w:i/>
                <w:sz w:val="18"/>
                <w:szCs w:val="18"/>
              </w:rPr>
              <w:t xml:space="preserve">Acipenser </w:t>
            </w:r>
            <w:proofErr w:type="spellStart"/>
            <w:r w:rsidRPr="0048305E">
              <w:rPr>
                <w:rFonts w:ascii="Arial" w:hAnsi="Arial"/>
                <w:b/>
                <w:i/>
                <w:sz w:val="18"/>
                <w:szCs w:val="18"/>
              </w:rPr>
              <w:t>ruthenus</w:t>
            </w:r>
            <w:proofErr w:type="spellEnd"/>
            <w:r w:rsidRPr="0048305E">
              <w:rPr>
                <w:rFonts w:ascii="Arial" w:hAnsi="Arial"/>
                <w:b/>
                <w:sz w:val="18"/>
                <w:szCs w:val="18"/>
              </w:rPr>
              <w:t xml:space="preserve"> (Sterlet)</w:t>
            </w:r>
          </w:p>
        </w:tc>
        <w:tc>
          <w:tcPr>
            <w:tcW w:w="680" w:type="dxa"/>
            <w:tcBorders>
              <w:left w:val="nil"/>
              <w:right w:val="nil"/>
            </w:tcBorders>
            <w:shd w:val="clear" w:color="auto" w:fill="FBE4D5" w:themeFill="accent2" w:themeFillTint="33"/>
          </w:tcPr>
          <w:p w14:paraId="3FEA2BC3"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II</w:t>
            </w:r>
          </w:p>
        </w:tc>
        <w:tc>
          <w:tcPr>
            <w:tcW w:w="1814" w:type="dxa"/>
            <w:tcBorders>
              <w:left w:val="nil"/>
              <w:right w:val="nil"/>
            </w:tcBorders>
            <w:shd w:val="clear" w:color="auto" w:fill="FBE4D5" w:themeFill="accent2" w:themeFillTint="33"/>
          </w:tcPr>
          <w:p w14:paraId="159DBF2B"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VU (</w:t>
            </w:r>
            <w:r w:rsidRPr="0048305E">
              <w:rPr>
                <w:rFonts w:ascii="Arial" w:hAnsi="Arial"/>
                <w:color w:val="1F1F1F"/>
                <w:sz w:val="18"/>
                <w:szCs w:val="18"/>
                <w:shd w:val="clear" w:color="auto" w:fill="FBE4D5" w:themeFill="accent2" w:themeFillTint="33"/>
              </w:rPr>
              <w:t>↓</w:t>
            </w:r>
            <w:r w:rsidRPr="0048305E">
              <w:rPr>
                <w:rFonts w:ascii="Arial" w:hAnsi="Arial"/>
                <w:sz w:val="18"/>
                <w:szCs w:val="18"/>
                <w:shd w:val="clear" w:color="auto" w:fill="FBE4D5" w:themeFill="accent2" w:themeFillTint="33"/>
              </w:rPr>
              <w:t>)</w:t>
            </w:r>
            <w:r w:rsidRPr="0048305E">
              <w:rPr>
                <w:rFonts w:ascii="Arial" w:hAnsi="Arial"/>
                <w:color w:val="474747"/>
                <w:sz w:val="18"/>
                <w:szCs w:val="18"/>
                <w:shd w:val="clear" w:color="auto" w:fill="FBE4D5" w:themeFill="accent2" w:themeFillTint="33"/>
              </w:rPr>
              <w:t xml:space="preserve">* </w:t>
            </w:r>
            <w:r w:rsidRPr="0048305E">
              <w:rPr>
                <w:rFonts w:ascii="Arial" w:hAnsi="Arial"/>
                <w:color w:val="040C28"/>
                <w:sz w:val="18"/>
                <w:szCs w:val="18"/>
              </w:rPr>
              <w:t>→</w:t>
            </w:r>
            <w:r w:rsidRPr="0048305E">
              <w:rPr>
                <w:rFonts w:ascii="Arial" w:hAnsi="Arial"/>
                <w:sz w:val="18"/>
                <w:szCs w:val="18"/>
              </w:rPr>
              <w:t xml:space="preserve"> </w:t>
            </w:r>
            <w:r w:rsidRPr="0048305E">
              <w:rPr>
                <w:rFonts w:ascii="Arial" w:hAnsi="Arial"/>
                <w:color w:val="040C28"/>
                <w:sz w:val="18"/>
                <w:szCs w:val="18"/>
              </w:rPr>
              <w:t>EN</w:t>
            </w:r>
            <w:r w:rsidRPr="0048305E">
              <w:rPr>
                <w:rFonts w:ascii="Arial" w:hAnsi="Arial"/>
                <w:color w:val="040C28"/>
                <w:sz w:val="18"/>
                <w:szCs w:val="18"/>
                <w:shd w:val="clear" w:color="auto" w:fill="FBE4D5" w:themeFill="accent2" w:themeFillTint="33"/>
              </w:rPr>
              <w:t xml:space="preserve"> (</w:t>
            </w:r>
            <w:r w:rsidRPr="0048305E">
              <w:rPr>
                <w:rFonts w:ascii="Arial" w:hAnsi="Arial"/>
                <w:color w:val="1F1F1F"/>
                <w:sz w:val="18"/>
                <w:szCs w:val="18"/>
                <w:shd w:val="clear" w:color="auto" w:fill="FBE4D5" w:themeFill="accent2" w:themeFillTint="33"/>
              </w:rPr>
              <w:t>↓</w:t>
            </w:r>
            <w:r w:rsidRPr="0048305E">
              <w:rPr>
                <w:rFonts w:ascii="Arial" w:hAnsi="Arial"/>
                <w:color w:val="474747"/>
                <w:sz w:val="18"/>
                <w:szCs w:val="18"/>
                <w:shd w:val="clear" w:color="auto" w:fill="FBE4D5" w:themeFill="accent2" w:themeFillTint="33"/>
              </w:rPr>
              <w:t>)*</w:t>
            </w:r>
          </w:p>
        </w:tc>
        <w:tc>
          <w:tcPr>
            <w:tcW w:w="4168" w:type="dxa"/>
            <w:tcBorders>
              <w:left w:val="nil"/>
              <w:right w:val="nil"/>
            </w:tcBorders>
            <w:shd w:val="clear" w:color="auto" w:fill="FBE4D5" w:themeFill="accent2" w:themeFillTint="33"/>
          </w:tcPr>
          <w:p w14:paraId="5FBB9A9A" w14:textId="77777777" w:rsidR="002D72AD" w:rsidRPr="0048305E" w:rsidRDefault="002D72AD" w:rsidP="00ED5A72">
            <w:pPr>
              <w:spacing w:before="40" w:after="40"/>
              <w:jc w:val="both"/>
              <w:rPr>
                <w:rFonts w:ascii="Arial" w:hAnsi="Arial"/>
                <w:sz w:val="18"/>
                <w:szCs w:val="18"/>
              </w:rPr>
            </w:pPr>
            <w:r w:rsidRPr="0048305E">
              <w:rPr>
                <w:rFonts w:ascii="Arial" w:hAnsi="Arial"/>
                <w:sz w:val="18"/>
                <w:szCs w:val="18"/>
              </w:rPr>
              <w:t xml:space="preserve">Wild populations estimated to have declined by 60-70%. </w:t>
            </w:r>
          </w:p>
        </w:tc>
      </w:tr>
      <w:tr w:rsidR="002D72AD" w:rsidRPr="0048305E" w14:paraId="0CF1E677" w14:textId="77777777" w:rsidTr="009555C6">
        <w:tc>
          <w:tcPr>
            <w:tcW w:w="2405" w:type="dxa"/>
            <w:tcBorders>
              <w:left w:val="nil"/>
              <w:right w:val="nil"/>
            </w:tcBorders>
            <w:shd w:val="clear" w:color="auto" w:fill="FBE4D5" w:themeFill="accent2" w:themeFillTint="33"/>
          </w:tcPr>
          <w:p w14:paraId="6124087F" w14:textId="77777777" w:rsidR="002D72AD" w:rsidRPr="0048305E" w:rsidRDefault="002D72AD" w:rsidP="00ED0994">
            <w:pPr>
              <w:spacing w:before="40" w:after="40"/>
              <w:rPr>
                <w:rFonts w:ascii="Arial" w:hAnsi="Arial"/>
                <w:b/>
                <w:sz w:val="18"/>
                <w:szCs w:val="18"/>
              </w:rPr>
            </w:pPr>
            <w:proofErr w:type="spellStart"/>
            <w:r w:rsidRPr="0048305E">
              <w:rPr>
                <w:rFonts w:ascii="Arial" w:hAnsi="Arial"/>
                <w:b/>
                <w:i/>
                <w:sz w:val="18"/>
                <w:szCs w:val="18"/>
              </w:rPr>
              <w:t>Anoxypristis</w:t>
            </w:r>
            <w:proofErr w:type="spellEnd"/>
            <w:r w:rsidRPr="0048305E">
              <w:rPr>
                <w:rFonts w:ascii="Arial" w:hAnsi="Arial"/>
                <w:b/>
                <w:i/>
                <w:sz w:val="18"/>
                <w:szCs w:val="18"/>
              </w:rPr>
              <w:t xml:space="preserve"> </w:t>
            </w:r>
            <w:proofErr w:type="spellStart"/>
            <w:r w:rsidRPr="0048305E">
              <w:rPr>
                <w:rFonts w:ascii="Arial" w:hAnsi="Arial"/>
                <w:b/>
                <w:i/>
                <w:sz w:val="18"/>
                <w:szCs w:val="18"/>
              </w:rPr>
              <w:t>cuspidata</w:t>
            </w:r>
            <w:proofErr w:type="spellEnd"/>
            <w:r w:rsidRPr="0048305E">
              <w:rPr>
                <w:rFonts w:ascii="Arial" w:hAnsi="Arial"/>
                <w:b/>
                <w:i/>
                <w:sz w:val="18"/>
                <w:szCs w:val="18"/>
              </w:rPr>
              <w:t xml:space="preserve"> </w:t>
            </w:r>
            <w:r w:rsidRPr="0048305E">
              <w:rPr>
                <w:rFonts w:ascii="Arial" w:hAnsi="Arial"/>
                <w:b/>
                <w:sz w:val="18"/>
                <w:szCs w:val="18"/>
              </w:rPr>
              <w:t>(Narrow Sawfish)</w:t>
            </w:r>
          </w:p>
        </w:tc>
        <w:tc>
          <w:tcPr>
            <w:tcW w:w="680" w:type="dxa"/>
            <w:tcBorders>
              <w:left w:val="nil"/>
              <w:right w:val="nil"/>
            </w:tcBorders>
            <w:shd w:val="clear" w:color="auto" w:fill="FBE4D5" w:themeFill="accent2" w:themeFillTint="33"/>
          </w:tcPr>
          <w:p w14:paraId="3E66CE2C"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I/II</w:t>
            </w:r>
          </w:p>
        </w:tc>
        <w:tc>
          <w:tcPr>
            <w:tcW w:w="1814" w:type="dxa"/>
            <w:tcBorders>
              <w:left w:val="nil"/>
              <w:right w:val="nil"/>
            </w:tcBorders>
            <w:shd w:val="clear" w:color="auto" w:fill="FBE4D5" w:themeFill="accent2" w:themeFillTint="33"/>
          </w:tcPr>
          <w:p w14:paraId="09004641" w14:textId="77777777" w:rsidR="002D72AD" w:rsidRPr="0048305E" w:rsidRDefault="002D72AD" w:rsidP="00ED0994">
            <w:pPr>
              <w:spacing w:before="40" w:after="40"/>
              <w:rPr>
                <w:rFonts w:ascii="Arial" w:hAnsi="Arial"/>
                <w:sz w:val="18"/>
                <w:szCs w:val="18"/>
              </w:rPr>
            </w:pPr>
            <w:r w:rsidRPr="0048305E">
              <w:rPr>
                <w:rFonts w:ascii="Arial" w:hAnsi="Arial"/>
                <w:sz w:val="18"/>
                <w:szCs w:val="18"/>
              </w:rPr>
              <w:t>EN (</w:t>
            </w:r>
            <w:r w:rsidRPr="0048305E">
              <w:rPr>
                <w:rFonts w:ascii="Arial" w:hAnsi="Arial"/>
                <w:color w:val="1F1F1F"/>
                <w:sz w:val="18"/>
                <w:szCs w:val="18"/>
                <w:shd w:val="clear" w:color="auto" w:fill="FBE4D5" w:themeFill="accent2" w:themeFillTint="33"/>
              </w:rPr>
              <w:t>↓</w:t>
            </w:r>
            <w:r w:rsidRPr="0048305E">
              <w:rPr>
                <w:rFonts w:ascii="Arial" w:hAnsi="Arial"/>
                <w:sz w:val="18"/>
                <w:szCs w:val="18"/>
                <w:shd w:val="clear" w:color="auto" w:fill="FBE4D5" w:themeFill="accent2" w:themeFillTint="33"/>
              </w:rPr>
              <w:t xml:space="preserve">) </w:t>
            </w:r>
            <w:r w:rsidRPr="0048305E">
              <w:rPr>
                <w:rFonts w:ascii="Arial" w:hAnsi="Arial"/>
                <w:color w:val="040C28"/>
                <w:sz w:val="18"/>
                <w:szCs w:val="18"/>
              </w:rPr>
              <w:t>→</w:t>
            </w:r>
            <w:r w:rsidRPr="0048305E">
              <w:rPr>
                <w:rFonts w:ascii="Arial" w:hAnsi="Arial"/>
                <w:sz w:val="18"/>
                <w:szCs w:val="18"/>
              </w:rPr>
              <w:t xml:space="preserve"> </w:t>
            </w:r>
            <w:r w:rsidRPr="0048305E">
              <w:rPr>
                <w:rFonts w:ascii="Arial" w:hAnsi="Arial"/>
                <w:color w:val="040C28"/>
                <w:sz w:val="18"/>
                <w:szCs w:val="18"/>
              </w:rPr>
              <w:t xml:space="preserve">CR </w:t>
            </w:r>
            <w:r w:rsidRPr="0048305E">
              <w:rPr>
                <w:rFonts w:ascii="Arial" w:hAnsi="Arial"/>
                <w:color w:val="040C28"/>
                <w:sz w:val="18"/>
                <w:szCs w:val="18"/>
                <w:shd w:val="clear" w:color="auto" w:fill="FBE4D5" w:themeFill="accent2" w:themeFillTint="33"/>
              </w:rPr>
              <w:t>(</w:t>
            </w:r>
            <w:r w:rsidRPr="0048305E">
              <w:rPr>
                <w:rFonts w:ascii="Arial" w:hAnsi="Arial"/>
                <w:color w:val="1F1F1F"/>
                <w:sz w:val="18"/>
                <w:szCs w:val="18"/>
                <w:shd w:val="clear" w:color="auto" w:fill="FBE4D5" w:themeFill="accent2" w:themeFillTint="33"/>
              </w:rPr>
              <w:t>↓</w:t>
            </w:r>
            <w:r w:rsidRPr="0048305E">
              <w:rPr>
                <w:rFonts w:ascii="Arial" w:hAnsi="Arial"/>
                <w:color w:val="474747"/>
                <w:sz w:val="18"/>
                <w:szCs w:val="18"/>
                <w:shd w:val="clear" w:color="auto" w:fill="FBE4D5" w:themeFill="accent2" w:themeFillTint="33"/>
              </w:rPr>
              <w:t>)</w:t>
            </w:r>
          </w:p>
          <w:p w14:paraId="6A93DE0A" w14:textId="77777777" w:rsidR="002D72AD" w:rsidRPr="0048305E" w:rsidRDefault="002D72AD" w:rsidP="00ED0994">
            <w:pPr>
              <w:spacing w:before="40" w:after="40"/>
              <w:rPr>
                <w:rFonts w:ascii="Arial" w:hAnsi="Arial"/>
                <w:sz w:val="18"/>
                <w:szCs w:val="18"/>
              </w:rPr>
            </w:pPr>
          </w:p>
        </w:tc>
        <w:tc>
          <w:tcPr>
            <w:tcW w:w="4168" w:type="dxa"/>
            <w:tcBorders>
              <w:left w:val="nil"/>
              <w:right w:val="nil"/>
            </w:tcBorders>
            <w:shd w:val="clear" w:color="auto" w:fill="FBE4D5" w:themeFill="accent2" w:themeFillTint="33"/>
          </w:tcPr>
          <w:p w14:paraId="45BA08D6" w14:textId="77777777" w:rsidR="002D72AD" w:rsidRPr="0048305E" w:rsidRDefault="002D72AD" w:rsidP="00ED5A72">
            <w:pPr>
              <w:spacing w:before="40" w:after="40"/>
              <w:jc w:val="both"/>
              <w:rPr>
                <w:rFonts w:ascii="Arial" w:hAnsi="Arial"/>
                <w:sz w:val="18"/>
                <w:szCs w:val="18"/>
              </w:rPr>
            </w:pPr>
            <w:r w:rsidRPr="0048305E">
              <w:rPr>
                <w:rFonts w:ascii="Arial" w:hAnsi="Arial"/>
                <w:sz w:val="18"/>
                <w:szCs w:val="18"/>
              </w:rPr>
              <w:t xml:space="preserve">Global population reduction suspected &gt;80% and substantial range loss, driven by overexploitation and habitat degradation. </w:t>
            </w:r>
          </w:p>
        </w:tc>
      </w:tr>
    </w:tbl>
    <w:p w14:paraId="37232C36" w14:textId="77777777" w:rsidR="002D72AD" w:rsidRPr="00ED0994" w:rsidRDefault="002D72AD" w:rsidP="002D72AD">
      <w:pPr>
        <w:spacing w:line="240" w:lineRule="auto"/>
        <w:rPr>
          <w:rFonts w:cs="Arial"/>
          <w:sz w:val="16"/>
          <w:szCs w:val="16"/>
        </w:rPr>
      </w:pPr>
      <w:r w:rsidRPr="00ED0994">
        <w:rPr>
          <w:rFonts w:cs="Arial"/>
          <w:sz w:val="16"/>
          <w:szCs w:val="16"/>
        </w:rPr>
        <w:t xml:space="preserve">*Refers to the Europe assessment. The Appendix II listings of </w:t>
      </w:r>
      <w:r w:rsidRPr="00ED0994">
        <w:rPr>
          <w:rFonts w:cs="Arial"/>
          <w:i/>
          <w:sz w:val="16"/>
          <w:szCs w:val="16"/>
        </w:rPr>
        <w:t xml:space="preserve">Plecotus </w:t>
      </w:r>
      <w:proofErr w:type="spellStart"/>
      <w:r w:rsidRPr="00ED0994">
        <w:rPr>
          <w:rFonts w:cs="Arial"/>
          <w:i/>
          <w:sz w:val="16"/>
          <w:szCs w:val="16"/>
        </w:rPr>
        <w:t>kolombatovici</w:t>
      </w:r>
      <w:proofErr w:type="spellEnd"/>
      <w:r w:rsidRPr="00ED0994">
        <w:rPr>
          <w:rFonts w:cs="Arial"/>
          <w:i/>
          <w:sz w:val="16"/>
          <w:szCs w:val="16"/>
        </w:rPr>
        <w:t xml:space="preserve"> </w:t>
      </w:r>
      <w:r w:rsidRPr="00ED0994">
        <w:rPr>
          <w:rFonts w:cs="Arial"/>
          <w:sz w:val="16"/>
          <w:szCs w:val="16"/>
        </w:rPr>
        <w:t xml:space="preserve">and </w:t>
      </w:r>
      <w:r w:rsidRPr="00ED0994">
        <w:rPr>
          <w:rFonts w:cs="Arial"/>
          <w:i/>
          <w:sz w:val="16"/>
          <w:szCs w:val="16"/>
        </w:rPr>
        <w:t xml:space="preserve">Acipenser </w:t>
      </w:r>
      <w:proofErr w:type="spellStart"/>
      <w:r w:rsidRPr="00ED0994">
        <w:rPr>
          <w:rFonts w:cs="Arial"/>
          <w:i/>
          <w:sz w:val="16"/>
          <w:szCs w:val="16"/>
        </w:rPr>
        <w:t>ruthenus</w:t>
      </w:r>
      <w:proofErr w:type="spellEnd"/>
      <w:r w:rsidRPr="00ED0994">
        <w:rPr>
          <w:rFonts w:cs="Arial"/>
          <w:i/>
          <w:sz w:val="16"/>
          <w:szCs w:val="16"/>
        </w:rPr>
        <w:t xml:space="preserve"> </w:t>
      </w:r>
      <w:r w:rsidRPr="00ED0994">
        <w:rPr>
          <w:rFonts w:cs="Arial"/>
          <w:sz w:val="16"/>
          <w:szCs w:val="16"/>
        </w:rPr>
        <w:t>apply to the European and Danube populations, respectively.</w:t>
      </w:r>
    </w:p>
    <w:p w14:paraId="5B63EA4F" w14:textId="77777777" w:rsidR="002D72AD" w:rsidRPr="00ED0994" w:rsidRDefault="002D72AD" w:rsidP="00C82977">
      <w:pPr>
        <w:spacing w:line="240" w:lineRule="auto"/>
        <w:rPr>
          <w:rFonts w:cs="Arial"/>
          <w:sz w:val="16"/>
          <w:szCs w:val="16"/>
        </w:rPr>
        <w:sectPr w:rsidR="002D72AD" w:rsidRPr="00ED0994" w:rsidSect="00C82977">
          <w:footnotePr>
            <w:numFmt w:val="lowerLetter"/>
          </w:footnotePr>
          <w:pgSz w:w="11906" w:h="16838"/>
          <w:pgMar w:top="1440" w:right="1440" w:bottom="1440" w:left="1440" w:header="708" w:footer="708" w:gutter="0"/>
          <w:pgNumType w:start="1"/>
          <w:cols w:space="708"/>
          <w:docGrid w:linePitch="360"/>
        </w:sectPr>
      </w:pPr>
    </w:p>
    <w:p w14:paraId="2320B89C" w14:textId="77777777" w:rsidR="0034769E" w:rsidRPr="00767A81" w:rsidRDefault="0034769E" w:rsidP="007823FD">
      <w:pPr>
        <w:pStyle w:val="Heading1"/>
        <w:spacing w:before="0" w:line="240" w:lineRule="auto"/>
        <w:rPr>
          <w:rFonts w:ascii="Arial" w:hAnsi="Arial" w:cs="Arial"/>
          <w:b/>
          <w:bCs/>
          <w:color w:val="auto"/>
          <w:sz w:val="20"/>
          <w:szCs w:val="20"/>
        </w:rPr>
      </w:pPr>
      <w:bookmarkStart w:id="10" w:name="_Toc210914226"/>
      <w:r w:rsidRPr="00767A81">
        <w:rPr>
          <w:rFonts w:ascii="Arial" w:hAnsi="Arial" w:cs="Arial"/>
          <w:b/>
          <w:bCs/>
          <w:color w:val="auto"/>
          <w:sz w:val="20"/>
          <w:szCs w:val="20"/>
        </w:rPr>
        <w:lastRenderedPageBreak/>
        <w:t>References</w:t>
      </w:r>
      <w:bookmarkEnd w:id="10"/>
    </w:p>
    <w:p w14:paraId="2F59B686" w14:textId="77777777" w:rsidR="007823FD" w:rsidRPr="00767A81" w:rsidRDefault="007823FD" w:rsidP="007823FD">
      <w:pPr>
        <w:spacing w:after="0" w:line="240" w:lineRule="auto"/>
      </w:pPr>
    </w:p>
    <w:p w14:paraId="3956FF54" w14:textId="77777777" w:rsidR="0034769E" w:rsidRPr="00767A81" w:rsidRDefault="0034769E" w:rsidP="007823FD">
      <w:pPr>
        <w:pStyle w:val="ListParagraph"/>
        <w:numPr>
          <w:ilvl w:val="0"/>
          <w:numId w:val="16"/>
        </w:numPr>
        <w:spacing w:after="0" w:line="240" w:lineRule="auto"/>
        <w:contextualSpacing w:val="0"/>
        <w:rPr>
          <w:rFonts w:cs="Arial"/>
          <w:b/>
          <w:bCs/>
          <w:sz w:val="20"/>
          <w:szCs w:val="20"/>
        </w:rPr>
      </w:pPr>
      <w:r w:rsidRPr="00767A81">
        <w:rPr>
          <w:rFonts w:cs="Arial"/>
          <w:b/>
          <w:bCs/>
          <w:sz w:val="20"/>
          <w:szCs w:val="20"/>
        </w:rPr>
        <w:t>Changes in the conservation status of CMS-listed species</w:t>
      </w:r>
    </w:p>
    <w:p w14:paraId="09537D5C" w14:textId="77777777" w:rsidR="007823FD" w:rsidRPr="00767A81" w:rsidRDefault="007823FD" w:rsidP="007823FD">
      <w:pPr>
        <w:pStyle w:val="ListParagraph"/>
        <w:spacing w:after="0" w:line="240" w:lineRule="auto"/>
        <w:ind w:left="360"/>
        <w:contextualSpacing w:val="0"/>
        <w:rPr>
          <w:rFonts w:cs="Arial"/>
          <w:b/>
          <w:bCs/>
          <w:sz w:val="20"/>
          <w:szCs w:val="20"/>
        </w:rPr>
      </w:pPr>
    </w:p>
    <w:p w14:paraId="598E1E5E" w14:textId="77777777" w:rsidR="0034769E" w:rsidRPr="00767A81" w:rsidRDefault="0034769E" w:rsidP="007823FD">
      <w:pPr>
        <w:pStyle w:val="FootnoteText"/>
        <w:numPr>
          <w:ilvl w:val="0"/>
          <w:numId w:val="17"/>
        </w:numPr>
        <w:spacing w:after="40"/>
        <w:ind w:left="714" w:hanging="357"/>
        <w:rPr>
          <w:rFonts w:cs="Arial"/>
        </w:rPr>
      </w:pPr>
      <w:proofErr w:type="spellStart"/>
      <w:r w:rsidRPr="00767A81">
        <w:rPr>
          <w:rFonts w:cs="Arial"/>
        </w:rPr>
        <w:t>BirdLife</w:t>
      </w:r>
      <w:proofErr w:type="spellEnd"/>
      <w:r w:rsidRPr="00767A81">
        <w:rPr>
          <w:rFonts w:cs="Arial"/>
        </w:rPr>
        <w:t xml:space="preserve"> International. 2023. </w:t>
      </w:r>
      <w:r w:rsidRPr="00767A81">
        <w:rPr>
          <w:rFonts w:cs="Arial"/>
          <w:i/>
          <w:iCs/>
        </w:rPr>
        <w:t xml:space="preserve">Otis </w:t>
      </w:r>
      <w:proofErr w:type="spellStart"/>
      <w:r w:rsidRPr="00767A81">
        <w:rPr>
          <w:rFonts w:cs="Arial"/>
          <w:i/>
          <w:iCs/>
        </w:rPr>
        <w:t>tarda</w:t>
      </w:r>
      <w:proofErr w:type="spellEnd"/>
      <w:r w:rsidRPr="00767A81">
        <w:rPr>
          <w:rFonts w:cs="Arial"/>
        </w:rPr>
        <w:t xml:space="preserve">. </w:t>
      </w:r>
      <w:r w:rsidRPr="00767A81">
        <w:rPr>
          <w:rFonts w:cs="Arial"/>
          <w:i/>
          <w:iCs/>
        </w:rPr>
        <w:t>The IUCN Red List of Threatened Species</w:t>
      </w:r>
      <w:r w:rsidRPr="00767A81">
        <w:rPr>
          <w:rFonts w:cs="Arial"/>
        </w:rPr>
        <w:t xml:space="preserve"> 2023: e.T22691900A226280431. </w:t>
      </w:r>
    </w:p>
    <w:p w14:paraId="3C2FE8B8" w14:textId="77777777" w:rsidR="0034769E" w:rsidRPr="00767A81" w:rsidRDefault="0034769E" w:rsidP="007823FD">
      <w:pPr>
        <w:pStyle w:val="FootnoteText"/>
        <w:numPr>
          <w:ilvl w:val="0"/>
          <w:numId w:val="17"/>
        </w:numPr>
        <w:spacing w:after="40"/>
        <w:ind w:left="714" w:hanging="357"/>
        <w:rPr>
          <w:rFonts w:cs="Arial"/>
        </w:rPr>
      </w:pPr>
      <w:proofErr w:type="spellStart"/>
      <w:r w:rsidRPr="00767A81">
        <w:rPr>
          <w:rFonts w:cs="Arial"/>
        </w:rPr>
        <w:t>BirdLife</w:t>
      </w:r>
      <w:proofErr w:type="spellEnd"/>
      <w:r w:rsidRPr="00767A81">
        <w:rPr>
          <w:rFonts w:cs="Arial"/>
        </w:rPr>
        <w:t xml:space="preserve"> International. 2024. </w:t>
      </w:r>
      <w:r w:rsidRPr="00767A81">
        <w:rPr>
          <w:rFonts w:cs="Arial"/>
          <w:i/>
          <w:iCs/>
        </w:rPr>
        <w:t>Press Release: New report reveals plummeting migratory shorebird populations globally</w:t>
      </w:r>
      <w:r w:rsidRPr="00767A81">
        <w:rPr>
          <w:rFonts w:cs="Arial"/>
        </w:rPr>
        <w:t>. Available at: https://www.birdlife.org/news/2024/10/28/press-release-new-report-reveals-plummeting-migratory-shorebird-populations-globally [Accessed 29 August 2025]</w:t>
      </w:r>
    </w:p>
    <w:p w14:paraId="14FFBC41" w14:textId="77777777" w:rsidR="0034769E" w:rsidRPr="00767A81" w:rsidRDefault="0034769E" w:rsidP="007823FD">
      <w:pPr>
        <w:pStyle w:val="FootnoteText"/>
        <w:numPr>
          <w:ilvl w:val="0"/>
          <w:numId w:val="17"/>
        </w:numPr>
        <w:spacing w:after="40"/>
        <w:ind w:left="714" w:hanging="357"/>
        <w:rPr>
          <w:rFonts w:cs="Arial"/>
        </w:rPr>
      </w:pPr>
      <w:proofErr w:type="spellStart"/>
      <w:r w:rsidRPr="00767A81">
        <w:rPr>
          <w:rFonts w:cs="Arial"/>
        </w:rPr>
        <w:t>BirdLife</w:t>
      </w:r>
      <w:proofErr w:type="spellEnd"/>
      <w:r w:rsidRPr="00767A81">
        <w:rPr>
          <w:rFonts w:cs="Arial"/>
        </w:rPr>
        <w:t xml:space="preserve"> International. 2024. </w:t>
      </w:r>
      <w:r w:rsidRPr="00767A81">
        <w:rPr>
          <w:rFonts w:cs="Arial"/>
          <w:i/>
          <w:iCs/>
        </w:rPr>
        <w:t xml:space="preserve">Calidris </w:t>
      </w:r>
      <w:proofErr w:type="spellStart"/>
      <w:r w:rsidRPr="00767A81">
        <w:rPr>
          <w:rFonts w:cs="Arial"/>
          <w:i/>
          <w:iCs/>
        </w:rPr>
        <w:t>subruficollis</w:t>
      </w:r>
      <w:proofErr w:type="spellEnd"/>
      <w:r w:rsidRPr="00767A81">
        <w:rPr>
          <w:rFonts w:cs="Arial"/>
        </w:rPr>
        <w:t xml:space="preserve">. </w:t>
      </w:r>
      <w:r w:rsidRPr="00767A81">
        <w:rPr>
          <w:rFonts w:cs="Arial"/>
          <w:i/>
          <w:iCs/>
        </w:rPr>
        <w:t>The IUCN Red List of Threatened Species</w:t>
      </w:r>
      <w:r w:rsidRPr="00767A81">
        <w:rPr>
          <w:rFonts w:cs="Arial"/>
        </w:rPr>
        <w:t xml:space="preserve"> 2024: e.T22693447A256354281.</w:t>
      </w:r>
    </w:p>
    <w:p w14:paraId="31E5C22F" w14:textId="77777777" w:rsidR="0034769E" w:rsidRPr="00767A81" w:rsidRDefault="0034769E" w:rsidP="007823FD">
      <w:pPr>
        <w:pStyle w:val="FootnoteText"/>
        <w:numPr>
          <w:ilvl w:val="0"/>
          <w:numId w:val="17"/>
        </w:numPr>
        <w:spacing w:after="40"/>
        <w:ind w:left="714" w:hanging="357"/>
        <w:rPr>
          <w:rFonts w:cs="Arial"/>
        </w:rPr>
      </w:pPr>
      <w:r w:rsidRPr="00767A81">
        <w:rPr>
          <w:rFonts w:cs="Arial"/>
        </w:rPr>
        <w:t xml:space="preserve">IUCN SSC Antelope Specialist Group. 2023. </w:t>
      </w:r>
      <w:r w:rsidRPr="00767A81">
        <w:rPr>
          <w:rFonts w:cs="Arial"/>
          <w:i/>
          <w:iCs/>
        </w:rPr>
        <w:t xml:space="preserve">Oryx </w:t>
      </w:r>
      <w:proofErr w:type="spellStart"/>
      <w:r w:rsidRPr="00767A81">
        <w:rPr>
          <w:rFonts w:cs="Arial"/>
          <w:i/>
          <w:iCs/>
        </w:rPr>
        <w:t>dammah</w:t>
      </w:r>
      <w:proofErr w:type="spellEnd"/>
      <w:r w:rsidRPr="00767A81">
        <w:rPr>
          <w:rFonts w:cs="Arial"/>
          <w:i/>
          <w:iCs/>
        </w:rPr>
        <w:t>. The IUCN Red List of Threatened Species</w:t>
      </w:r>
      <w:r w:rsidRPr="00767A81">
        <w:rPr>
          <w:rFonts w:cs="Arial"/>
        </w:rPr>
        <w:t xml:space="preserve"> 2023: e.T15568A197393805. </w:t>
      </w:r>
    </w:p>
    <w:p w14:paraId="5657643B" w14:textId="77777777" w:rsidR="0034769E" w:rsidRPr="00767A81" w:rsidRDefault="0034769E" w:rsidP="007823FD">
      <w:pPr>
        <w:pStyle w:val="FootnoteText"/>
        <w:numPr>
          <w:ilvl w:val="0"/>
          <w:numId w:val="17"/>
        </w:numPr>
        <w:spacing w:after="40"/>
        <w:ind w:left="714" w:hanging="357"/>
        <w:rPr>
          <w:rFonts w:cs="Arial"/>
        </w:rPr>
      </w:pPr>
      <w:r w:rsidRPr="00767A81">
        <w:rPr>
          <w:rFonts w:cs="Arial"/>
          <w:lang w:val="pt-PT"/>
        </w:rPr>
        <w:t xml:space="preserve">Karamanlidis, A.A., Dendrinos, P., Fernandez de Larrinoa, P., Kıraç, C.O., Nicolaou, H. &amp; Pires, R. 2023. </w:t>
      </w:r>
      <w:r w:rsidRPr="00767A81">
        <w:rPr>
          <w:rFonts w:cs="Arial"/>
          <w:i/>
          <w:iCs/>
        </w:rPr>
        <w:t xml:space="preserve">Monachus </w:t>
      </w:r>
      <w:proofErr w:type="spellStart"/>
      <w:r w:rsidRPr="00767A81">
        <w:rPr>
          <w:rFonts w:cs="Arial"/>
          <w:i/>
          <w:iCs/>
        </w:rPr>
        <w:t>monachus</w:t>
      </w:r>
      <w:proofErr w:type="spellEnd"/>
      <w:r w:rsidRPr="00767A81">
        <w:rPr>
          <w:rFonts w:cs="Arial"/>
        </w:rPr>
        <w:t xml:space="preserve">. </w:t>
      </w:r>
      <w:r w:rsidRPr="00767A81">
        <w:rPr>
          <w:rFonts w:cs="Arial"/>
          <w:i/>
          <w:iCs/>
        </w:rPr>
        <w:t>The IUCN Red List of Threatened Species</w:t>
      </w:r>
      <w:r w:rsidRPr="00767A81">
        <w:rPr>
          <w:rFonts w:cs="Arial"/>
        </w:rPr>
        <w:t xml:space="preserve"> 2023: e.T13653A238637039.</w:t>
      </w:r>
    </w:p>
    <w:p w14:paraId="71AD1F7F" w14:textId="77777777" w:rsidR="0034769E" w:rsidRPr="00767A81" w:rsidRDefault="0034769E" w:rsidP="007823FD">
      <w:pPr>
        <w:pStyle w:val="FootnoteText"/>
        <w:numPr>
          <w:ilvl w:val="0"/>
          <w:numId w:val="17"/>
        </w:numPr>
        <w:spacing w:after="40"/>
        <w:ind w:left="714" w:hanging="357"/>
        <w:rPr>
          <w:rFonts w:cs="Arial"/>
        </w:rPr>
      </w:pPr>
      <w:proofErr w:type="spellStart"/>
      <w:r w:rsidRPr="00767A81">
        <w:rPr>
          <w:rFonts w:cs="Arial"/>
        </w:rPr>
        <w:t>Karamanlidis</w:t>
      </w:r>
      <w:proofErr w:type="spellEnd"/>
      <w:r w:rsidRPr="00767A81">
        <w:rPr>
          <w:rFonts w:cs="Arial"/>
        </w:rPr>
        <w:t xml:space="preserve">, A. A. 2024. Current status, biology, threats and conservation priorities of the Vulnerable Mediterranean monk seal. </w:t>
      </w:r>
      <w:r w:rsidRPr="00767A81">
        <w:rPr>
          <w:rFonts w:cs="Arial"/>
          <w:i/>
          <w:iCs/>
        </w:rPr>
        <w:t xml:space="preserve">Endang. Species Res. </w:t>
      </w:r>
      <w:r w:rsidRPr="00767A81">
        <w:rPr>
          <w:rFonts w:cs="Arial"/>
        </w:rPr>
        <w:t xml:space="preserve">53, 341-361. </w:t>
      </w:r>
      <w:hyperlink r:id="rId90" w:history="1">
        <w:r w:rsidRPr="00767A81">
          <w:rPr>
            <w:rStyle w:val="Hyperlink"/>
            <w:rFonts w:cs="Arial"/>
          </w:rPr>
          <w:t>https://doi.org/10.3354/esr01304</w:t>
        </w:r>
      </w:hyperlink>
    </w:p>
    <w:p w14:paraId="199E32D7" w14:textId="77777777" w:rsidR="0034769E" w:rsidRPr="00767A81" w:rsidRDefault="0034769E" w:rsidP="007823FD">
      <w:pPr>
        <w:pStyle w:val="FootnoteText"/>
        <w:numPr>
          <w:ilvl w:val="0"/>
          <w:numId w:val="17"/>
        </w:numPr>
        <w:spacing w:after="40"/>
        <w:ind w:left="714" w:hanging="357"/>
        <w:rPr>
          <w:rFonts w:cs="Arial"/>
        </w:rPr>
      </w:pPr>
      <w:r w:rsidRPr="00767A81">
        <w:rPr>
          <w:rFonts w:cs="Arial"/>
        </w:rPr>
        <w:t xml:space="preserve">IUCN SSC Antelope Specialist Group. 2023. </w:t>
      </w:r>
      <w:r w:rsidRPr="00767A81">
        <w:rPr>
          <w:rFonts w:cs="Arial"/>
          <w:i/>
          <w:iCs/>
        </w:rPr>
        <w:t xml:space="preserve">Saiga </w:t>
      </w:r>
      <w:proofErr w:type="spellStart"/>
      <w:r w:rsidRPr="00767A81">
        <w:rPr>
          <w:rFonts w:cs="Arial"/>
          <w:i/>
          <w:iCs/>
        </w:rPr>
        <w:t>tatarica</w:t>
      </w:r>
      <w:proofErr w:type="spellEnd"/>
      <w:r w:rsidRPr="00767A81">
        <w:rPr>
          <w:rFonts w:cs="Arial"/>
        </w:rPr>
        <w:t xml:space="preserve">. </w:t>
      </w:r>
      <w:r w:rsidRPr="00767A81">
        <w:rPr>
          <w:rFonts w:cs="Arial"/>
          <w:i/>
          <w:iCs/>
        </w:rPr>
        <w:t>The IUCN Red List of Threatened Species</w:t>
      </w:r>
      <w:r w:rsidRPr="00767A81">
        <w:rPr>
          <w:rFonts w:cs="Arial"/>
        </w:rPr>
        <w:t xml:space="preserve"> 2023: e e.T19832A233712210.</w:t>
      </w:r>
    </w:p>
    <w:p w14:paraId="65112491" w14:textId="77777777" w:rsidR="0034769E" w:rsidRPr="00767A81" w:rsidRDefault="0034769E" w:rsidP="007823FD">
      <w:pPr>
        <w:pStyle w:val="FootnoteText"/>
        <w:numPr>
          <w:ilvl w:val="0"/>
          <w:numId w:val="17"/>
        </w:numPr>
        <w:ind w:left="714" w:hanging="357"/>
        <w:rPr>
          <w:rFonts w:cs="Arial"/>
        </w:rPr>
      </w:pPr>
      <w:r w:rsidRPr="00767A81">
        <w:rPr>
          <w:rFonts w:cs="Arial"/>
        </w:rPr>
        <w:t xml:space="preserve">Milner-Gulland, E. &amp; Mallon, D. P. 2024. </w:t>
      </w:r>
      <w:r w:rsidRPr="00767A81">
        <w:rPr>
          <w:rFonts w:cs="Arial"/>
          <w:i/>
          <w:iCs/>
        </w:rPr>
        <w:t xml:space="preserve">Saiga </w:t>
      </w:r>
      <w:proofErr w:type="spellStart"/>
      <w:r w:rsidRPr="00767A81">
        <w:rPr>
          <w:rFonts w:cs="Arial"/>
          <w:i/>
          <w:iCs/>
        </w:rPr>
        <w:t>tatarica</w:t>
      </w:r>
      <w:proofErr w:type="spellEnd"/>
      <w:r w:rsidRPr="00767A81">
        <w:rPr>
          <w:rFonts w:cs="Arial"/>
        </w:rPr>
        <w:t xml:space="preserve"> (Green Status assessment). </w:t>
      </w:r>
      <w:r w:rsidRPr="00767A81">
        <w:rPr>
          <w:rFonts w:cs="Arial"/>
          <w:i/>
          <w:iCs/>
        </w:rPr>
        <w:t>The IUCN Red List of Threatened Species</w:t>
      </w:r>
      <w:r w:rsidRPr="00767A81">
        <w:rPr>
          <w:rFonts w:cs="Arial"/>
        </w:rPr>
        <w:t xml:space="preserve"> 2024: eT19832A1983220251.</w:t>
      </w:r>
    </w:p>
    <w:p w14:paraId="20C4AE28" w14:textId="77777777" w:rsidR="007823FD" w:rsidRPr="00767A81" w:rsidRDefault="007823FD" w:rsidP="007823FD">
      <w:pPr>
        <w:pStyle w:val="FootnoteText"/>
        <w:ind w:left="714"/>
        <w:rPr>
          <w:rFonts w:cs="Arial"/>
        </w:rPr>
      </w:pPr>
    </w:p>
    <w:p w14:paraId="5DB4ACEF" w14:textId="77777777" w:rsidR="0034769E" w:rsidRPr="00767A81" w:rsidRDefault="0034769E" w:rsidP="007823FD">
      <w:pPr>
        <w:pStyle w:val="ListParagraph"/>
        <w:numPr>
          <w:ilvl w:val="0"/>
          <w:numId w:val="16"/>
        </w:numPr>
        <w:spacing w:after="0" w:line="240" w:lineRule="auto"/>
        <w:ind w:left="357" w:hanging="357"/>
        <w:contextualSpacing w:val="0"/>
        <w:rPr>
          <w:rFonts w:cs="Arial"/>
          <w:b/>
          <w:sz w:val="20"/>
          <w:szCs w:val="20"/>
        </w:rPr>
      </w:pPr>
      <w:r w:rsidRPr="00767A81">
        <w:rPr>
          <w:rFonts w:cs="Arial"/>
          <w:b/>
          <w:bCs/>
          <w:sz w:val="20"/>
          <w:szCs w:val="20"/>
        </w:rPr>
        <w:t>Spotlight on recently reported population changes</w:t>
      </w:r>
    </w:p>
    <w:p w14:paraId="7B2BA39B" w14:textId="77777777" w:rsidR="007823FD" w:rsidRPr="00767A81" w:rsidRDefault="007823FD" w:rsidP="007823FD">
      <w:pPr>
        <w:pStyle w:val="ListParagraph"/>
        <w:spacing w:after="40" w:line="240" w:lineRule="auto"/>
        <w:ind w:left="357"/>
        <w:contextualSpacing w:val="0"/>
        <w:jc w:val="both"/>
        <w:rPr>
          <w:rFonts w:cs="Arial"/>
          <w:b/>
          <w:sz w:val="20"/>
          <w:szCs w:val="20"/>
        </w:rPr>
      </w:pPr>
    </w:p>
    <w:p w14:paraId="775B39FE" w14:textId="77777777" w:rsidR="0034769E" w:rsidRPr="00767A81" w:rsidRDefault="0034769E" w:rsidP="007823FD">
      <w:pPr>
        <w:pStyle w:val="ListParagraph"/>
        <w:numPr>
          <w:ilvl w:val="0"/>
          <w:numId w:val="18"/>
        </w:numPr>
        <w:spacing w:after="40" w:line="240" w:lineRule="auto"/>
        <w:contextualSpacing w:val="0"/>
        <w:jc w:val="both"/>
        <w:rPr>
          <w:rStyle w:val="Hyperlink"/>
          <w:rFonts w:eastAsia="Calibri" w:cs="Arial"/>
          <w:sz w:val="20"/>
          <w:szCs w:val="20"/>
        </w:rPr>
      </w:pPr>
      <w:r w:rsidRPr="00E7787F">
        <w:rPr>
          <w:rFonts w:eastAsia="Calibri" w:cs="Arial"/>
          <w:sz w:val="20"/>
          <w:szCs w:val="20"/>
        </w:rPr>
        <w:t xml:space="preserve">Lambertucci, S. A, Santangeli, A, &amp; Plaza, P. I. 2025. </w:t>
      </w:r>
      <w:r w:rsidRPr="00767A81">
        <w:rPr>
          <w:rFonts w:eastAsia="Calibri" w:cs="Arial"/>
          <w:sz w:val="20"/>
          <w:szCs w:val="20"/>
        </w:rPr>
        <w:t xml:space="preserve">The threat of avian influenza H5N1 looms over global biodiversity. </w:t>
      </w:r>
      <w:r w:rsidRPr="00767A81">
        <w:rPr>
          <w:rFonts w:eastAsia="Calibri" w:cs="Arial"/>
          <w:i/>
          <w:iCs/>
          <w:sz w:val="20"/>
          <w:szCs w:val="20"/>
        </w:rPr>
        <w:t xml:space="preserve">Nat. Rev. </w:t>
      </w:r>
      <w:proofErr w:type="spellStart"/>
      <w:r w:rsidRPr="00767A81">
        <w:rPr>
          <w:rFonts w:eastAsia="Calibri" w:cs="Arial"/>
          <w:i/>
          <w:iCs/>
          <w:sz w:val="20"/>
          <w:szCs w:val="20"/>
        </w:rPr>
        <w:t>Biodivers</w:t>
      </w:r>
      <w:proofErr w:type="spellEnd"/>
      <w:r w:rsidRPr="00767A81">
        <w:rPr>
          <w:rFonts w:eastAsia="Calibri" w:cs="Arial"/>
          <w:i/>
          <w:iCs/>
          <w:sz w:val="20"/>
          <w:szCs w:val="20"/>
        </w:rPr>
        <w:t xml:space="preserve">. </w:t>
      </w:r>
      <w:r w:rsidRPr="00767A81">
        <w:rPr>
          <w:rFonts w:eastAsia="Calibri" w:cs="Arial"/>
          <w:sz w:val="20"/>
          <w:szCs w:val="20"/>
        </w:rPr>
        <w:t xml:space="preserve">1, 7-9. </w:t>
      </w:r>
      <w:hyperlink r:id="rId91" w:history="1">
        <w:r w:rsidRPr="00767A81">
          <w:rPr>
            <w:rStyle w:val="Hyperlink"/>
            <w:rFonts w:eastAsia="Calibri" w:cs="Arial"/>
            <w:sz w:val="20"/>
            <w:szCs w:val="20"/>
          </w:rPr>
          <w:t>https://doi.org/10.1038/s44358-024-00008-7</w:t>
        </w:r>
      </w:hyperlink>
    </w:p>
    <w:p w14:paraId="01CCB811"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r w:rsidRPr="00767A81">
        <w:rPr>
          <w:rFonts w:eastAsia="Calibri" w:cs="Arial"/>
          <w:sz w:val="20"/>
          <w:szCs w:val="20"/>
        </w:rPr>
        <w:t>CMS FAO Co-convened Scientific Task Force on Avian Influenza and Wild Birds. 2023. Scientific Task Force on Avian Influenza and Wild Birds: Statement on H5N1 high pathogenicity avian influenza in wild birds – Unprecedented conservation impacts and urgent needs. Available at: https://www.cms.int/sites/default/files/publication/avian_influenza_2023_aug.pdf</w:t>
      </w:r>
    </w:p>
    <w:p w14:paraId="25BE2225"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r w:rsidRPr="00767A81">
        <w:rPr>
          <w:rFonts w:eastAsia="Calibri" w:cs="Arial"/>
          <w:sz w:val="20"/>
          <w:szCs w:val="20"/>
        </w:rPr>
        <w:t xml:space="preserve">Kuiken, T. </w:t>
      </w:r>
      <w:r w:rsidRPr="00767A81">
        <w:rPr>
          <w:rFonts w:eastAsia="Calibri" w:cs="Arial"/>
          <w:i/>
          <w:iCs/>
          <w:sz w:val="20"/>
          <w:szCs w:val="20"/>
        </w:rPr>
        <w:t>et al</w:t>
      </w:r>
      <w:r w:rsidRPr="00767A81">
        <w:rPr>
          <w:rFonts w:eastAsia="Calibri" w:cs="Arial"/>
          <w:sz w:val="20"/>
          <w:szCs w:val="20"/>
        </w:rPr>
        <w:t xml:space="preserve">. 2025. Emergence, spread, and impact of high-pathogenicity avian influenza H5 in wild birds and mammals of South America and Antarctica. </w:t>
      </w:r>
      <w:r w:rsidRPr="00767A81">
        <w:rPr>
          <w:rFonts w:eastAsia="Calibri" w:cs="Arial"/>
          <w:i/>
          <w:iCs/>
          <w:sz w:val="20"/>
          <w:szCs w:val="20"/>
        </w:rPr>
        <w:t>Cons. Biol</w:t>
      </w:r>
      <w:r w:rsidRPr="00767A81">
        <w:rPr>
          <w:rFonts w:eastAsia="Calibri" w:cs="Arial"/>
          <w:sz w:val="20"/>
          <w:szCs w:val="20"/>
        </w:rPr>
        <w:t xml:space="preserve">. e70052. </w:t>
      </w:r>
      <w:hyperlink r:id="rId92" w:history="1">
        <w:r w:rsidRPr="00767A81">
          <w:rPr>
            <w:rStyle w:val="Hyperlink"/>
            <w:rFonts w:eastAsia="Calibri" w:cs="Arial"/>
            <w:sz w:val="20"/>
            <w:szCs w:val="20"/>
          </w:rPr>
          <w:t>https://doi.org/10.1111/cobi.70052</w:t>
        </w:r>
      </w:hyperlink>
    </w:p>
    <w:p w14:paraId="0A30A13D"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r w:rsidRPr="00767A81">
        <w:rPr>
          <w:rFonts w:eastAsia="Calibri" w:cs="Arial"/>
          <w:sz w:val="20"/>
          <w:szCs w:val="20"/>
        </w:rPr>
        <w:t xml:space="preserve">Alexandrou, O., </w:t>
      </w:r>
      <w:proofErr w:type="spellStart"/>
      <w:r w:rsidRPr="00767A81">
        <w:rPr>
          <w:rFonts w:eastAsia="Calibri" w:cs="Arial"/>
          <w:sz w:val="20"/>
          <w:szCs w:val="20"/>
        </w:rPr>
        <w:t>Malakou</w:t>
      </w:r>
      <w:proofErr w:type="spellEnd"/>
      <w:r w:rsidRPr="00767A81">
        <w:rPr>
          <w:rFonts w:eastAsia="Calibri" w:cs="Arial"/>
          <w:sz w:val="20"/>
          <w:szCs w:val="20"/>
        </w:rPr>
        <w:t xml:space="preserve">, M., &amp; </w:t>
      </w:r>
      <w:proofErr w:type="spellStart"/>
      <w:r w:rsidRPr="00767A81">
        <w:rPr>
          <w:rFonts w:eastAsia="Calibri" w:cs="Arial"/>
          <w:sz w:val="20"/>
          <w:szCs w:val="20"/>
        </w:rPr>
        <w:t>Catsadorakis</w:t>
      </w:r>
      <w:proofErr w:type="spellEnd"/>
      <w:r w:rsidRPr="00767A81">
        <w:rPr>
          <w:rFonts w:eastAsia="Calibri" w:cs="Arial"/>
          <w:sz w:val="20"/>
          <w:szCs w:val="20"/>
        </w:rPr>
        <w:t xml:space="preserve">, G. 2022 The impact of avian influenza 2022 on Dalmatian pelicans was the worst ever wildlife disaster in Greece. </w:t>
      </w:r>
      <w:r w:rsidRPr="00767A81">
        <w:rPr>
          <w:rFonts w:eastAsia="Calibri" w:cs="Arial"/>
          <w:i/>
          <w:iCs/>
          <w:sz w:val="20"/>
          <w:szCs w:val="20"/>
        </w:rPr>
        <w:t>Oryx</w:t>
      </w:r>
      <w:r w:rsidRPr="00767A81">
        <w:rPr>
          <w:rFonts w:eastAsia="Calibri" w:cs="Arial"/>
          <w:sz w:val="20"/>
          <w:szCs w:val="20"/>
        </w:rPr>
        <w:t xml:space="preserve"> 56(6), 813.</w:t>
      </w:r>
    </w:p>
    <w:p w14:paraId="06A669B2"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r w:rsidRPr="00767A81">
        <w:rPr>
          <w:rFonts w:eastAsia="Calibri" w:cs="Arial"/>
          <w:sz w:val="20"/>
          <w:szCs w:val="20"/>
        </w:rPr>
        <w:t xml:space="preserve">EAAFP. 2022. Updates of HPAI recorded in East Asian – Australasian Flyway. </w:t>
      </w:r>
      <w:r w:rsidRPr="00767A81">
        <w:rPr>
          <w:rFonts w:eastAsia="Calibri" w:cs="Arial"/>
          <w:i/>
          <w:iCs/>
          <w:sz w:val="20"/>
          <w:szCs w:val="20"/>
        </w:rPr>
        <w:t>East Asian – Australasian Flyway Partnership</w:t>
      </w:r>
      <w:r w:rsidRPr="00767A81">
        <w:rPr>
          <w:rFonts w:eastAsia="Calibri" w:cs="Arial"/>
          <w:sz w:val="20"/>
          <w:szCs w:val="20"/>
        </w:rPr>
        <w:t xml:space="preserve">. Available at: </w:t>
      </w:r>
      <w:hyperlink r:id="rId93" w:history="1">
        <w:r w:rsidRPr="00767A81">
          <w:rPr>
            <w:rStyle w:val="Hyperlink"/>
            <w:rFonts w:eastAsia="Calibri" w:cs="Arial"/>
            <w:sz w:val="20"/>
            <w:szCs w:val="20"/>
          </w:rPr>
          <w:t>https://www.eaaflyway.net/updates-hpai-eaaf/</w:t>
        </w:r>
      </w:hyperlink>
    </w:p>
    <w:p w14:paraId="39317E8C"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proofErr w:type="spellStart"/>
      <w:r w:rsidRPr="00767A81">
        <w:rPr>
          <w:rFonts w:eastAsia="Calibri" w:cs="Arial"/>
          <w:sz w:val="20"/>
          <w:szCs w:val="20"/>
        </w:rPr>
        <w:t>BirdLife</w:t>
      </w:r>
      <w:proofErr w:type="spellEnd"/>
      <w:r w:rsidRPr="00767A81">
        <w:rPr>
          <w:rFonts w:eastAsia="Calibri" w:cs="Arial"/>
          <w:sz w:val="20"/>
          <w:szCs w:val="20"/>
        </w:rPr>
        <w:t xml:space="preserve"> International. 2024. </w:t>
      </w:r>
      <w:r w:rsidRPr="00767A81">
        <w:rPr>
          <w:rFonts w:eastAsia="Calibri" w:cs="Arial"/>
          <w:i/>
          <w:iCs/>
          <w:sz w:val="20"/>
          <w:szCs w:val="20"/>
        </w:rPr>
        <w:t xml:space="preserve">Spheniscus </w:t>
      </w:r>
      <w:proofErr w:type="spellStart"/>
      <w:r w:rsidRPr="00767A81">
        <w:rPr>
          <w:rFonts w:eastAsia="Calibri" w:cs="Arial"/>
          <w:i/>
          <w:iCs/>
          <w:sz w:val="20"/>
          <w:szCs w:val="20"/>
        </w:rPr>
        <w:t>demersus</w:t>
      </w:r>
      <w:proofErr w:type="spellEnd"/>
      <w:r w:rsidRPr="00767A81">
        <w:rPr>
          <w:rFonts w:eastAsia="Calibri" w:cs="Arial"/>
          <w:sz w:val="20"/>
          <w:szCs w:val="20"/>
        </w:rPr>
        <w:t xml:space="preserve">. </w:t>
      </w:r>
      <w:r w:rsidRPr="00767A81">
        <w:rPr>
          <w:rFonts w:eastAsia="Calibri" w:cs="Arial"/>
          <w:i/>
          <w:iCs/>
          <w:sz w:val="20"/>
          <w:szCs w:val="20"/>
        </w:rPr>
        <w:t>The IUCN Red List of Threatened Species</w:t>
      </w:r>
      <w:r w:rsidRPr="00767A81">
        <w:rPr>
          <w:rFonts w:eastAsia="Calibri" w:cs="Arial"/>
          <w:sz w:val="20"/>
          <w:szCs w:val="20"/>
        </w:rPr>
        <w:t xml:space="preserve"> 2024: e.T22697810A256021744. </w:t>
      </w:r>
    </w:p>
    <w:p w14:paraId="3AD09322"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r w:rsidRPr="00E7787F">
        <w:rPr>
          <w:rFonts w:eastAsia="Calibri" w:cs="Arial"/>
          <w:sz w:val="20"/>
          <w:szCs w:val="20"/>
          <w:lang w:val="fr-FR"/>
        </w:rPr>
        <w:t xml:space="preserve">Kauffman, M. J. </w:t>
      </w:r>
      <w:r w:rsidRPr="00E7787F">
        <w:rPr>
          <w:rFonts w:eastAsia="Calibri" w:cs="Arial"/>
          <w:i/>
          <w:sz w:val="20"/>
          <w:szCs w:val="20"/>
          <w:lang w:val="fr-FR"/>
        </w:rPr>
        <w:t>et al</w:t>
      </w:r>
      <w:r w:rsidRPr="00E7787F">
        <w:rPr>
          <w:rFonts w:eastAsia="Calibri" w:cs="Arial"/>
          <w:sz w:val="20"/>
          <w:szCs w:val="20"/>
          <w:lang w:val="fr-FR"/>
        </w:rPr>
        <w:t xml:space="preserve">. 2021. </w:t>
      </w:r>
      <w:r w:rsidRPr="00767A81">
        <w:rPr>
          <w:rFonts w:eastAsia="Calibri" w:cs="Arial"/>
          <w:sz w:val="20"/>
          <w:szCs w:val="20"/>
        </w:rPr>
        <w:t xml:space="preserve">Causes, consequences, and conservation of ungulate migration. </w:t>
      </w:r>
      <w:r w:rsidRPr="00767A81">
        <w:rPr>
          <w:rFonts w:eastAsia="Calibri" w:cs="Arial"/>
          <w:i/>
          <w:iCs/>
          <w:sz w:val="20"/>
          <w:szCs w:val="20"/>
        </w:rPr>
        <w:t xml:space="preserve">Annu. Rev. Ecol. Evol. Syst. </w:t>
      </w:r>
      <w:r w:rsidRPr="00767A81">
        <w:rPr>
          <w:rFonts w:eastAsia="Calibri" w:cs="Arial"/>
          <w:sz w:val="20"/>
          <w:szCs w:val="20"/>
        </w:rPr>
        <w:t>52, 453-478. https://doi.org/10.1146/annurev-ecolsys-012021-011516</w:t>
      </w:r>
    </w:p>
    <w:p w14:paraId="6EA943C2"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r w:rsidRPr="00767A81">
        <w:rPr>
          <w:rFonts w:eastAsia="Calibri" w:cs="Arial"/>
          <w:sz w:val="20"/>
          <w:szCs w:val="20"/>
        </w:rPr>
        <w:t>UNEP/CMS, Eds. 2025. Central Asian Mammals Migration and Linear Infrastructure Atlas. CMS Technical Series No. 41. Bonn, Germany. Available at: https://www.cms.int/cami/es/node/26514</w:t>
      </w:r>
    </w:p>
    <w:p w14:paraId="6E996375"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proofErr w:type="spellStart"/>
      <w:r w:rsidRPr="00767A81">
        <w:rPr>
          <w:rFonts w:eastAsia="Calibri" w:cs="Arial"/>
          <w:sz w:val="20"/>
          <w:szCs w:val="20"/>
        </w:rPr>
        <w:t>Mengden</w:t>
      </w:r>
      <w:proofErr w:type="spellEnd"/>
      <w:r w:rsidRPr="00767A81">
        <w:rPr>
          <w:rFonts w:eastAsia="Calibri" w:cs="Arial"/>
          <w:sz w:val="20"/>
          <w:szCs w:val="20"/>
        </w:rPr>
        <w:t xml:space="preserve">, P. </w:t>
      </w:r>
      <w:r w:rsidRPr="00767A81">
        <w:rPr>
          <w:rFonts w:eastAsia="Calibri" w:cs="Arial"/>
          <w:i/>
          <w:iCs/>
          <w:sz w:val="20"/>
          <w:szCs w:val="20"/>
        </w:rPr>
        <w:t>et al</w:t>
      </w:r>
      <w:r w:rsidRPr="00767A81">
        <w:rPr>
          <w:rFonts w:eastAsia="Calibri" w:cs="Arial"/>
          <w:sz w:val="20"/>
          <w:szCs w:val="20"/>
        </w:rPr>
        <w:t xml:space="preserve">. 2023. Nomadic movements under threat: declining mobility of Mongolian gazelles in the Eastern Steppe of Mongolia. </w:t>
      </w:r>
      <w:r w:rsidRPr="00767A81">
        <w:rPr>
          <w:rFonts w:eastAsia="Calibri" w:cs="Arial"/>
          <w:i/>
          <w:iCs/>
          <w:sz w:val="20"/>
          <w:szCs w:val="20"/>
        </w:rPr>
        <w:t xml:space="preserve">Biol. Cons. </w:t>
      </w:r>
      <w:r w:rsidRPr="00767A81">
        <w:rPr>
          <w:rFonts w:eastAsia="Calibri" w:cs="Arial"/>
          <w:sz w:val="20"/>
          <w:szCs w:val="20"/>
        </w:rPr>
        <w:t xml:space="preserve">286, 110271. </w:t>
      </w:r>
      <w:hyperlink r:id="rId94" w:history="1">
        <w:r w:rsidRPr="00767A81">
          <w:rPr>
            <w:rStyle w:val="Hyperlink"/>
            <w:rFonts w:eastAsia="Calibri" w:cs="Arial"/>
            <w:sz w:val="20"/>
            <w:szCs w:val="20"/>
          </w:rPr>
          <w:t>https://doi.org/10.1016/j.biocon.2023.110271</w:t>
        </w:r>
      </w:hyperlink>
    </w:p>
    <w:p w14:paraId="0D89749F" w14:textId="722B30E0" w:rsidR="0034769E" w:rsidRPr="00767A81" w:rsidRDefault="009C0262" w:rsidP="007823FD">
      <w:pPr>
        <w:pStyle w:val="ListParagraph"/>
        <w:numPr>
          <w:ilvl w:val="0"/>
          <w:numId w:val="18"/>
        </w:numPr>
        <w:spacing w:after="40" w:line="240" w:lineRule="auto"/>
        <w:contextualSpacing w:val="0"/>
        <w:jc w:val="both"/>
        <w:rPr>
          <w:rFonts w:eastAsia="Calibri" w:cs="Arial"/>
          <w:sz w:val="20"/>
          <w:szCs w:val="20"/>
        </w:rPr>
      </w:pPr>
      <w:r w:rsidRPr="009C0262">
        <w:rPr>
          <w:rFonts w:eastAsia="Calibri" w:cs="Arial"/>
          <w:sz w:val="20"/>
          <w:szCs w:val="20"/>
        </w:rPr>
        <w:t xml:space="preserve">Kauffman, M., S. </w:t>
      </w:r>
      <w:proofErr w:type="spellStart"/>
      <w:r w:rsidRPr="009C0262">
        <w:rPr>
          <w:rFonts w:eastAsia="Calibri" w:cs="Arial"/>
          <w:sz w:val="20"/>
          <w:szCs w:val="20"/>
        </w:rPr>
        <w:t>Albeke</w:t>
      </w:r>
      <w:proofErr w:type="spellEnd"/>
      <w:r w:rsidRPr="009C0262">
        <w:rPr>
          <w:rFonts w:eastAsia="Calibri" w:cs="Arial"/>
          <w:sz w:val="20"/>
          <w:szCs w:val="20"/>
        </w:rPr>
        <w:t xml:space="preserve">, M. Atallah, M. Boyers, F. Cagnacci, S. </w:t>
      </w:r>
      <w:proofErr w:type="spellStart"/>
      <w:r w:rsidRPr="009C0262">
        <w:rPr>
          <w:rFonts w:eastAsia="Calibri" w:cs="Arial"/>
          <w:sz w:val="20"/>
          <w:szCs w:val="20"/>
        </w:rPr>
        <w:t>Chamaille</w:t>
      </w:r>
      <w:proofErr w:type="spellEnd"/>
      <w:r w:rsidRPr="009C0262">
        <w:rPr>
          <w:rFonts w:eastAsia="Calibri" w:cs="Arial"/>
          <w:sz w:val="20"/>
          <w:szCs w:val="20"/>
        </w:rPr>
        <w:t xml:space="preserve">-Jammes, J. Fugate, I. Freeman, J. Gage, M. </w:t>
      </w:r>
      <w:proofErr w:type="spellStart"/>
      <w:r w:rsidRPr="009C0262">
        <w:rPr>
          <w:rFonts w:eastAsia="Calibri" w:cs="Arial"/>
          <w:sz w:val="20"/>
          <w:szCs w:val="20"/>
        </w:rPr>
        <w:t>Hebblewhite</w:t>
      </w:r>
      <w:proofErr w:type="spellEnd"/>
      <w:r w:rsidRPr="009C0262">
        <w:rPr>
          <w:rFonts w:eastAsia="Calibri" w:cs="Arial"/>
          <w:sz w:val="20"/>
          <w:szCs w:val="20"/>
        </w:rPr>
        <w:t xml:space="preserve">, G. Hopcraft, W. Kirkpatrick, J. Merkle, J. Merson, T. Mueller, S. Mumme, A. </w:t>
      </w:r>
      <w:proofErr w:type="spellStart"/>
      <w:r w:rsidRPr="009C0262">
        <w:rPr>
          <w:rFonts w:eastAsia="Calibri" w:cs="Arial"/>
          <w:sz w:val="20"/>
          <w:szCs w:val="20"/>
        </w:rPr>
        <w:t>Mysterud</w:t>
      </w:r>
      <w:proofErr w:type="spellEnd"/>
      <w:r w:rsidRPr="009C0262">
        <w:rPr>
          <w:rFonts w:eastAsia="Calibri" w:cs="Arial"/>
          <w:sz w:val="20"/>
          <w:szCs w:val="20"/>
        </w:rPr>
        <w:t xml:space="preserve">, C. Nobbe, W. Peters, E. Steiner, A. Steingisser, editors. 2024. </w:t>
      </w:r>
      <w:r w:rsidRPr="00E7787F">
        <w:rPr>
          <w:rFonts w:eastAsia="Calibri" w:cs="Arial"/>
          <w:i/>
          <w:iCs/>
          <w:sz w:val="20"/>
          <w:szCs w:val="20"/>
        </w:rPr>
        <w:t>Atlas of Ungulate Migration</w:t>
      </w:r>
      <w:r w:rsidRPr="009C0262">
        <w:rPr>
          <w:rFonts w:eastAsia="Calibri" w:cs="Arial"/>
          <w:sz w:val="20"/>
          <w:szCs w:val="20"/>
        </w:rPr>
        <w:t>. Convention on the Conservation of Migratory Species of Wild Animals.</w:t>
      </w:r>
      <w:r w:rsidR="00D64062">
        <w:rPr>
          <w:rFonts w:eastAsia="Calibri" w:cs="Arial"/>
          <w:sz w:val="20"/>
          <w:szCs w:val="20"/>
        </w:rPr>
        <w:t xml:space="preserve"> </w:t>
      </w:r>
      <w:r w:rsidR="00D64062" w:rsidRPr="00767A81">
        <w:rPr>
          <w:rFonts w:eastAsia="Calibri" w:cs="Arial"/>
          <w:sz w:val="20"/>
          <w:szCs w:val="20"/>
        </w:rPr>
        <w:t>Available at:</w:t>
      </w:r>
      <w:r w:rsidR="00D64062">
        <w:rPr>
          <w:rFonts w:eastAsia="Calibri" w:cs="Arial"/>
          <w:sz w:val="20"/>
          <w:szCs w:val="20"/>
        </w:rPr>
        <w:t xml:space="preserve"> </w:t>
      </w:r>
      <w:r w:rsidR="00D64062" w:rsidRPr="00D64062">
        <w:rPr>
          <w:rFonts w:eastAsia="Calibri" w:cs="Arial"/>
          <w:sz w:val="20"/>
          <w:szCs w:val="20"/>
        </w:rPr>
        <w:t>https://www.cms.int/gium</w:t>
      </w:r>
    </w:p>
    <w:p w14:paraId="6D4BA7A3"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proofErr w:type="spellStart"/>
      <w:r w:rsidRPr="00767A81">
        <w:rPr>
          <w:rFonts w:eastAsia="Calibri" w:cs="Arial"/>
          <w:sz w:val="20"/>
          <w:szCs w:val="20"/>
          <w:lang w:val="de-DE"/>
        </w:rPr>
        <w:lastRenderedPageBreak/>
        <w:t>Stabach</w:t>
      </w:r>
      <w:proofErr w:type="spellEnd"/>
      <w:r w:rsidRPr="00767A81">
        <w:rPr>
          <w:rFonts w:eastAsia="Calibri" w:cs="Arial"/>
          <w:sz w:val="20"/>
          <w:szCs w:val="20"/>
          <w:lang w:val="de-DE"/>
        </w:rPr>
        <w:t xml:space="preserve">, J. A. </w:t>
      </w:r>
      <w:r w:rsidRPr="00767A81">
        <w:rPr>
          <w:rFonts w:eastAsia="Calibri" w:cs="Arial"/>
          <w:i/>
          <w:sz w:val="20"/>
          <w:szCs w:val="20"/>
          <w:lang w:val="de-DE"/>
        </w:rPr>
        <w:t>et al.</w:t>
      </w:r>
      <w:r w:rsidRPr="00767A81">
        <w:rPr>
          <w:rFonts w:eastAsia="Calibri" w:cs="Arial"/>
          <w:sz w:val="20"/>
          <w:szCs w:val="20"/>
          <w:lang w:val="de-DE"/>
        </w:rPr>
        <w:t xml:space="preserve"> 2022. </w:t>
      </w:r>
      <w:r w:rsidRPr="00767A81">
        <w:rPr>
          <w:rFonts w:eastAsia="Calibri" w:cs="Arial"/>
          <w:sz w:val="20"/>
          <w:szCs w:val="20"/>
        </w:rPr>
        <w:t xml:space="preserve">Increasing anthropogenic disturbance restricts wildebeest movement across East African grazing systems. </w:t>
      </w:r>
      <w:r w:rsidRPr="00767A81">
        <w:rPr>
          <w:rFonts w:eastAsia="Calibri" w:cs="Arial"/>
          <w:i/>
          <w:iCs/>
          <w:sz w:val="20"/>
          <w:szCs w:val="20"/>
        </w:rPr>
        <w:t xml:space="preserve">Front. Ecol. Evol. </w:t>
      </w:r>
      <w:r w:rsidRPr="00767A81">
        <w:rPr>
          <w:rFonts w:eastAsia="Calibri" w:cs="Arial"/>
          <w:sz w:val="20"/>
          <w:szCs w:val="20"/>
        </w:rPr>
        <w:t>10, 846171. https://doi.org/10.3389/fevo.2022.846171</w:t>
      </w:r>
    </w:p>
    <w:p w14:paraId="0A6B1B0B"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r w:rsidRPr="00767A81">
        <w:rPr>
          <w:rFonts w:eastAsia="Calibri" w:cs="Arial"/>
          <w:sz w:val="20"/>
          <w:szCs w:val="20"/>
        </w:rPr>
        <w:t xml:space="preserve">Gunn, A. </w:t>
      </w:r>
      <w:r w:rsidRPr="00767A81">
        <w:rPr>
          <w:rFonts w:eastAsia="Calibri" w:cs="Arial"/>
          <w:i/>
          <w:iCs/>
          <w:sz w:val="20"/>
          <w:szCs w:val="20"/>
        </w:rPr>
        <w:t>et al</w:t>
      </w:r>
      <w:r w:rsidRPr="00767A81">
        <w:rPr>
          <w:rFonts w:eastAsia="Calibri" w:cs="Arial"/>
          <w:sz w:val="20"/>
          <w:szCs w:val="20"/>
        </w:rPr>
        <w:t xml:space="preserve">.2024. Migratory tundra caribou in a warmer climate. </w:t>
      </w:r>
      <w:r w:rsidRPr="00767A81">
        <w:rPr>
          <w:rFonts w:eastAsia="Calibri" w:cs="Arial"/>
          <w:i/>
          <w:iCs/>
          <w:sz w:val="20"/>
          <w:szCs w:val="20"/>
        </w:rPr>
        <w:t>Arctic Report Card: Update for 2024</w:t>
      </w:r>
      <w:r w:rsidRPr="00767A81">
        <w:rPr>
          <w:rFonts w:eastAsia="Calibri" w:cs="Arial"/>
          <w:sz w:val="20"/>
          <w:szCs w:val="20"/>
        </w:rPr>
        <w:t xml:space="preserve">. </w:t>
      </w:r>
      <w:hyperlink r:id="rId95" w:history="1">
        <w:r w:rsidRPr="00767A81">
          <w:rPr>
            <w:rStyle w:val="Hyperlink"/>
            <w:rFonts w:eastAsia="Calibri" w:cs="Arial"/>
            <w:sz w:val="20"/>
            <w:szCs w:val="20"/>
          </w:rPr>
          <w:t>https://doi.org/10.25923/qn4a-td90</w:t>
        </w:r>
      </w:hyperlink>
    </w:p>
    <w:p w14:paraId="49F92E2B"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r w:rsidRPr="00767A81">
        <w:rPr>
          <w:rFonts w:eastAsia="Calibri" w:cs="Arial"/>
          <w:sz w:val="20"/>
          <w:szCs w:val="20"/>
        </w:rPr>
        <w:t xml:space="preserve">Gunn, A. &amp; Russell, D. 2022. Update on the global status of wild reindeer and caribou. Available at: </w:t>
      </w:r>
      <w:hyperlink r:id="rId96" w:history="1">
        <w:r w:rsidRPr="00767A81">
          <w:rPr>
            <w:rStyle w:val="Hyperlink"/>
            <w:rFonts w:eastAsia="Calibri" w:cs="Arial"/>
            <w:sz w:val="20"/>
            <w:szCs w:val="20"/>
          </w:rPr>
          <w:t>https://www.deerspecialistgroup.org/article/1060/</w:t>
        </w:r>
      </w:hyperlink>
      <w:r w:rsidRPr="00767A81">
        <w:rPr>
          <w:rFonts w:eastAsia="Calibri" w:cs="Arial"/>
          <w:sz w:val="20"/>
          <w:szCs w:val="20"/>
        </w:rPr>
        <w:t xml:space="preserve"> </w:t>
      </w:r>
    </w:p>
    <w:p w14:paraId="776CF1CC"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proofErr w:type="spellStart"/>
      <w:r w:rsidRPr="00767A81">
        <w:rPr>
          <w:rFonts w:eastAsia="Calibri" w:cs="Arial"/>
          <w:sz w:val="20"/>
          <w:szCs w:val="20"/>
          <w:lang w:val="es-419"/>
        </w:rPr>
        <w:t>Donadio</w:t>
      </w:r>
      <w:proofErr w:type="spellEnd"/>
      <w:r w:rsidRPr="00767A81">
        <w:rPr>
          <w:rFonts w:eastAsia="Calibri" w:cs="Arial"/>
          <w:sz w:val="20"/>
          <w:szCs w:val="20"/>
          <w:lang w:val="es-419"/>
        </w:rPr>
        <w:t xml:space="preserve">, E. </w:t>
      </w:r>
      <w:r w:rsidRPr="00767A81">
        <w:rPr>
          <w:rFonts w:eastAsia="Calibri" w:cs="Arial"/>
          <w:i/>
          <w:sz w:val="20"/>
          <w:szCs w:val="20"/>
          <w:lang w:val="es-419"/>
        </w:rPr>
        <w:t>et al</w:t>
      </w:r>
      <w:r w:rsidRPr="00767A81">
        <w:rPr>
          <w:rFonts w:eastAsia="Calibri" w:cs="Arial"/>
          <w:sz w:val="20"/>
          <w:szCs w:val="20"/>
          <w:lang w:val="es-419"/>
        </w:rPr>
        <w:t xml:space="preserve">. 2024. Guanaco: Meseta del Lago Buenos Aires, Argentina. </w:t>
      </w:r>
      <w:r w:rsidRPr="00767A81">
        <w:rPr>
          <w:rFonts w:eastAsia="Calibri" w:cs="Arial"/>
          <w:sz w:val="20"/>
          <w:szCs w:val="20"/>
        </w:rPr>
        <w:t xml:space="preserve">Global Initiative on Ungulate Migration, editors. </w:t>
      </w:r>
      <w:r w:rsidRPr="00767A81">
        <w:rPr>
          <w:rFonts w:eastAsia="Calibri" w:cs="Arial"/>
          <w:i/>
          <w:iCs/>
          <w:sz w:val="20"/>
          <w:szCs w:val="20"/>
        </w:rPr>
        <w:t>Atlas of Ungulate Migration</w:t>
      </w:r>
      <w:r w:rsidRPr="00767A81">
        <w:rPr>
          <w:rFonts w:eastAsia="Calibri" w:cs="Arial"/>
          <w:sz w:val="20"/>
          <w:szCs w:val="20"/>
        </w:rPr>
        <w:t>. Convention on the Conservation of Migratory Species of Wild Animals.</w:t>
      </w:r>
    </w:p>
    <w:p w14:paraId="29851892"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r w:rsidRPr="00767A81">
        <w:rPr>
          <w:rFonts w:eastAsia="Calibri" w:cs="Arial"/>
          <w:sz w:val="20"/>
          <w:szCs w:val="20"/>
          <w:lang w:val="es-419"/>
        </w:rPr>
        <w:t xml:space="preserve">Jones, V. R., Haskell, L. &amp; </w:t>
      </w:r>
      <w:proofErr w:type="spellStart"/>
      <w:r w:rsidRPr="00767A81">
        <w:rPr>
          <w:rFonts w:eastAsia="Calibri" w:cs="Arial"/>
          <w:sz w:val="20"/>
          <w:szCs w:val="20"/>
          <w:lang w:val="es-419"/>
        </w:rPr>
        <w:t>Serratosa</w:t>
      </w:r>
      <w:proofErr w:type="spellEnd"/>
      <w:r w:rsidRPr="00767A81">
        <w:rPr>
          <w:rFonts w:eastAsia="Calibri" w:cs="Arial"/>
          <w:sz w:val="20"/>
          <w:szCs w:val="20"/>
          <w:lang w:val="es-419"/>
        </w:rPr>
        <w:t xml:space="preserve"> </w:t>
      </w:r>
      <w:proofErr w:type="spellStart"/>
      <w:r w:rsidRPr="00767A81">
        <w:rPr>
          <w:rFonts w:eastAsia="Calibri" w:cs="Arial"/>
          <w:sz w:val="20"/>
          <w:szCs w:val="20"/>
          <w:lang w:val="es-419"/>
        </w:rPr>
        <w:t>Lopez</w:t>
      </w:r>
      <w:proofErr w:type="spellEnd"/>
      <w:r w:rsidRPr="00767A81">
        <w:rPr>
          <w:rFonts w:eastAsia="Calibri" w:cs="Arial"/>
          <w:sz w:val="20"/>
          <w:szCs w:val="20"/>
          <w:lang w:val="es-419"/>
        </w:rPr>
        <w:t xml:space="preserve">, J. 2023. </w:t>
      </w:r>
      <w:r w:rsidRPr="00767A81">
        <w:rPr>
          <w:rFonts w:eastAsia="Calibri" w:cs="Arial"/>
          <w:sz w:val="20"/>
          <w:szCs w:val="20"/>
        </w:rPr>
        <w:t xml:space="preserve">Raptors MOU Conservation Status Assessment Report MOS3 (2023), available at: </w:t>
      </w:r>
      <w:hyperlink r:id="rId97" w:history="1">
        <w:r w:rsidRPr="00767A81">
          <w:rPr>
            <w:rStyle w:val="Hyperlink"/>
            <w:rFonts w:cs="Arial"/>
            <w:sz w:val="20"/>
            <w:szCs w:val="20"/>
          </w:rPr>
          <w:t>UNEP/CMS/Raptors/MOS3/Doc.12.3/Annex1</w:t>
        </w:r>
      </w:hyperlink>
      <w:r w:rsidRPr="00767A81">
        <w:rPr>
          <w:rFonts w:cs="Arial"/>
          <w:sz w:val="20"/>
          <w:szCs w:val="20"/>
        </w:rPr>
        <w:t>.</w:t>
      </w:r>
    </w:p>
    <w:p w14:paraId="720C5D72"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r w:rsidRPr="00767A81">
        <w:rPr>
          <w:rFonts w:eastAsia="Calibri" w:cs="Arial"/>
          <w:sz w:val="20"/>
          <w:szCs w:val="20"/>
        </w:rPr>
        <w:t xml:space="preserve">Shaw, P., Ogada, D., Dunn, L., </w:t>
      </w:r>
      <w:proofErr w:type="spellStart"/>
      <w:r w:rsidRPr="00767A81">
        <w:rPr>
          <w:rFonts w:eastAsia="Calibri" w:cs="Arial"/>
          <w:sz w:val="20"/>
          <w:szCs w:val="20"/>
        </w:rPr>
        <w:t>Buij</w:t>
      </w:r>
      <w:proofErr w:type="spellEnd"/>
      <w:r w:rsidRPr="00767A81">
        <w:rPr>
          <w:rFonts w:eastAsia="Calibri" w:cs="Arial"/>
          <w:sz w:val="20"/>
          <w:szCs w:val="20"/>
        </w:rPr>
        <w:t xml:space="preserve">, R., Amar, A., Garbett, R., </w:t>
      </w:r>
      <w:proofErr w:type="spellStart"/>
      <w:r w:rsidRPr="00767A81">
        <w:rPr>
          <w:rFonts w:eastAsia="Calibri" w:cs="Arial"/>
          <w:sz w:val="20"/>
          <w:szCs w:val="20"/>
        </w:rPr>
        <w:t>Herremans</w:t>
      </w:r>
      <w:proofErr w:type="spellEnd"/>
      <w:r w:rsidRPr="00767A81">
        <w:rPr>
          <w:rFonts w:eastAsia="Calibri" w:cs="Arial"/>
          <w:sz w:val="20"/>
          <w:szCs w:val="20"/>
        </w:rPr>
        <w:t xml:space="preserve">, M., Virani, M. Z., Kendall, C. J., Croes, B. M., Odino, M., Kapila, S., </w:t>
      </w:r>
      <w:proofErr w:type="spellStart"/>
      <w:r w:rsidRPr="00767A81">
        <w:rPr>
          <w:rFonts w:eastAsia="Calibri" w:cs="Arial"/>
          <w:sz w:val="20"/>
          <w:szCs w:val="20"/>
        </w:rPr>
        <w:t>Wairasho</w:t>
      </w:r>
      <w:proofErr w:type="spellEnd"/>
      <w:r w:rsidRPr="00767A81">
        <w:rPr>
          <w:rFonts w:eastAsia="Calibri" w:cs="Arial"/>
          <w:sz w:val="20"/>
          <w:szCs w:val="20"/>
        </w:rPr>
        <w:t xml:space="preserve">, P., Rutz, C., Botha, A., Gallo-Orsi, U., Murn, C., Maude, G. &amp; Thomsett, S. 2024. African savanna raptors show evidence of widespread population collapse and a growing dependence on protected areas. </w:t>
      </w:r>
      <w:r w:rsidRPr="00767A81">
        <w:rPr>
          <w:rFonts w:eastAsia="Calibri" w:cs="Arial"/>
          <w:i/>
          <w:iCs/>
          <w:sz w:val="20"/>
          <w:szCs w:val="20"/>
        </w:rPr>
        <w:t>Nat. Ecol. Evol.</w:t>
      </w:r>
      <w:r w:rsidRPr="00767A81">
        <w:rPr>
          <w:rFonts w:eastAsia="Calibri" w:cs="Arial"/>
          <w:sz w:val="20"/>
          <w:szCs w:val="20"/>
        </w:rPr>
        <w:t xml:space="preserve"> 8, 45–56. </w:t>
      </w:r>
      <w:hyperlink r:id="rId98" w:history="1">
        <w:r w:rsidRPr="00767A81">
          <w:rPr>
            <w:rStyle w:val="Hyperlink"/>
            <w:rFonts w:eastAsia="Calibri" w:cs="Arial"/>
            <w:sz w:val="20"/>
            <w:szCs w:val="20"/>
          </w:rPr>
          <w:t>https://doi.org/10.1038/s41559-023-02236-0</w:t>
        </w:r>
      </w:hyperlink>
    </w:p>
    <w:p w14:paraId="5F69D865"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r w:rsidRPr="00767A81">
        <w:rPr>
          <w:rFonts w:eastAsia="Calibri" w:cs="Arial"/>
          <w:sz w:val="20"/>
          <w:szCs w:val="20"/>
        </w:rPr>
        <w:t xml:space="preserve">Botha, A. </w:t>
      </w:r>
      <w:r w:rsidRPr="00767A81">
        <w:rPr>
          <w:rFonts w:eastAsia="Calibri" w:cs="Arial"/>
          <w:i/>
          <w:iCs/>
          <w:sz w:val="20"/>
          <w:szCs w:val="20"/>
        </w:rPr>
        <w:t>et al</w:t>
      </w:r>
      <w:r w:rsidRPr="00767A81">
        <w:rPr>
          <w:rFonts w:eastAsia="Calibri" w:cs="Arial"/>
          <w:sz w:val="20"/>
          <w:szCs w:val="20"/>
        </w:rPr>
        <w:t xml:space="preserve">. 2024. Report on the Mid-term Implementation Review of the Vulture Multi-species Action Plan to conserve African-Eurasian Vultures. Abu Dhabi: CMS Raptors MOU Secretariat. </w:t>
      </w:r>
    </w:p>
    <w:p w14:paraId="7A9F8FCD"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r w:rsidRPr="00767A81">
        <w:rPr>
          <w:rFonts w:eastAsia="Calibri" w:cs="Arial"/>
          <w:sz w:val="20"/>
          <w:szCs w:val="20"/>
        </w:rPr>
        <w:t xml:space="preserve">Prakash, V. </w:t>
      </w:r>
      <w:r w:rsidRPr="00767A81">
        <w:rPr>
          <w:rFonts w:eastAsia="Calibri" w:cs="Arial"/>
          <w:i/>
          <w:iCs/>
          <w:sz w:val="20"/>
          <w:szCs w:val="20"/>
        </w:rPr>
        <w:t>et al</w:t>
      </w:r>
      <w:r w:rsidRPr="00767A81">
        <w:rPr>
          <w:rFonts w:eastAsia="Calibri" w:cs="Arial"/>
          <w:sz w:val="20"/>
          <w:szCs w:val="20"/>
        </w:rPr>
        <w:t xml:space="preserve">. 2024. Recent trends in populations of Critically Endangered Gyps vultures in India. </w:t>
      </w:r>
      <w:r w:rsidRPr="00767A81">
        <w:rPr>
          <w:rFonts w:eastAsia="Calibri" w:cs="Arial"/>
          <w:i/>
          <w:iCs/>
          <w:sz w:val="20"/>
          <w:szCs w:val="20"/>
        </w:rPr>
        <w:t xml:space="preserve">Bird </w:t>
      </w:r>
      <w:proofErr w:type="spellStart"/>
      <w:r w:rsidRPr="00767A81">
        <w:rPr>
          <w:rFonts w:eastAsia="Calibri" w:cs="Arial"/>
          <w:i/>
          <w:iCs/>
          <w:sz w:val="20"/>
          <w:szCs w:val="20"/>
        </w:rPr>
        <w:t>Conserv</w:t>
      </w:r>
      <w:proofErr w:type="spellEnd"/>
      <w:r w:rsidRPr="00767A81">
        <w:rPr>
          <w:rFonts w:eastAsia="Calibri" w:cs="Arial"/>
          <w:i/>
          <w:iCs/>
          <w:sz w:val="20"/>
          <w:szCs w:val="20"/>
        </w:rPr>
        <w:t>. Int.</w:t>
      </w:r>
      <w:r w:rsidRPr="00767A81">
        <w:rPr>
          <w:rFonts w:eastAsia="Calibri" w:cs="Arial"/>
          <w:sz w:val="20"/>
          <w:szCs w:val="20"/>
        </w:rPr>
        <w:t xml:space="preserve"> 34(e1), 1-6. https://doi.org/10.1017/S0959270923000394</w:t>
      </w:r>
    </w:p>
    <w:p w14:paraId="565CA801"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r w:rsidRPr="00767A81">
        <w:rPr>
          <w:rFonts w:eastAsia="Calibri" w:cs="Arial"/>
          <w:sz w:val="20"/>
          <w:szCs w:val="20"/>
        </w:rPr>
        <w:t xml:space="preserve">Oppel, S. </w:t>
      </w:r>
      <w:r w:rsidRPr="00767A81">
        <w:rPr>
          <w:rFonts w:eastAsia="Calibri" w:cs="Arial"/>
          <w:i/>
          <w:iCs/>
          <w:sz w:val="20"/>
          <w:szCs w:val="20"/>
        </w:rPr>
        <w:t>et al</w:t>
      </w:r>
      <w:r w:rsidRPr="00767A81">
        <w:rPr>
          <w:rFonts w:eastAsia="Calibri" w:cs="Arial"/>
          <w:sz w:val="20"/>
          <w:szCs w:val="20"/>
        </w:rPr>
        <w:t xml:space="preserve">. 2024. Long-term conservation efforts at flyway scale can halt the population decline in a globally endangered migratory raptor. </w:t>
      </w:r>
      <w:r w:rsidRPr="00767A81">
        <w:rPr>
          <w:rFonts w:eastAsia="Calibri" w:cs="Arial"/>
          <w:i/>
          <w:iCs/>
          <w:sz w:val="20"/>
          <w:szCs w:val="20"/>
        </w:rPr>
        <w:t xml:space="preserve">Anim. </w:t>
      </w:r>
      <w:proofErr w:type="spellStart"/>
      <w:r w:rsidRPr="00767A81">
        <w:rPr>
          <w:rFonts w:eastAsia="Calibri" w:cs="Arial"/>
          <w:i/>
          <w:iCs/>
          <w:sz w:val="20"/>
          <w:szCs w:val="20"/>
        </w:rPr>
        <w:t>Conserv</w:t>
      </w:r>
      <w:proofErr w:type="spellEnd"/>
      <w:r w:rsidRPr="00767A81">
        <w:rPr>
          <w:rFonts w:eastAsia="Calibri" w:cs="Arial"/>
          <w:i/>
          <w:iCs/>
          <w:sz w:val="20"/>
          <w:szCs w:val="20"/>
        </w:rPr>
        <w:t xml:space="preserve">. </w:t>
      </w:r>
      <w:r w:rsidRPr="00767A81">
        <w:rPr>
          <w:rFonts w:eastAsia="Calibri" w:cs="Arial"/>
          <w:sz w:val="20"/>
          <w:szCs w:val="20"/>
        </w:rPr>
        <w:t>27(3), 374-385. https://doi.org/10.1111/acv.12917</w:t>
      </w:r>
    </w:p>
    <w:p w14:paraId="3BA60402"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proofErr w:type="spellStart"/>
      <w:r w:rsidRPr="00767A81">
        <w:rPr>
          <w:rFonts w:eastAsia="Calibri" w:cs="Arial"/>
          <w:sz w:val="20"/>
          <w:szCs w:val="20"/>
        </w:rPr>
        <w:t>Serratosa</w:t>
      </w:r>
      <w:proofErr w:type="spellEnd"/>
      <w:r w:rsidRPr="00767A81">
        <w:rPr>
          <w:rFonts w:eastAsia="Calibri" w:cs="Arial"/>
          <w:sz w:val="20"/>
          <w:szCs w:val="20"/>
        </w:rPr>
        <w:t xml:space="preserve">, J. </w:t>
      </w:r>
      <w:r w:rsidRPr="00767A81">
        <w:rPr>
          <w:rFonts w:eastAsia="Calibri" w:cs="Arial"/>
          <w:i/>
          <w:iCs/>
          <w:sz w:val="20"/>
          <w:szCs w:val="20"/>
        </w:rPr>
        <w:t>et al</w:t>
      </w:r>
      <w:r w:rsidRPr="00767A81">
        <w:rPr>
          <w:rFonts w:eastAsia="Calibri" w:cs="Arial"/>
          <w:sz w:val="20"/>
          <w:szCs w:val="20"/>
        </w:rPr>
        <w:t>. 2024. Tracking data highlight the importance of human-induced mortality for large migratory birds at a flyway scale</w:t>
      </w:r>
      <w:r w:rsidRPr="00767A81">
        <w:rPr>
          <w:rFonts w:eastAsia="Calibri" w:cs="Arial"/>
          <w:i/>
          <w:iCs/>
          <w:sz w:val="20"/>
          <w:szCs w:val="20"/>
        </w:rPr>
        <w:t xml:space="preserve">. Biol. </w:t>
      </w:r>
      <w:proofErr w:type="spellStart"/>
      <w:r w:rsidRPr="00767A81">
        <w:rPr>
          <w:rFonts w:eastAsia="Calibri" w:cs="Arial"/>
          <w:i/>
          <w:iCs/>
          <w:sz w:val="20"/>
          <w:szCs w:val="20"/>
        </w:rPr>
        <w:t>Conserv</w:t>
      </w:r>
      <w:proofErr w:type="spellEnd"/>
      <w:r w:rsidRPr="00767A81">
        <w:rPr>
          <w:rFonts w:eastAsia="Calibri" w:cs="Arial"/>
          <w:i/>
          <w:iCs/>
          <w:sz w:val="20"/>
          <w:szCs w:val="20"/>
        </w:rPr>
        <w:t>.</w:t>
      </w:r>
      <w:r w:rsidRPr="00767A81">
        <w:rPr>
          <w:rFonts w:eastAsia="Calibri" w:cs="Arial"/>
          <w:sz w:val="20"/>
          <w:szCs w:val="20"/>
        </w:rPr>
        <w:t xml:space="preserve"> 293, 110525. </w:t>
      </w:r>
      <w:hyperlink r:id="rId99" w:history="1">
        <w:r w:rsidRPr="00767A81">
          <w:rPr>
            <w:rStyle w:val="Hyperlink"/>
            <w:rFonts w:eastAsia="Calibri" w:cs="Arial"/>
            <w:sz w:val="20"/>
            <w:szCs w:val="20"/>
          </w:rPr>
          <w:t>https://doi.org/10.1016/j.biocon.2024.110525</w:t>
        </w:r>
      </w:hyperlink>
    </w:p>
    <w:p w14:paraId="6AF48BCD"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r w:rsidRPr="00767A81">
        <w:rPr>
          <w:rFonts w:eastAsia="Calibri" w:cs="Arial"/>
          <w:sz w:val="20"/>
          <w:szCs w:val="20"/>
        </w:rPr>
        <w:t xml:space="preserve">Nussbaumer, R., Nussbaumer, A., </w:t>
      </w:r>
      <w:proofErr w:type="spellStart"/>
      <w:r w:rsidRPr="00767A81">
        <w:rPr>
          <w:rFonts w:eastAsia="Calibri" w:cs="Arial"/>
          <w:sz w:val="20"/>
          <w:szCs w:val="20"/>
        </w:rPr>
        <w:t>Guchu</w:t>
      </w:r>
      <w:proofErr w:type="spellEnd"/>
      <w:r w:rsidRPr="00767A81">
        <w:rPr>
          <w:rFonts w:eastAsia="Calibri" w:cs="Arial"/>
          <w:sz w:val="20"/>
          <w:szCs w:val="20"/>
        </w:rPr>
        <w:t xml:space="preserve">, S., Stratton Hadfield, R., Kanga, E. M., </w:t>
      </w:r>
      <w:proofErr w:type="spellStart"/>
      <w:r w:rsidRPr="00767A81">
        <w:rPr>
          <w:rFonts w:eastAsia="Calibri" w:cs="Arial"/>
          <w:sz w:val="20"/>
          <w:szCs w:val="20"/>
        </w:rPr>
        <w:t>Nyakeru</w:t>
      </w:r>
      <w:proofErr w:type="spellEnd"/>
      <w:r w:rsidRPr="00767A81">
        <w:rPr>
          <w:rFonts w:eastAsia="Calibri" w:cs="Arial"/>
          <w:sz w:val="20"/>
          <w:szCs w:val="20"/>
        </w:rPr>
        <w:t xml:space="preserve"> Kung’u, G., Kuria, A., Miller, E., Kariuki </w:t>
      </w:r>
      <w:proofErr w:type="spellStart"/>
      <w:r w:rsidRPr="00767A81">
        <w:rPr>
          <w:rFonts w:eastAsia="Calibri" w:cs="Arial"/>
          <w:sz w:val="20"/>
          <w:szCs w:val="20"/>
        </w:rPr>
        <w:t>Ndang’ang’a</w:t>
      </w:r>
      <w:proofErr w:type="spellEnd"/>
      <w:r w:rsidRPr="00767A81">
        <w:rPr>
          <w:rFonts w:eastAsia="Calibri" w:cs="Arial"/>
          <w:sz w:val="20"/>
          <w:szCs w:val="20"/>
        </w:rPr>
        <w:t xml:space="preserve">, P., Njoroge, P., Ogada, D., Shema, S. &amp; Jackson, C. 2024. Historical bird atlas and contemporary citizen science data reveal long-term changes in geographic range of Kenyan birds. </w:t>
      </w:r>
      <w:r w:rsidRPr="00767A81">
        <w:rPr>
          <w:rFonts w:eastAsia="Calibri" w:cs="Arial"/>
          <w:i/>
          <w:iCs/>
          <w:sz w:val="20"/>
          <w:szCs w:val="20"/>
        </w:rPr>
        <w:t xml:space="preserve">Divers. </w:t>
      </w:r>
      <w:proofErr w:type="spellStart"/>
      <w:r w:rsidRPr="00767A81">
        <w:rPr>
          <w:rFonts w:eastAsia="Calibri" w:cs="Arial"/>
          <w:i/>
          <w:iCs/>
          <w:sz w:val="20"/>
          <w:szCs w:val="20"/>
        </w:rPr>
        <w:t>Distrib</w:t>
      </w:r>
      <w:proofErr w:type="spellEnd"/>
      <w:r w:rsidRPr="00767A81">
        <w:rPr>
          <w:rFonts w:eastAsia="Calibri" w:cs="Arial"/>
          <w:i/>
          <w:iCs/>
          <w:sz w:val="20"/>
          <w:szCs w:val="20"/>
        </w:rPr>
        <w:t>.</w:t>
      </w:r>
      <w:r w:rsidRPr="00767A81">
        <w:rPr>
          <w:rFonts w:eastAsia="Calibri" w:cs="Arial"/>
          <w:sz w:val="20"/>
          <w:szCs w:val="20"/>
        </w:rPr>
        <w:t xml:space="preserve"> 31(2), e13935. </w:t>
      </w:r>
      <w:hyperlink r:id="rId100" w:history="1">
        <w:r w:rsidRPr="00767A81">
          <w:rPr>
            <w:rStyle w:val="Hyperlink"/>
            <w:rFonts w:eastAsia="Calibri" w:cs="Arial"/>
            <w:sz w:val="20"/>
            <w:szCs w:val="20"/>
          </w:rPr>
          <w:t>https://doi.org/10.1111/ddi.13935</w:t>
        </w:r>
      </w:hyperlink>
    </w:p>
    <w:p w14:paraId="42A437D3"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r w:rsidRPr="00767A81">
        <w:rPr>
          <w:rFonts w:eastAsia="Calibri" w:cs="Arial"/>
          <w:sz w:val="20"/>
          <w:szCs w:val="20"/>
        </w:rPr>
        <w:t xml:space="preserve">Vickery, J. A., Mallord, J. W., Adams, W. M., Beresford, A. E., Both, C., Cresswell, W., Diop, N., Ewing, S. R., Gregory, R. D., Morrison, C. A., Sanderson, F. J., Thorup, K., Van Wijk, R. E. &amp; Hewson, C. M. 2023. The conservation of Afro-Palaearctic migrants: What we are learning and what we need to know? </w:t>
      </w:r>
      <w:r w:rsidRPr="00767A81">
        <w:rPr>
          <w:rFonts w:eastAsia="Calibri" w:cs="Arial"/>
          <w:i/>
          <w:iCs/>
          <w:sz w:val="20"/>
          <w:szCs w:val="20"/>
        </w:rPr>
        <w:t>Ibis</w:t>
      </w:r>
      <w:r w:rsidRPr="00767A81">
        <w:rPr>
          <w:rFonts w:eastAsia="Calibri" w:cs="Arial"/>
          <w:sz w:val="20"/>
          <w:szCs w:val="20"/>
        </w:rPr>
        <w:t xml:space="preserve"> 165, 717-738. </w:t>
      </w:r>
      <w:hyperlink r:id="rId101" w:history="1">
        <w:r w:rsidRPr="00767A81">
          <w:rPr>
            <w:rStyle w:val="Hyperlink"/>
            <w:rFonts w:eastAsia="Calibri" w:cs="Arial"/>
            <w:sz w:val="20"/>
            <w:szCs w:val="20"/>
          </w:rPr>
          <w:t>https://doi.org/10.1111/ibi.13171</w:t>
        </w:r>
      </w:hyperlink>
    </w:p>
    <w:p w14:paraId="30FE7956"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r w:rsidRPr="00767A81">
        <w:rPr>
          <w:rFonts w:eastAsia="Calibri" w:cs="Arial"/>
          <w:sz w:val="20"/>
          <w:szCs w:val="20"/>
        </w:rPr>
        <w:t xml:space="preserve">Rigal </w:t>
      </w:r>
      <w:r w:rsidRPr="00767A81">
        <w:rPr>
          <w:rFonts w:eastAsia="Calibri" w:cs="Arial"/>
          <w:i/>
          <w:iCs/>
          <w:sz w:val="20"/>
          <w:szCs w:val="20"/>
        </w:rPr>
        <w:t>et al</w:t>
      </w:r>
      <w:r w:rsidRPr="00767A81">
        <w:rPr>
          <w:rFonts w:eastAsia="Calibri" w:cs="Arial"/>
          <w:sz w:val="20"/>
          <w:szCs w:val="20"/>
        </w:rPr>
        <w:t xml:space="preserve">. 2023. Farmland practices are driving bird population decline across Europe. </w:t>
      </w:r>
      <w:r w:rsidRPr="00767A81">
        <w:rPr>
          <w:rFonts w:eastAsia="Calibri" w:cs="Arial"/>
          <w:i/>
          <w:iCs/>
          <w:sz w:val="20"/>
          <w:szCs w:val="20"/>
        </w:rPr>
        <w:t>Proc. Natl. Acad. Sci.</w:t>
      </w:r>
      <w:r w:rsidRPr="00767A81">
        <w:rPr>
          <w:rFonts w:eastAsia="Calibri" w:cs="Arial"/>
          <w:sz w:val="20"/>
          <w:szCs w:val="20"/>
        </w:rPr>
        <w:t xml:space="preserve"> 120, e2216573120. </w:t>
      </w:r>
      <w:hyperlink r:id="rId102" w:history="1">
        <w:r w:rsidRPr="00767A81">
          <w:rPr>
            <w:rStyle w:val="Hyperlink"/>
            <w:rFonts w:eastAsia="Calibri" w:cs="Arial"/>
            <w:sz w:val="20"/>
            <w:szCs w:val="20"/>
          </w:rPr>
          <w:t>https://doi.org/10.1073/pnas.2216573120</w:t>
        </w:r>
      </w:hyperlink>
    </w:p>
    <w:p w14:paraId="2D81B05C"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r w:rsidRPr="00767A81">
        <w:rPr>
          <w:rFonts w:eastAsia="Calibri" w:cs="Arial"/>
          <w:sz w:val="20"/>
          <w:szCs w:val="20"/>
        </w:rPr>
        <w:t xml:space="preserve">Howard </w:t>
      </w:r>
      <w:r w:rsidRPr="00767A81">
        <w:rPr>
          <w:rFonts w:eastAsia="Calibri" w:cs="Arial"/>
          <w:i/>
          <w:iCs/>
          <w:sz w:val="20"/>
          <w:szCs w:val="20"/>
        </w:rPr>
        <w:t>et al</w:t>
      </w:r>
      <w:r w:rsidRPr="00767A81">
        <w:rPr>
          <w:rFonts w:eastAsia="Calibri" w:cs="Arial"/>
          <w:sz w:val="20"/>
          <w:szCs w:val="20"/>
        </w:rPr>
        <w:t xml:space="preserve">. 2020. Disentangling the relative roles of climate and land cover change in driving the long-term population trends of European migratory birds. </w:t>
      </w:r>
      <w:r w:rsidRPr="00767A81">
        <w:rPr>
          <w:rFonts w:eastAsia="Calibri" w:cs="Arial"/>
          <w:i/>
          <w:iCs/>
          <w:sz w:val="20"/>
          <w:szCs w:val="20"/>
        </w:rPr>
        <w:t xml:space="preserve">Divers. </w:t>
      </w:r>
      <w:proofErr w:type="spellStart"/>
      <w:r w:rsidRPr="00767A81">
        <w:rPr>
          <w:rFonts w:eastAsia="Calibri" w:cs="Arial"/>
          <w:i/>
          <w:iCs/>
          <w:sz w:val="20"/>
          <w:szCs w:val="20"/>
        </w:rPr>
        <w:t>Distrib</w:t>
      </w:r>
      <w:proofErr w:type="spellEnd"/>
      <w:r w:rsidRPr="00767A81">
        <w:rPr>
          <w:rFonts w:eastAsia="Calibri" w:cs="Arial"/>
          <w:i/>
          <w:iCs/>
          <w:sz w:val="20"/>
          <w:szCs w:val="20"/>
        </w:rPr>
        <w:t xml:space="preserve">. </w:t>
      </w:r>
      <w:r w:rsidRPr="00767A81">
        <w:rPr>
          <w:rFonts w:eastAsia="Calibri" w:cs="Arial"/>
          <w:sz w:val="20"/>
          <w:szCs w:val="20"/>
        </w:rPr>
        <w:t>26, 1442-1455. https://doi.org/10.1111/ddi.13144</w:t>
      </w:r>
    </w:p>
    <w:p w14:paraId="63578446"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proofErr w:type="spellStart"/>
      <w:r w:rsidRPr="00767A81">
        <w:rPr>
          <w:rFonts w:eastAsia="Calibri" w:cs="Arial"/>
          <w:sz w:val="20"/>
          <w:szCs w:val="20"/>
        </w:rPr>
        <w:t>BirdLife</w:t>
      </w:r>
      <w:proofErr w:type="spellEnd"/>
      <w:r w:rsidRPr="00767A81">
        <w:rPr>
          <w:rFonts w:eastAsia="Calibri" w:cs="Arial"/>
          <w:sz w:val="20"/>
          <w:szCs w:val="20"/>
        </w:rPr>
        <w:t xml:space="preserve"> International. 2021. </w:t>
      </w:r>
      <w:r w:rsidRPr="00767A81">
        <w:rPr>
          <w:rFonts w:eastAsia="Calibri" w:cs="Arial"/>
          <w:i/>
          <w:sz w:val="20"/>
          <w:szCs w:val="20"/>
        </w:rPr>
        <w:t>Aquila nipalensis.</w:t>
      </w:r>
      <w:r w:rsidRPr="00767A81">
        <w:rPr>
          <w:rFonts w:eastAsia="Calibri" w:cs="Arial"/>
          <w:sz w:val="20"/>
          <w:szCs w:val="20"/>
        </w:rPr>
        <w:t xml:space="preserve"> </w:t>
      </w:r>
      <w:r w:rsidRPr="00767A81">
        <w:rPr>
          <w:rFonts w:eastAsia="Calibri" w:cs="Arial"/>
          <w:i/>
          <w:sz w:val="20"/>
          <w:szCs w:val="20"/>
        </w:rPr>
        <w:t>The IUCN Red List of Threatened Species</w:t>
      </w:r>
      <w:r w:rsidRPr="00767A81">
        <w:rPr>
          <w:rFonts w:eastAsia="Calibri" w:cs="Arial"/>
          <w:sz w:val="20"/>
          <w:szCs w:val="20"/>
        </w:rPr>
        <w:t xml:space="preserve"> 2021: e.T22696038A205452572. </w:t>
      </w:r>
    </w:p>
    <w:p w14:paraId="2F7A5CE1"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r w:rsidRPr="00767A81">
        <w:rPr>
          <w:rFonts w:eastAsia="Calibri" w:cs="Arial"/>
          <w:sz w:val="20"/>
          <w:szCs w:val="20"/>
        </w:rPr>
        <w:t>Buchanan, G. M., Chapple, B., Berryman, A. J., Crockford, N., Jansen, J. J. F. J. &amp; Bond, A. L. 2025. Global extinction of Slender-billed Curlew (</w:t>
      </w:r>
      <w:r w:rsidRPr="00767A81">
        <w:rPr>
          <w:rFonts w:eastAsia="Calibri" w:cs="Arial"/>
          <w:i/>
          <w:iCs/>
          <w:sz w:val="20"/>
          <w:szCs w:val="20"/>
        </w:rPr>
        <w:t>Numenius tenuirostris</w:t>
      </w:r>
      <w:r w:rsidRPr="00767A81">
        <w:rPr>
          <w:rFonts w:eastAsia="Calibri" w:cs="Arial"/>
          <w:sz w:val="20"/>
          <w:szCs w:val="20"/>
        </w:rPr>
        <w:t xml:space="preserve">). </w:t>
      </w:r>
      <w:r w:rsidRPr="00767A81">
        <w:rPr>
          <w:rFonts w:eastAsia="Calibri" w:cs="Arial"/>
          <w:i/>
          <w:iCs/>
          <w:sz w:val="20"/>
          <w:szCs w:val="20"/>
        </w:rPr>
        <w:t>Ibis</w:t>
      </w:r>
      <w:r w:rsidRPr="00767A81">
        <w:rPr>
          <w:rFonts w:eastAsia="Calibri" w:cs="Arial"/>
          <w:sz w:val="20"/>
          <w:szCs w:val="20"/>
        </w:rPr>
        <w:t xml:space="preserve"> 167(2), 357-370. </w:t>
      </w:r>
      <w:hyperlink r:id="rId103" w:history="1">
        <w:r w:rsidRPr="00767A81">
          <w:rPr>
            <w:rStyle w:val="Hyperlink"/>
            <w:rFonts w:eastAsia="Calibri" w:cs="Arial"/>
            <w:sz w:val="20"/>
            <w:szCs w:val="20"/>
          </w:rPr>
          <w:t>https://doi.org/10.1111/ibi.13368</w:t>
        </w:r>
      </w:hyperlink>
    </w:p>
    <w:p w14:paraId="0449E95A"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r w:rsidRPr="00767A81">
        <w:rPr>
          <w:rFonts w:eastAsia="Calibri" w:cs="Arial"/>
          <w:sz w:val="20"/>
          <w:szCs w:val="20"/>
        </w:rPr>
        <w:t xml:space="preserve">Smith, P. A., Smith, A. C., Andres, B., Francis, C. M., Harrington, B., Friis, C., Morrison, R. I. G., Paquet, J., Winn, B. &amp; Brown, S. 2023. Accelerating declines of North America’s shorebirds signal the need for urgent conservation action. </w:t>
      </w:r>
      <w:r w:rsidRPr="00767A81">
        <w:rPr>
          <w:rFonts w:eastAsia="Calibri" w:cs="Arial"/>
          <w:i/>
          <w:iCs/>
          <w:sz w:val="20"/>
          <w:szCs w:val="20"/>
        </w:rPr>
        <w:t>Ornithological Applications</w:t>
      </w:r>
      <w:r w:rsidRPr="00767A81">
        <w:rPr>
          <w:rFonts w:eastAsia="Calibri" w:cs="Arial"/>
          <w:sz w:val="20"/>
          <w:szCs w:val="20"/>
        </w:rPr>
        <w:t xml:space="preserve"> 125(2), duad003. </w:t>
      </w:r>
      <w:hyperlink r:id="rId104" w:history="1">
        <w:r w:rsidRPr="00767A81">
          <w:rPr>
            <w:rStyle w:val="Hyperlink"/>
            <w:rFonts w:eastAsia="Calibri" w:cs="Arial"/>
            <w:sz w:val="20"/>
            <w:szCs w:val="20"/>
          </w:rPr>
          <w:t>https://doi.org/10.1093/ornithapp/duad003</w:t>
        </w:r>
      </w:hyperlink>
    </w:p>
    <w:p w14:paraId="2289CB5C"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r w:rsidRPr="00767A81">
        <w:rPr>
          <w:rFonts w:eastAsia="Calibri" w:cs="Arial"/>
          <w:sz w:val="20"/>
          <w:szCs w:val="20"/>
        </w:rPr>
        <w:t xml:space="preserve">Rogers, A., Fuller, R. A. &amp; Amano, T. 2023. Australia’s migratory shorebirds: trends and prospects. </w:t>
      </w:r>
      <w:r w:rsidRPr="00767A81">
        <w:rPr>
          <w:rFonts w:eastAsia="Calibri" w:cs="Arial"/>
          <w:i/>
          <w:sz w:val="20"/>
          <w:szCs w:val="20"/>
        </w:rPr>
        <w:t>Report to the National Environmental Science Program</w:t>
      </w:r>
      <w:r w:rsidRPr="00767A81">
        <w:rPr>
          <w:rFonts w:eastAsia="Calibri" w:cs="Arial"/>
          <w:sz w:val="20"/>
          <w:szCs w:val="20"/>
        </w:rPr>
        <w:t xml:space="preserve">. University of Queensland, Brisbane. Available at: </w:t>
      </w:r>
      <w:hyperlink r:id="rId105" w:history="1">
        <w:r w:rsidRPr="00767A81">
          <w:rPr>
            <w:rStyle w:val="Hyperlink"/>
            <w:rFonts w:eastAsia="Calibri" w:cs="Arial"/>
            <w:sz w:val="20"/>
            <w:szCs w:val="20"/>
          </w:rPr>
          <w:t>https://www.nespmarinecoastal.edu.au/wp-content/uploads/2023/10/Project-1.21_Final-report.pdf</w:t>
        </w:r>
      </w:hyperlink>
    </w:p>
    <w:p w14:paraId="1B4B3B9A"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r w:rsidRPr="00767A81">
        <w:rPr>
          <w:rFonts w:eastAsia="Calibri" w:cs="Arial"/>
          <w:sz w:val="20"/>
          <w:szCs w:val="20"/>
        </w:rPr>
        <w:t xml:space="preserve">van Roomen, M., </w:t>
      </w:r>
      <w:proofErr w:type="spellStart"/>
      <w:r w:rsidRPr="00767A81">
        <w:rPr>
          <w:rFonts w:eastAsia="Calibri" w:cs="Arial"/>
          <w:sz w:val="20"/>
          <w:szCs w:val="20"/>
        </w:rPr>
        <w:t>Reneerkens</w:t>
      </w:r>
      <w:proofErr w:type="spellEnd"/>
      <w:r w:rsidRPr="00767A81">
        <w:rPr>
          <w:rFonts w:eastAsia="Calibri" w:cs="Arial"/>
          <w:sz w:val="20"/>
          <w:szCs w:val="20"/>
        </w:rPr>
        <w:t xml:space="preserve">, J., </w:t>
      </w:r>
      <w:proofErr w:type="spellStart"/>
      <w:r w:rsidRPr="00767A81">
        <w:rPr>
          <w:rFonts w:eastAsia="Calibri" w:cs="Arial"/>
          <w:sz w:val="20"/>
          <w:szCs w:val="20"/>
        </w:rPr>
        <w:t>Citegetse</w:t>
      </w:r>
      <w:proofErr w:type="spellEnd"/>
      <w:r w:rsidRPr="00767A81">
        <w:rPr>
          <w:rFonts w:eastAsia="Calibri" w:cs="Arial"/>
          <w:sz w:val="20"/>
          <w:szCs w:val="20"/>
        </w:rPr>
        <w:t xml:space="preserve">, G., Crowe, O., Gueye, K., </w:t>
      </w:r>
      <w:proofErr w:type="spellStart"/>
      <w:r w:rsidRPr="00767A81">
        <w:rPr>
          <w:rFonts w:eastAsia="Calibri" w:cs="Arial"/>
          <w:sz w:val="20"/>
          <w:szCs w:val="20"/>
        </w:rPr>
        <w:t>Langendoen</w:t>
      </w:r>
      <w:proofErr w:type="spellEnd"/>
      <w:r w:rsidRPr="00767A81">
        <w:rPr>
          <w:rFonts w:eastAsia="Calibri" w:cs="Arial"/>
          <w:sz w:val="20"/>
          <w:szCs w:val="20"/>
        </w:rPr>
        <w:t xml:space="preserve">, T., Dodman, T., Meise, K &amp; </w:t>
      </w:r>
      <w:proofErr w:type="spellStart"/>
      <w:r w:rsidRPr="00767A81">
        <w:rPr>
          <w:rFonts w:eastAsia="Calibri" w:cs="Arial"/>
          <w:sz w:val="20"/>
          <w:szCs w:val="20"/>
        </w:rPr>
        <w:t>Schekkerman</w:t>
      </w:r>
      <w:proofErr w:type="spellEnd"/>
      <w:r w:rsidRPr="00767A81">
        <w:rPr>
          <w:rFonts w:eastAsia="Calibri" w:cs="Arial"/>
          <w:sz w:val="20"/>
          <w:szCs w:val="20"/>
        </w:rPr>
        <w:t xml:space="preserve">, H. 2023. East Atlantic Flyway Assessment 2023. The </w:t>
      </w:r>
      <w:r w:rsidRPr="00767A81">
        <w:rPr>
          <w:rFonts w:eastAsia="Calibri" w:cs="Arial"/>
          <w:sz w:val="20"/>
          <w:szCs w:val="20"/>
        </w:rPr>
        <w:lastRenderedPageBreak/>
        <w:t xml:space="preserve">status of coastal waterbird populations and their sites. Available at: </w:t>
      </w:r>
      <w:hyperlink r:id="rId106" w:history="1">
        <w:r w:rsidRPr="00767A81">
          <w:rPr>
            <w:rStyle w:val="Hyperlink"/>
            <w:rFonts w:eastAsia="Calibri" w:cs="Arial"/>
            <w:sz w:val="20"/>
            <w:szCs w:val="20"/>
          </w:rPr>
          <w:t>https://zenodo.org/records/15423626</w:t>
        </w:r>
      </w:hyperlink>
    </w:p>
    <w:p w14:paraId="303A38BF"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proofErr w:type="spellStart"/>
      <w:r w:rsidRPr="00767A81">
        <w:rPr>
          <w:rFonts w:eastAsia="Calibri" w:cs="Arial"/>
          <w:sz w:val="20"/>
          <w:szCs w:val="20"/>
        </w:rPr>
        <w:t>SoIB</w:t>
      </w:r>
      <w:proofErr w:type="spellEnd"/>
      <w:r w:rsidRPr="00767A81">
        <w:rPr>
          <w:rFonts w:eastAsia="Calibri" w:cs="Arial"/>
          <w:sz w:val="20"/>
          <w:szCs w:val="20"/>
        </w:rPr>
        <w:t xml:space="preserve">. 2023. State of India’s Birds, 2023: Range, trends, and conservation status. Pp. 119. The </w:t>
      </w:r>
      <w:proofErr w:type="spellStart"/>
      <w:r w:rsidRPr="00767A81">
        <w:rPr>
          <w:rFonts w:eastAsia="Calibri" w:cs="Arial"/>
          <w:sz w:val="20"/>
          <w:szCs w:val="20"/>
        </w:rPr>
        <w:t>SoIB</w:t>
      </w:r>
      <w:proofErr w:type="spellEnd"/>
      <w:r w:rsidRPr="00767A81">
        <w:rPr>
          <w:rFonts w:eastAsia="Calibri" w:cs="Arial"/>
          <w:sz w:val="20"/>
          <w:szCs w:val="20"/>
        </w:rPr>
        <w:t xml:space="preserve"> Partnership. </w:t>
      </w:r>
      <w:hyperlink r:id="rId107" w:history="1">
        <w:r w:rsidRPr="00767A81">
          <w:rPr>
            <w:rStyle w:val="Hyperlink"/>
            <w:rFonts w:eastAsia="Calibri" w:cs="Arial"/>
            <w:sz w:val="20"/>
            <w:szCs w:val="20"/>
          </w:rPr>
          <w:t>https://doi.org/10.5281/zenodo.11124590</w:t>
        </w:r>
      </w:hyperlink>
    </w:p>
    <w:p w14:paraId="449FBAE6"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r w:rsidRPr="00767A81">
        <w:rPr>
          <w:rFonts w:eastAsia="Calibri" w:cs="Arial"/>
          <w:sz w:val="20"/>
          <w:szCs w:val="20"/>
        </w:rPr>
        <w:t xml:space="preserve">Studds, C., Kendall, B., Murray, N., Wilson, H. B., Rogers, D. I., Clemens, R. S., </w:t>
      </w:r>
      <w:proofErr w:type="spellStart"/>
      <w:r w:rsidRPr="00767A81">
        <w:rPr>
          <w:rFonts w:eastAsia="Calibri" w:cs="Arial"/>
          <w:sz w:val="20"/>
          <w:szCs w:val="20"/>
        </w:rPr>
        <w:t>Gosbell</w:t>
      </w:r>
      <w:proofErr w:type="spellEnd"/>
      <w:r w:rsidRPr="00767A81">
        <w:rPr>
          <w:rFonts w:eastAsia="Calibri" w:cs="Arial"/>
          <w:sz w:val="20"/>
          <w:szCs w:val="20"/>
        </w:rPr>
        <w:t xml:space="preserve">, K., Hassell, C. J., Jessop, R., Melville, D. S., Milton, D. A., Minton, C. D. T., Pssingham, H. P., </w:t>
      </w:r>
      <w:proofErr w:type="spellStart"/>
      <w:r w:rsidRPr="00767A81">
        <w:rPr>
          <w:rFonts w:eastAsia="Calibri" w:cs="Arial"/>
          <w:sz w:val="20"/>
          <w:szCs w:val="20"/>
        </w:rPr>
        <w:t>Riegen</w:t>
      </w:r>
      <w:proofErr w:type="spellEnd"/>
      <w:r w:rsidRPr="00767A81">
        <w:rPr>
          <w:rFonts w:eastAsia="Calibri" w:cs="Arial"/>
          <w:sz w:val="20"/>
          <w:szCs w:val="20"/>
        </w:rPr>
        <w:t xml:space="preserve">, A. C., Straw, P., Woehler, E. J. &amp; Fuller, R. A. 2017. Rapid population decline in migratory shorebirds relying on Yellow Sea tidal mudflats as stopover sites. </w:t>
      </w:r>
      <w:r w:rsidRPr="00767A81">
        <w:rPr>
          <w:rFonts w:eastAsia="Calibri" w:cs="Arial"/>
          <w:i/>
          <w:iCs/>
          <w:sz w:val="20"/>
          <w:szCs w:val="20"/>
        </w:rPr>
        <w:t>Nat. Commun</w:t>
      </w:r>
      <w:r w:rsidRPr="00767A81">
        <w:rPr>
          <w:rFonts w:eastAsia="Calibri" w:cs="Arial"/>
          <w:sz w:val="20"/>
          <w:szCs w:val="20"/>
        </w:rPr>
        <w:t xml:space="preserve">. 8, 14895. </w:t>
      </w:r>
      <w:hyperlink r:id="rId108" w:history="1">
        <w:r w:rsidRPr="00767A81">
          <w:rPr>
            <w:rStyle w:val="Hyperlink"/>
            <w:rFonts w:eastAsia="Calibri" w:cs="Arial"/>
            <w:sz w:val="20"/>
            <w:szCs w:val="20"/>
          </w:rPr>
          <w:t>https://doi.org/10.1038/ncomms14895</w:t>
        </w:r>
      </w:hyperlink>
    </w:p>
    <w:p w14:paraId="3ED1D648"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r w:rsidRPr="00767A81">
        <w:rPr>
          <w:rFonts w:eastAsia="Calibri" w:cs="Arial"/>
          <w:sz w:val="20"/>
          <w:szCs w:val="20"/>
        </w:rPr>
        <w:t xml:space="preserve">IUCN. 2023. </w:t>
      </w:r>
      <w:r w:rsidRPr="00767A81">
        <w:rPr>
          <w:rFonts w:eastAsia="Calibri" w:cs="Arial"/>
          <w:i/>
          <w:sz w:val="20"/>
          <w:szCs w:val="20"/>
        </w:rPr>
        <w:t>The 2023 IUCN Situation analysis on ecosystems of the Yellow Sea with particular reference to intertidal and associated coastal habitats</w:t>
      </w:r>
      <w:r w:rsidRPr="00767A81">
        <w:rPr>
          <w:rFonts w:eastAsia="Calibri" w:cs="Arial"/>
          <w:sz w:val="20"/>
          <w:szCs w:val="20"/>
        </w:rPr>
        <w:t xml:space="preserve">. Bangkok, Thailand: IUCN. Available at: </w:t>
      </w:r>
      <w:hyperlink r:id="rId109" w:history="1">
        <w:r w:rsidRPr="00767A81">
          <w:rPr>
            <w:rStyle w:val="Hyperlink"/>
            <w:rFonts w:eastAsia="Calibri" w:cs="Arial"/>
            <w:sz w:val="20"/>
            <w:szCs w:val="20"/>
          </w:rPr>
          <w:t>https://iucn.org/sites/default/files/2023-04/iucn-ys-situation-analysis-2023-final_0.pdf</w:t>
        </w:r>
      </w:hyperlink>
    </w:p>
    <w:p w14:paraId="13166200"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r w:rsidRPr="00767A81">
        <w:rPr>
          <w:rFonts w:eastAsia="Calibri" w:cs="Arial"/>
          <w:sz w:val="20"/>
          <w:szCs w:val="20"/>
        </w:rPr>
        <w:t xml:space="preserve">Gallo-Cajiao, E., Morrison, T. H., Woodworth, B. K., Lees, A. C., Naves, L. C., Yong, D. L., Choi, C.-Y., Mundkur, T., Bird, J., Jain, A., Klokov, K., </w:t>
      </w:r>
      <w:proofErr w:type="spellStart"/>
      <w:r w:rsidRPr="00767A81">
        <w:rPr>
          <w:rFonts w:eastAsia="Calibri" w:cs="Arial"/>
          <w:sz w:val="20"/>
          <w:szCs w:val="20"/>
        </w:rPr>
        <w:t>Syroechkovskiy</w:t>
      </w:r>
      <w:proofErr w:type="spellEnd"/>
      <w:r w:rsidRPr="00767A81">
        <w:rPr>
          <w:rFonts w:eastAsia="Calibri" w:cs="Arial"/>
          <w:sz w:val="20"/>
          <w:szCs w:val="20"/>
        </w:rPr>
        <w:t xml:space="preserve">, E., Chowdhury, S. U., Wing Kan Fu, V.,  Watson, J. E. M. &amp; Fuller, R. A. 2020. Extent and potential impact of hunting on migratory shorebirds in the Asia-Pacific. </w:t>
      </w:r>
      <w:r w:rsidRPr="00767A81">
        <w:rPr>
          <w:rFonts w:eastAsia="Calibri" w:cs="Arial"/>
          <w:i/>
          <w:sz w:val="20"/>
          <w:szCs w:val="20"/>
        </w:rPr>
        <w:t xml:space="preserve">Biol. </w:t>
      </w:r>
      <w:proofErr w:type="spellStart"/>
      <w:r w:rsidRPr="00767A81">
        <w:rPr>
          <w:rFonts w:eastAsia="Calibri" w:cs="Arial"/>
          <w:i/>
          <w:sz w:val="20"/>
          <w:szCs w:val="20"/>
        </w:rPr>
        <w:t>Conserv</w:t>
      </w:r>
      <w:proofErr w:type="spellEnd"/>
      <w:r w:rsidRPr="00767A81">
        <w:rPr>
          <w:rFonts w:eastAsia="Calibri" w:cs="Arial"/>
          <w:sz w:val="20"/>
          <w:szCs w:val="20"/>
        </w:rPr>
        <w:t xml:space="preserve">. 246, 108582. </w:t>
      </w:r>
      <w:hyperlink r:id="rId110" w:history="1">
        <w:r w:rsidRPr="00767A81">
          <w:rPr>
            <w:rStyle w:val="Hyperlink"/>
            <w:rFonts w:eastAsia="Calibri" w:cs="Arial"/>
            <w:sz w:val="20"/>
            <w:szCs w:val="20"/>
          </w:rPr>
          <w:t>https://doi.org/10.1016/j.biocon.2020.108582</w:t>
        </w:r>
      </w:hyperlink>
    </w:p>
    <w:p w14:paraId="5CBA454F"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r w:rsidRPr="00767A81">
        <w:rPr>
          <w:rFonts w:eastAsia="Calibri" w:cs="Arial"/>
          <w:sz w:val="20"/>
          <w:szCs w:val="20"/>
        </w:rPr>
        <w:t xml:space="preserve">Kubelka, V., Šálek, M., Tomkovich, P., Végvári, Z., </w:t>
      </w:r>
      <w:proofErr w:type="spellStart"/>
      <w:r w:rsidRPr="00767A81">
        <w:rPr>
          <w:rFonts w:eastAsia="Calibri" w:cs="Arial"/>
          <w:sz w:val="20"/>
          <w:szCs w:val="20"/>
        </w:rPr>
        <w:t>Freckleton,R</w:t>
      </w:r>
      <w:proofErr w:type="spellEnd"/>
      <w:r w:rsidRPr="00767A81">
        <w:rPr>
          <w:rFonts w:eastAsia="Calibri" w:cs="Arial"/>
          <w:sz w:val="20"/>
          <w:szCs w:val="20"/>
        </w:rPr>
        <w:t xml:space="preserve">. P. &amp; Székely, T. 2018. Global pattern of nest predation is disrupted by climate change in shorebirds. </w:t>
      </w:r>
      <w:r w:rsidRPr="00767A81">
        <w:rPr>
          <w:rFonts w:eastAsia="Calibri" w:cs="Arial"/>
          <w:i/>
          <w:iCs/>
          <w:sz w:val="20"/>
          <w:szCs w:val="20"/>
        </w:rPr>
        <w:t>Science</w:t>
      </w:r>
      <w:r w:rsidRPr="00767A81">
        <w:rPr>
          <w:rFonts w:eastAsia="Calibri" w:cs="Arial"/>
          <w:sz w:val="20"/>
          <w:szCs w:val="20"/>
        </w:rPr>
        <w:t xml:space="preserve"> 362, 680-683. </w:t>
      </w:r>
      <w:hyperlink r:id="rId111" w:history="1">
        <w:r w:rsidRPr="00767A81">
          <w:rPr>
            <w:rStyle w:val="Hyperlink"/>
            <w:rFonts w:eastAsia="Calibri" w:cs="Arial"/>
            <w:sz w:val="20"/>
            <w:szCs w:val="20"/>
          </w:rPr>
          <w:t>https://doi.org/10.1126/science.aat8695</w:t>
        </w:r>
      </w:hyperlink>
    </w:p>
    <w:p w14:paraId="7101C116"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proofErr w:type="spellStart"/>
      <w:r w:rsidRPr="00767A81">
        <w:rPr>
          <w:rFonts w:eastAsia="Calibri" w:cs="Arial"/>
          <w:sz w:val="20"/>
          <w:szCs w:val="20"/>
        </w:rPr>
        <w:t>BirdLife</w:t>
      </w:r>
      <w:proofErr w:type="spellEnd"/>
      <w:r w:rsidRPr="00767A81">
        <w:rPr>
          <w:rFonts w:eastAsia="Calibri" w:cs="Arial"/>
          <w:sz w:val="20"/>
          <w:szCs w:val="20"/>
        </w:rPr>
        <w:t xml:space="preserve"> International. 2021. </w:t>
      </w:r>
      <w:r w:rsidRPr="00767A81">
        <w:rPr>
          <w:rFonts w:eastAsia="Calibri" w:cs="Arial"/>
          <w:i/>
          <w:sz w:val="20"/>
          <w:szCs w:val="20"/>
        </w:rPr>
        <w:t>Calidris pygmaea</w:t>
      </w:r>
      <w:r w:rsidRPr="00767A81">
        <w:rPr>
          <w:rFonts w:eastAsia="Calibri" w:cs="Arial"/>
          <w:sz w:val="20"/>
          <w:szCs w:val="20"/>
        </w:rPr>
        <w:t xml:space="preserve">. </w:t>
      </w:r>
      <w:r w:rsidRPr="00767A81">
        <w:rPr>
          <w:rFonts w:eastAsia="Calibri" w:cs="Arial"/>
          <w:i/>
          <w:sz w:val="20"/>
          <w:szCs w:val="20"/>
        </w:rPr>
        <w:t>The IUCN Red List of Threatened Species</w:t>
      </w:r>
      <w:r w:rsidRPr="00767A81">
        <w:rPr>
          <w:rFonts w:eastAsia="Calibri" w:cs="Arial"/>
          <w:sz w:val="20"/>
          <w:szCs w:val="20"/>
        </w:rPr>
        <w:t xml:space="preserve"> 2021: e.T22693452A154738156.</w:t>
      </w:r>
    </w:p>
    <w:p w14:paraId="6B595D94"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r w:rsidRPr="00767A81">
        <w:rPr>
          <w:rFonts w:eastAsia="Calibri" w:cs="Arial"/>
          <w:sz w:val="20"/>
          <w:szCs w:val="20"/>
        </w:rPr>
        <w:t xml:space="preserve">Deinet, S., Flint, R., Puleston, H., </w:t>
      </w:r>
      <w:proofErr w:type="spellStart"/>
      <w:r w:rsidRPr="00767A81">
        <w:rPr>
          <w:rFonts w:eastAsia="Calibri" w:cs="Arial"/>
          <w:sz w:val="20"/>
          <w:szCs w:val="20"/>
        </w:rPr>
        <w:t>Baratech</w:t>
      </w:r>
      <w:proofErr w:type="spellEnd"/>
      <w:r w:rsidRPr="00767A81">
        <w:rPr>
          <w:rFonts w:eastAsia="Calibri" w:cs="Arial"/>
          <w:sz w:val="20"/>
          <w:szCs w:val="20"/>
        </w:rPr>
        <w:t xml:space="preserve">, A., Royte, J., Thieme, M. L., Nagy, S., Hogan, Z. S., Januchowski-Hartley, S. &amp; </w:t>
      </w:r>
      <w:proofErr w:type="spellStart"/>
      <w:r w:rsidRPr="00767A81">
        <w:rPr>
          <w:rFonts w:eastAsia="Calibri" w:cs="Arial"/>
          <w:sz w:val="20"/>
          <w:szCs w:val="20"/>
        </w:rPr>
        <w:t>Wanningen</w:t>
      </w:r>
      <w:proofErr w:type="spellEnd"/>
      <w:r w:rsidRPr="00767A81">
        <w:rPr>
          <w:rFonts w:eastAsia="Calibri" w:cs="Arial"/>
          <w:sz w:val="20"/>
          <w:szCs w:val="20"/>
        </w:rPr>
        <w:t xml:space="preserve">, H. 2024. </w:t>
      </w:r>
      <w:r w:rsidRPr="00767A81">
        <w:rPr>
          <w:rFonts w:eastAsia="Calibri" w:cs="Arial"/>
          <w:i/>
          <w:iCs/>
          <w:sz w:val="20"/>
          <w:szCs w:val="20"/>
        </w:rPr>
        <w:t>The Living Planet Index (LPI) for migratory freshwater fish 2024 update - Technical Report</w:t>
      </w:r>
      <w:r w:rsidRPr="00767A81">
        <w:rPr>
          <w:rFonts w:eastAsia="Calibri" w:cs="Arial"/>
          <w:sz w:val="20"/>
          <w:szCs w:val="20"/>
        </w:rPr>
        <w:t xml:space="preserve">. World Fish Migration Foundation, The Netherlands. Available at: </w:t>
      </w:r>
      <w:hyperlink r:id="rId112" w:history="1">
        <w:r w:rsidRPr="00767A81">
          <w:rPr>
            <w:rStyle w:val="Hyperlink"/>
            <w:rFonts w:eastAsia="Calibri" w:cs="Arial"/>
            <w:sz w:val="20"/>
            <w:szCs w:val="20"/>
          </w:rPr>
          <w:t>https://worldfishmigrationfoundation.com/wp-content/uploads/2024/05/LPI_migratory-freshwater-fishes-2024_Technical-report.pdf</w:t>
        </w:r>
      </w:hyperlink>
    </w:p>
    <w:p w14:paraId="5E67E8E1"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r w:rsidRPr="00767A81">
        <w:rPr>
          <w:rFonts w:eastAsia="Calibri" w:cs="Arial"/>
          <w:sz w:val="20"/>
          <w:szCs w:val="20"/>
        </w:rPr>
        <w:t xml:space="preserve">Barbarossa, V., Schmitt, R.J.P., </w:t>
      </w:r>
      <w:proofErr w:type="spellStart"/>
      <w:r w:rsidRPr="00767A81">
        <w:rPr>
          <w:rFonts w:eastAsia="Calibri" w:cs="Arial"/>
          <w:sz w:val="20"/>
          <w:szCs w:val="20"/>
        </w:rPr>
        <w:t>Huijbregts</w:t>
      </w:r>
      <w:proofErr w:type="spellEnd"/>
      <w:r w:rsidRPr="00767A81">
        <w:rPr>
          <w:rFonts w:eastAsia="Calibri" w:cs="Arial"/>
          <w:sz w:val="20"/>
          <w:szCs w:val="20"/>
        </w:rPr>
        <w:t xml:space="preserve">, M.A.J., Zarfl, C., King, H. &amp; Schipper, A.M. 2020. Impacts of current and future large dams on the geographic range connectivity of freshwater fish worldwide. </w:t>
      </w:r>
      <w:r w:rsidRPr="00767A81">
        <w:rPr>
          <w:rFonts w:eastAsia="Calibri" w:cs="Arial"/>
          <w:i/>
          <w:iCs/>
          <w:sz w:val="20"/>
          <w:szCs w:val="20"/>
        </w:rPr>
        <w:t>Proc. Natl. Acad. Sci. U.S.A.</w:t>
      </w:r>
      <w:r w:rsidRPr="00767A81">
        <w:rPr>
          <w:rFonts w:eastAsia="Calibri" w:cs="Arial"/>
          <w:sz w:val="20"/>
          <w:szCs w:val="20"/>
        </w:rPr>
        <w:t xml:space="preserve"> 117(7): 3648-3655. </w:t>
      </w:r>
      <w:hyperlink r:id="rId113" w:history="1">
        <w:r w:rsidRPr="00767A81">
          <w:rPr>
            <w:rStyle w:val="Hyperlink"/>
            <w:rFonts w:eastAsia="Calibri" w:cs="Arial"/>
            <w:sz w:val="20"/>
            <w:szCs w:val="20"/>
          </w:rPr>
          <w:t>https://doi.org/10.1073/pnas.1912776117</w:t>
        </w:r>
      </w:hyperlink>
    </w:p>
    <w:p w14:paraId="535DF227"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r w:rsidRPr="00767A81">
        <w:rPr>
          <w:rFonts w:eastAsia="Calibri" w:cs="Arial"/>
          <w:sz w:val="20"/>
          <w:szCs w:val="20"/>
        </w:rPr>
        <w:t xml:space="preserve">Caldas, B. </w:t>
      </w:r>
      <w:r w:rsidRPr="00767A81">
        <w:rPr>
          <w:rFonts w:eastAsia="Calibri" w:cs="Arial"/>
          <w:i/>
          <w:iCs/>
          <w:sz w:val="20"/>
          <w:szCs w:val="20"/>
        </w:rPr>
        <w:t>et al.</w:t>
      </w:r>
      <w:r w:rsidRPr="00767A81">
        <w:rPr>
          <w:rFonts w:eastAsia="Calibri" w:cs="Arial"/>
          <w:sz w:val="20"/>
          <w:szCs w:val="20"/>
        </w:rPr>
        <w:t xml:space="preserve"> 2023. Identifying the current and future status of freshwater connectivity corridors in the Amazon Basin. </w:t>
      </w:r>
      <w:proofErr w:type="spellStart"/>
      <w:r w:rsidRPr="00767A81">
        <w:rPr>
          <w:rFonts w:eastAsia="Calibri" w:cs="Arial"/>
          <w:i/>
          <w:iCs/>
          <w:sz w:val="20"/>
          <w:szCs w:val="20"/>
        </w:rPr>
        <w:t>Conserv</w:t>
      </w:r>
      <w:proofErr w:type="spellEnd"/>
      <w:r w:rsidRPr="00767A81">
        <w:rPr>
          <w:rFonts w:eastAsia="Calibri" w:cs="Arial"/>
          <w:i/>
          <w:iCs/>
          <w:sz w:val="20"/>
          <w:szCs w:val="20"/>
        </w:rPr>
        <w:t xml:space="preserve">. Sci. </w:t>
      </w:r>
      <w:proofErr w:type="spellStart"/>
      <w:r w:rsidRPr="00767A81">
        <w:rPr>
          <w:rFonts w:eastAsia="Calibri" w:cs="Arial"/>
          <w:i/>
          <w:iCs/>
          <w:sz w:val="20"/>
          <w:szCs w:val="20"/>
        </w:rPr>
        <w:t>Pract</w:t>
      </w:r>
      <w:proofErr w:type="spellEnd"/>
      <w:r w:rsidRPr="00767A81">
        <w:rPr>
          <w:rFonts w:eastAsia="Calibri" w:cs="Arial"/>
          <w:i/>
          <w:iCs/>
          <w:sz w:val="20"/>
          <w:szCs w:val="20"/>
        </w:rPr>
        <w:t>.</w:t>
      </w:r>
      <w:r w:rsidRPr="00767A81">
        <w:rPr>
          <w:rFonts w:eastAsia="Calibri" w:cs="Arial"/>
          <w:sz w:val="20"/>
          <w:szCs w:val="20"/>
        </w:rPr>
        <w:t xml:space="preserve"> 5(1): e12853. </w:t>
      </w:r>
      <w:hyperlink r:id="rId114" w:history="1">
        <w:r w:rsidRPr="00767A81">
          <w:rPr>
            <w:rStyle w:val="Hyperlink"/>
            <w:rFonts w:eastAsia="Calibri" w:cs="Arial"/>
            <w:sz w:val="20"/>
            <w:szCs w:val="20"/>
          </w:rPr>
          <w:t>https://doi.org/10.1111/csp2.1285</w:t>
        </w:r>
      </w:hyperlink>
    </w:p>
    <w:p w14:paraId="561FAA04"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r w:rsidRPr="00767A81">
        <w:rPr>
          <w:rFonts w:eastAsia="Calibri" w:cs="Arial"/>
          <w:sz w:val="20"/>
          <w:szCs w:val="20"/>
        </w:rPr>
        <w:t>Jabado, R.W., Morata, A.Z.A., Bennett, R.H., Finucci, B., Ellis, J.R., Fowler, S.L., Grant, M.I., Barbosa Martins, A.P., &amp; Sinclair, S.L. (</w:t>
      </w:r>
      <w:r w:rsidRPr="00767A81">
        <w:rPr>
          <w:rFonts w:eastAsia="Calibri" w:cs="Arial"/>
          <w:i/>
          <w:iCs/>
          <w:sz w:val="20"/>
          <w:szCs w:val="20"/>
        </w:rPr>
        <w:t>eds.</w:t>
      </w:r>
      <w:r w:rsidRPr="00767A81">
        <w:rPr>
          <w:rFonts w:eastAsia="Calibri" w:cs="Arial"/>
          <w:sz w:val="20"/>
          <w:szCs w:val="20"/>
        </w:rPr>
        <w:t xml:space="preserve">) 2024. </w:t>
      </w:r>
      <w:r w:rsidRPr="00767A81">
        <w:rPr>
          <w:rFonts w:eastAsia="Calibri" w:cs="Arial"/>
          <w:i/>
          <w:iCs/>
          <w:sz w:val="20"/>
          <w:szCs w:val="20"/>
        </w:rPr>
        <w:t>The global status of sharks, rays, and chimaeras</w:t>
      </w:r>
      <w:r w:rsidRPr="00767A81">
        <w:rPr>
          <w:rFonts w:eastAsia="Calibri" w:cs="Arial"/>
          <w:sz w:val="20"/>
          <w:szCs w:val="20"/>
        </w:rPr>
        <w:t xml:space="preserve">. Gland, Switzerland: IUCN. Available at: </w:t>
      </w:r>
      <w:hyperlink r:id="rId115" w:history="1">
        <w:r w:rsidRPr="00767A81">
          <w:rPr>
            <w:rStyle w:val="Hyperlink"/>
            <w:rFonts w:eastAsia="Calibri" w:cs="Arial"/>
            <w:sz w:val="20"/>
            <w:szCs w:val="20"/>
          </w:rPr>
          <w:t>https://iucn.org/resources/publication/global-status-sharks-rays-and-chimaeras</w:t>
        </w:r>
      </w:hyperlink>
    </w:p>
    <w:p w14:paraId="17CA5238"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proofErr w:type="spellStart"/>
      <w:r w:rsidRPr="00767A81">
        <w:rPr>
          <w:rFonts w:eastAsia="Calibri" w:cs="Arial"/>
          <w:sz w:val="20"/>
          <w:szCs w:val="20"/>
        </w:rPr>
        <w:t>Dulvy</w:t>
      </w:r>
      <w:proofErr w:type="spellEnd"/>
      <w:r w:rsidRPr="00767A81">
        <w:rPr>
          <w:rFonts w:eastAsia="Calibri" w:cs="Arial"/>
          <w:sz w:val="20"/>
          <w:szCs w:val="20"/>
        </w:rPr>
        <w:t xml:space="preserve">, N. K., </w:t>
      </w:r>
      <w:proofErr w:type="spellStart"/>
      <w:r w:rsidRPr="00767A81">
        <w:rPr>
          <w:rFonts w:eastAsia="Calibri" w:cs="Arial"/>
          <w:sz w:val="20"/>
          <w:szCs w:val="20"/>
        </w:rPr>
        <w:t>Pacoureau</w:t>
      </w:r>
      <w:proofErr w:type="spellEnd"/>
      <w:r w:rsidRPr="00767A81">
        <w:rPr>
          <w:rFonts w:eastAsia="Calibri" w:cs="Arial"/>
          <w:sz w:val="20"/>
          <w:szCs w:val="20"/>
        </w:rPr>
        <w:t xml:space="preserve">, N., </w:t>
      </w:r>
      <w:proofErr w:type="spellStart"/>
      <w:r w:rsidRPr="00767A81">
        <w:rPr>
          <w:rFonts w:eastAsia="Calibri" w:cs="Arial"/>
          <w:sz w:val="20"/>
          <w:szCs w:val="20"/>
        </w:rPr>
        <w:t>Matsushiba</w:t>
      </w:r>
      <w:proofErr w:type="spellEnd"/>
      <w:r w:rsidRPr="00767A81">
        <w:rPr>
          <w:rFonts w:eastAsia="Calibri" w:cs="Arial"/>
          <w:sz w:val="20"/>
          <w:szCs w:val="20"/>
        </w:rPr>
        <w:t xml:space="preserve">, J. H., Yan, H. F., </w:t>
      </w:r>
      <w:proofErr w:type="spellStart"/>
      <w:r w:rsidRPr="00767A81">
        <w:rPr>
          <w:rFonts w:eastAsia="Calibri" w:cs="Arial"/>
          <w:sz w:val="20"/>
          <w:szCs w:val="20"/>
        </w:rPr>
        <w:t>VanderWright</w:t>
      </w:r>
      <w:proofErr w:type="spellEnd"/>
      <w:r w:rsidRPr="00767A81">
        <w:rPr>
          <w:rFonts w:eastAsia="Calibri" w:cs="Arial"/>
          <w:sz w:val="20"/>
          <w:szCs w:val="20"/>
        </w:rPr>
        <w:t xml:space="preserve">, W. J., Rigby, C. L., Finucci, B., Sherman, C. S., Jabado, R. W., Carlson, J. K., Pollom, R. A., Charvet, P., Pollock, C. M., Hilton-Taylor, C. &amp; </w:t>
      </w:r>
      <w:proofErr w:type="spellStart"/>
      <w:r w:rsidRPr="00767A81">
        <w:rPr>
          <w:rFonts w:eastAsia="Calibri" w:cs="Arial"/>
          <w:sz w:val="20"/>
          <w:szCs w:val="20"/>
        </w:rPr>
        <w:t>Simpfendorfer</w:t>
      </w:r>
      <w:proofErr w:type="spellEnd"/>
      <w:r w:rsidRPr="00767A81">
        <w:rPr>
          <w:rFonts w:eastAsia="Calibri" w:cs="Arial"/>
          <w:sz w:val="20"/>
          <w:szCs w:val="20"/>
        </w:rPr>
        <w:t xml:space="preserve">, C. A. 2024. Ecological erosion and expanding extinction risk of sharks and rays. </w:t>
      </w:r>
      <w:r w:rsidRPr="00767A81">
        <w:rPr>
          <w:rFonts w:eastAsia="Calibri" w:cs="Arial"/>
          <w:i/>
          <w:iCs/>
          <w:sz w:val="20"/>
          <w:szCs w:val="20"/>
        </w:rPr>
        <w:t xml:space="preserve">Science </w:t>
      </w:r>
      <w:r w:rsidRPr="00767A81">
        <w:rPr>
          <w:rFonts w:eastAsia="Calibri" w:cs="Arial"/>
          <w:sz w:val="20"/>
          <w:szCs w:val="20"/>
        </w:rPr>
        <w:t xml:space="preserve">386, eadn1477. </w:t>
      </w:r>
      <w:hyperlink r:id="rId116" w:history="1">
        <w:r w:rsidRPr="00767A81">
          <w:rPr>
            <w:rStyle w:val="Hyperlink"/>
            <w:rFonts w:eastAsia="Calibri" w:cs="Arial"/>
            <w:sz w:val="20"/>
            <w:szCs w:val="20"/>
          </w:rPr>
          <w:t>https://doi.org/10.1126/science.adn1477</w:t>
        </w:r>
      </w:hyperlink>
      <w:r w:rsidRPr="00767A81">
        <w:rPr>
          <w:rStyle w:val="Hyperlink"/>
          <w:rFonts w:eastAsia="Calibri" w:cs="Arial"/>
          <w:sz w:val="20"/>
          <w:szCs w:val="20"/>
        </w:rPr>
        <w:t>7</w:t>
      </w:r>
    </w:p>
    <w:p w14:paraId="47C0DDFF"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lang w:val="es-419"/>
        </w:rPr>
      </w:pPr>
      <w:proofErr w:type="spellStart"/>
      <w:r w:rsidRPr="00767A81">
        <w:rPr>
          <w:rFonts w:eastAsia="Calibri" w:cs="Arial"/>
          <w:sz w:val="20"/>
          <w:szCs w:val="20"/>
        </w:rPr>
        <w:t>Pacoureau</w:t>
      </w:r>
      <w:proofErr w:type="spellEnd"/>
      <w:r w:rsidRPr="00767A81">
        <w:rPr>
          <w:rFonts w:eastAsia="Calibri" w:cs="Arial"/>
          <w:sz w:val="20"/>
          <w:szCs w:val="20"/>
        </w:rPr>
        <w:t xml:space="preserve">, N., Carlson, J. K., Kindsvater, H. K., Rigby, C. L., Winker, H., </w:t>
      </w:r>
      <w:proofErr w:type="spellStart"/>
      <w:r w:rsidRPr="00767A81">
        <w:rPr>
          <w:rFonts w:eastAsia="Calibri" w:cs="Arial"/>
          <w:sz w:val="20"/>
          <w:szCs w:val="20"/>
        </w:rPr>
        <w:t>Simpfendorfer</w:t>
      </w:r>
      <w:proofErr w:type="spellEnd"/>
      <w:r w:rsidRPr="00767A81">
        <w:rPr>
          <w:rFonts w:eastAsia="Calibri" w:cs="Arial"/>
          <w:sz w:val="20"/>
          <w:szCs w:val="20"/>
        </w:rPr>
        <w:t xml:space="preserve">, C.A., Charvet, P., Pollom, R. A., Barreto, R., Sherman, C. S., Talwar, B. S., Skerritt, D. J., Sumaila, U. R., </w:t>
      </w:r>
      <w:proofErr w:type="spellStart"/>
      <w:r w:rsidRPr="00767A81">
        <w:rPr>
          <w:rFonts w:eastAsia="Calibri" w:cs="Arial"/>
          <w:sz w:val="20"/>
          <w:szCs w:val="20"/>
        </w:rPr>
        <w:t>Matsushiba</w:t>
      </w:r>
      <w:proofErr w:type="spellEnd"/>
      <w:r w:rsidRPr="00767A81">
        <w:rPr>
          <w:rFonts w:eastAsia="Calibri" w:cs="Arial"/>
          <w:sz w:val="20"/>
          <w:szCs w:val="20"/>
        </w:rPr>
        <w:t xml:space="preserve">, J. H., </w:t>
      </w:r>
      <w:proofErr w:type="spellStart"/>
      <w:r w:rsidRPr="00767A81">
        <w:rPr>
          <w:rFonts w:eastAsia="Calibri" w:cs="Arial"/>
          <w:sz w:val="20"/>
          <w:szCs w:val="20"/>
        </w:rPr>
        <w:t>VanderWright</w:t>
      </w:r>
      <w:proofErr w:type="spellEnd"/>
      <w:r w:rsidRPr="00767A81">
        <w:rPr>
          <w:rFonts w:eastAsia="Calibri" w:cs="Arial"/>
          <w:sz w:val="20"/>
          <w:szCs w:val="20"/>
        </w:rPr>
        <w:t xml:space="preserve">, W.J., Yan, H. F. &amp; </w:t>
      </w:r>
      <w:proofErr w:type="spellStart"/>
      <w:r w:rsidRPr="00767A81">
        <w:rPr>
          <w:rFonts w:eastAsia="Calibri" w:cs="Arial"/>
          <w:sz w:val="20"/>
          <w:szCs w:val="20"/>
        </w:rPr>
        <w:t>Dulvy</w:t>
      </w:r>
      <w:proofErr w:type="spellEnd"/>
      <w:r w:rsidRPr="00767A81">
        <w:rPr>
          <w:rFonts w:eastAsia="Calibri" w:cs="Arial"/>
          <w:sz w:val="20"/>
          <w:szCs w:val="20"/>
        </w:rPr>
        <w:t xml:space="preserve">, N.K. 2023. Conservation successes and challenges for wide-ranging sharks and rays. </w:t>
      </w:r>
      <w:hyperlink r:id="rId117" w:history="1">
        <w:r w:rsidRPr="00767A81">
          <w:rPr>
            <w:rStyle w:val="Hyperlink"/>
            <w:rFonts w:eastAsia="Calibri" w:cs="Arial"/>
            <w:sz w:val="20"/>
            <w:szCs w:val="20"/>
            <w:lang w:val="es-419"/>
          </w:rPr>
          <w:t>https://doi.org/10.1073/pnas.2216891120</w:t>
        </w:r>
      </w:hyperlink>
    </w:p>
    <w:p w14:paraId="4D116D8E"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r w:rsidRPr="00767A81">
        <w:rPr>
          <w:rFonts w:eastAsia="Calibri" w:cs="Arial"/>
          <w:sz w:val="20"/>
          <w:szCs w:val="20"/>
          <w:lang w:val="es-419"/>
        </w:rPr>
        <w:t xml:space="preserve">Yan, H. F., </w:t>
      </w:r>
      <w:proofErr w:type="spellStart"/>
      <w:r w:rsidRPr="00767A81">
        <w:rPr>
          <w:rFonts w:eastAsia="Calibri" w:cs="Arial"/>
          <w:sz w:val="20"/>
          <w:szCs w:val="20"/>
          <w:lang w:val="es-419"/>
        </w:rPr>
        <w:t>Kyne</w:t>
      </w:r>
      <w:proofErr w:type="spellEnd"/>
      <w:r w:rsidRPr="00767A81">
        <w:rPr>
          <w:rFonts w:eastAsia="Calibri" w:cs="Arial"/>
          <w:sz w:val="20"/>
          <w:szCs w:val="20"/>
          <w:lang w:val="es-419"/>
        </w:rPr>
        <w:t xml:space="preserve">, P. M., Jabado, R. W., </w:t>
      </w:r>
      <w:proofErr w:type="spellStart"/>
      <w:r w:rsidRPr="00767A81">
        <w:rPr>
          <w:rFonts w:eastAsia="Calibri" w:cs="Arial"/>
          <w:sz w:val="20"/>
          <w:szCs w:val="20"/>
          <w:lang w:val="es-419"/>
        </w:rPr>
        <w:t>Leeney</w:t>
      </w:r>
      <w:proofErr w:type="spellEnd"/>
      <w:r w:rsidRPr="00767A81">
        <w:rPr>
          <w:rFonts w:eastAsia="Calibri" w:cs="Arial"/>
          <w:sz w:val="20"/>
          <w:szCs w:val="20"/>
          <w:lang w:val="es-419"/>
        </w:rPr>
        <w:t xml:space="preserve">, R. H., Davidson, L. N. K., Derrick, D. H., </w:t>
      </w:r>
      <w:proofErr w:type="spellStart"/>
      <w:r w:rsidRPr="00767A81">
        <w:rPr>
          <w:rFonts w:eastAsia="Calibri" w:cs="Arial"/>
          <w:sz w:val="20"/>
          <w:szCs w:val="20"/>
          <w:lang w:val="es-419"/>
        </w:rPr>
        <w:t>Finucci</w:t>
      </w:r>
      <w:proofErr w:type="spellEnd"/>
      <w:r w:rsidRPr="00767A81">
        <w:rPr>
          <w:rFonts w:eastAsia="Calibri" w:cs="Arial"/>
          <w:sz w:val="20"/>
          <w:szCs w:val="20"/>
          <w:lang w:val="es-419"/>
        </w:rPr>
        <w:t xml:space="preserve">, B., </w:t>
      </w:r>
      <w:proofErr w:type="spellStart"/>
      <w:r w:rsidRPr="00767A81">
        <w:rPr>
          <w:rFonts w:eastAsia="Calibri" w:cs="Arial"/>
          <w:sz w:val="20"/>
          <w:szCs w:val="20"/>
          <w:lang w:val="es-419"/>
        </w:rPr>
        <w:t>Freckleton</w:t>
      </w:r>
      <w:proofErr w:type="spellEnd"/>
      <w:r w:rsidRPr="00767A81">
        <w:rPr>
          <w:rFonts w:eastAsia="Calibri" w:cs="Arial"/>
          <w:sz w:val="20"/>
          <w:szCs w:val="20"/>
          <w:lang w:val="es-419"/>
        </w:rPr>
        <w:t xml:space="preserve">, R. P., </w:t>
      </w:r>
      <w:proofErr w:type="spellStart"/>
      <w:r w:rsidRPr="00767A81">
        <w:rPr>
          <w:rFonts w:eastAsia="Calibri" w:cs="Arial"/>
          <w:sz w:val="20"/>
          <w:szCs w:val="20"/>
          <w:lang w:val="es-419"/>
        </w:rPr>
        <w:t>Fordham</w:t>
      </w:r>
      <w:proofErr w:type="spellEnd"/>
      <w:r w:rsidRPr="00767A81">
        <w:rPr>
          <w:rFonts w:eastAsia="Calibri" w:cs="Arial"/>
          <w:sz w:val="20"/>
          <w:szCs w:val="20"/>
          <w:lang w:val="es-419"/>
        </w:rPr>
        <w:t xml:space="preserve">, S. V. &amp; </w:t>
      </w:r>
      <w:proofErr w:type="spellStart"/>
      <w:r w:rsidRPr="00767A81">
        <w:rPr>
          <w:rFonts w:eastAsia="Calibri" w:cs="Arial"/>
          <w:sz w:val="20"/>
          <w:szCs w:val="20"/>
          <w:lang w:val="es-419"/>
        </w:rPr>
        <w:t>Dulvy</w:t>
      </w:r>
      <w:proofErr w:type="spellEnd"/>
      <w:r w:rsidRPr="00767A81">
        <w:rPr>
          <w:rFonts w:eastAsia="Calibri" w:cs="Arial"/>
          <w:sz w:val="20"/>
          <w:szCs w:val="20"/>
          <w:lang w:val="es-419"/>
        </w:rPr>
        <w:t xml:space="preserve">, N. K. 2021. </w:t>
      </w:r>
      <w:r w:rsidRPr="00767A81">
        <w:rPr>
          <w:rFonts w:eastAsia="Calibri" w:cs="Arial"/>
          <w:sz w:val="20"/>
          <w:szCs w:val="20"/>
        </w:rPr>
        <w:t xml:space="preserve">Overfishing and habitat loss drive range contraction of iconic marine fishes to near extinction. </w:t>
      </w:r>
      <w:r w:rsidRPr="00767A81">
        <w:rPr>
          <w:rFonts w:eastAsia="Calibri" w:cs="Arial"/>
          <w:i/>
          <w:sz w:val="20"/>
          <w:szCs w:val="20"/>
        </w:rPr>
        <w:t>Sci. Adv</w:t>
      </w:r>
      <w:r w:rsidRPr="00767A81">
        <w:rPr>
          <w:rFonts w:eastAsia="Calibri" w:cs="Arial"/>
          <w:sz w:val="20"/>
          <w:szCs w:val="20"/>
        </w:rPr>
        <w:t xml:space="preserve">. 7, eabb6026. </w:t>
      </w:r>
      <w:hyperlink r:id="rId118" w:history="1">
        <w:r w:rsidRPr="00767A81">
          <w:rPr>
            <w:rStyle w:val="Hyperlink"/>
            <w:rFonts w:eastAsia="Calibri" w:cs="Arial"/>
            <w:sz w:val="20"/>
            <w:szCs w:val="20"/>
          </w:rPr>
          <w:t>https://doi.org/10.1126/sciadv.abb6026</w:t>
        </w:r>
      </w:hyperlink>
    </w:p>
    <w:p w14:paraId="30A4CC56"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r w:rsidRPr="00767A81">
        <w:rPr>
          <w:rFonts w:eastAsia="Calibri" w:cs="Arial"/>
          <w:sz w:val="20"/>
          <w:szCs w:val="20"/>
        </w:rPr>
        <w:t xml:space="preserve">Harry, A. V., Carlson, J. K., Espinoza, M., Grant, M. I., Haque, A. B., Jabado, R. W. &amp; Rigby, C. L. 2024. All sawfish now Critically Endangered but sustained conservation efforts can lead to recovery. </w:t>
      </w:r>
      <w:r w:rsidRPr="00767A81">
        <w:rPr>
          <w:rFonts w:eastAsia="Calibri" w:cs="Arial"/>
          <w:i/>
          <w:iCs/>
          <w:sz w:val="20"/>
          <w:szCs w:val="20"/>
        </w:rPr>
        <w:t>Oryx</w:t>
      </w:r>
      <w:r w:rsidRPr="00767A81">
        <w:rPr>
          <w:rFonts w:eastAsia="Calibri" w:cs="Arial"/>
          <w:sz w:val="20"/>
          <w:szCs w:val="20"/>
        </w:rPr>
        <w:t xml:space="preserve"> 58(2), 146-146. </w:t>
      </w:r>
      <w:hyperlink r:id="rId119" w:history="1">
        <w:r w:rsidRPr="00767A81">
          <w:rPr>
            <w:rStyle w:val="Hyperlink"/>
            <w:rFonts w:eastAsia="Calibri" w:cs="Arial"/>
            <w:sz w:val="20"/>
            <w:szCs w:val="20"/>
          </w:rPr>
          <w:t>https://doi.org/10.1017/S0030605323001692</w:t>
        </w:r>
      </w:hyperlink>
    </w:p>
    <w:p w14:paraId="3D3FBA5C" w14:textId="77777777" w:rsidR="0034769E" w:rsidRPr="00767A81" w:rsidRDefault="0034769E" w:rsidP="007823FD">
      <w:pPr>
        <w:pStyle w:val="ListParagraph"/>
        <w:numPr>
          <w:ilvl w:val="0"/>
          <w:numId w:val="18"/>
        </w:numPr>
        <w:spacing w:after="40" w:line="240" w:lineRule="auto"/>
        <w:contextualSpacing w:val="0"/>
        <w:jc w:val="both"/>
        <w:rPr>
          <w:rStyle w:val="Hyperlink"/>
          <w:rFonts w:eastAsia="Calibri" w:cs="Arial"/>
          <w:sz w:val="20"/>
          <w:szCs w:val="20"/>
        </w:rPr>
      </w:pPr>
      <w:r w:rsidRPr="00767A81">
        <w:rPr>
          <w:rFonts w:eastAsia="Calibri" w:cs="Arial"/>
          <w:sz w:val="20"/>
          <w:szCs w:val="20"/>
        </w:rPr>
        <w:t xml:space="preserve">Cerutti-Pereyra, F., </w:t>
      </w:r>
      <w:proofErr w:type="spellStart"/>
      <w:r w:rsidRPr="00767A81">
        <w:rPr>
          <w:rFonts w:eastAsia="Calibri" w:cs="Arial"/>
          <w:sz w:val="20"/>
          <w:szCs w:val="20"/>
        </w:rPr>
        <w:t>Drenkard</w:t>
      </w:r>
      <w:proofErr w:type="spellEnd"/>
      <w:r w:rsidRPr="00767A81">
        <w:rPr>
          <w:rFonts w:eastAsia="Calibri" w:cs="Arial"/>
          <w:sz w:val="20"/>
          <w:szCs w:val="20"/>
        </w:rPr>
        <w:t>, E. J., Espinoza, M., Finucci, B., Galván-Magaña, F., Hacohen-</w:t>
      </w:r>
      <w:proofErr w:type="spellStart"/>
      <w:r w:rsidRPr="00767A81">
        <w:rPr>
          <w:rFonts w:eastAsia="Calibri" w:cs="Arial"/>
          <w:sz w:val="20"/>
          <w:szCs w:val="20"/>
        </w:rPr>
        <w:t>Domené</w:t>
      </w:r>
      <w:proofErr w:type="spellEnd"/>
      <w:r w:rsidRPr="00767A81">
        <w:rPr>
          <w:rFonts w:eastAsia="Calibri" w:cs="Arial"/>
          <w:sz w:val="20"/>
          <w:szCs w:val="20"/>
        </w:rPr>
        <w:t xml:space="preserve">, A., Hearn, A., Hoyos-Padilla, M. E., Ketchum, J. T., Mejía-Falla, P. A., Moya-Serrano, A. V., Navia, A. F., </w:t>
      </w:r>
      <w:proofErr w:type="spellStart"/>
      <w:r w:rsidRPr="00767A81">
        <w:rPr>
          <w:rFonts w:eastAsia="Calibri" w:cs="Arial"/>
          <w:sz w:val="20"/>
          <w:szCs w:val="20"/>
        </w:rPr>
        <w:t>Pazmiño</w:t>
      </w:r>
      <w:proofErr w:type="spellEnd"/>
      <w:r w:rsidRPr="00767A81">
        <w:rPr>
          <w:rFonts w:eastAsia="Calibri" w:cs="Arial"/>
          <w:sz w:val="20"/>
          <w:szCs w:val="20"/>
        </w:rPr>
        <w:t xml:space="preserve">, D. A., Ramírez-Macías, D., Rummer, J. L., Salinas-de-León, P., </w:t>
      </w:r>
      <w:r w:rsidRPr="00767A81">
        <w:rPr>
          <w:rFonts w:eastAsia="Calibri" w:cs="Arial"/>
          <w:sz w:val="20"/>
          <w:szCs w:val="20"/>
        </w:rPr>
        <w:lastRenderedPageBreak/>
        <w:t xml:space="preserve">Sosa-Nishizaki, O., Stock, C., &amp; Chin, A. 2024. Vulnerability of Eastern Tropical Pacific chondrichthyan fish to climate change. </w:t>
      </w:r>
      <w:r w:rsidRPr="00767A81">
        <w:rPr>
          <w:rFonts w:eastAsia="Calibri" w:cs="Arial"/>
          <w:i/>
          <w:iCs/>
          <w:sz w:val="20"/>
          <w:szCs w:val="20"/>
        </w:rPr>
        <w:t xml:space="preserve">Glob. Change Biol. </w:t>
      </w:r>
      <w:r w:rsidRPr="00767A81">
        <w:rPr>
          <w:rFonts w:eastAsia="Calibri" w:cs="Arial"/>
          <w:sz w:val="20"/>
          <w:szCs w:val="20"/>
        </w:rPr>
        <w:t xml:space="preserve">30, e17373. </w:t>
      </w:r>
      <w:hyperlink r:id="rId120" w:history="1">
        <w:r w:rsidRPr="00767A81">
          <w:rPr>
            <w:rStyle w:val="Hyperlink"/>
            <w:rFonts w:eastAsia="Calibri" w:cs="Arial"/>
            <w:sz w:val="20"/>
            <w:szCs w:val="20"/>
          </w:rPr>
          <w:t>https://doi.org/10.1111/gcb.17373</w:t>
        </w:r>
      </w:hyperlink>
    </w:p>
    <w:p w14:paraId="50DD4153"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r w:rsidRPr="00767A81">
        <w:rPr>
          <w:rFonts w:eastAsia="Calibri" w:cs="Arial"/>
          <w:sz w:val="20"/>
          <w:szCs w:val="20"/>
        </w:rPr>
        <w:t xml:space="preserve">Womersley, F. C. </w:t>
      </w:r>
      <w:r w:rsidRPr="00767A81">
        <w:rPr>
          <w:rFonts w:eastAsia="Calibri" w:cs="Arial"/>
          <w:i/>
          <w:iCs/>
          <w:sz w:val="20"/>
          <w:szCs w:val="20"/>
        </w:rPr>
        <w:t>et al</w:t>
      </w:r>
      <w:r w:rsidRPr="00767A81">
        <w:rPr>
          <w:rFonts w:eastAsia="Calibri" w:cs="Arial"/>
          <w:sz w:val="20"/>
          <w:szCs w:val="20"/>
        </w:rPr>
        <w:t>. 2024. Climate-driven global redistribution of an ocean giant predicts increased threat from shipping. Nat. Clim. Chang. https://doi.org/10.1038/s41558-024-02129-5</w:t>
      </w:r>
    </w:p>
    <w:p w14:paraId="531FE830"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r w:rsidRPr="00767A81">
        <w:rPr>
          <w:rFonts w:eastAsia="Calibri" w:cs="Arial"/>
          <w:sz w:val="20"/>
          <w:szCs w:val="20"/>
        </w:rPr>
        <w:t>Morey, G., Barker, J., Hood, A., Gordon, C., Bartolí, A., Meyers, E.K.M., Ellis, J.R., Sharp, R., Jiménez-Alvarado, D. &amp; Pollom, R. 2019. </w:t>
      </w:r>
      <w:r w:rsidRPr="00767A81">
        <w:rPr>
          <w:rFonts w:eastAsia="Calibri" w:cs="Arial"/>
          <w:i/>
          <w:iCs/>
          <w:sz w:val="20"/>
          <w:szCs w:val="20"/>
        </w:rPr>
        <w:t xml:space="preserve">Squatina </w:t>
      </w:r>
      <w:proofErr w:type="spellStart"/>
      <w:r w:rsidRPr="00767A81">
        <w:rPr>
          <w:rFonts w:eastAsia="Calibri" w:cs="Arial"/>
          <w:i/>
          <w:iCs/>
          <w:sz w:val="20"/>
          <w:szCs w:val="20"/>
        </w:rPr>
        <w:t>squatina</w:t>
      </w:r>
      <w:proofErr w:type="spellEnd"/>
      <w:r w:rsidRPr="00767A81">
        <w:rPr>
          <w:rFonts w:eastAsia="Calibri" w:cs="Arial"/>
          <w:sz w:val="20"/>
          <w:szCs w:val="20"/>
        </w:rPr>
        <w:t>. </w:t>
      </w:r>
      <w:r w:rsidRPr="00767A81">
        <w:rPr>
          <w:rFonts w:eastAsia="Calibri" w:cs="Arial"/>
          <w:i/>
          <w:iCs/>
          <w:sz w:val="20"/>
          <w:szCs w:val="20"/>
        </w:rPr>
        <w:t>The IUCN Red List of Threatened Species</w:t>
      </w:r>
      <w:r w:rsidRPr="00767A81">
        <w:rPr>
          <w:rFonts w:eastAsia="Calibri" w:cs="Arial"/>
          <w:sz w:val="20"/>
          <w:szCs w:val="20"/>
        </w:rPr>
        <w:t> 2019: e.T39332A117498371.</w:t>
      </w:r>
    </w:p>
    <w:p w14:paraId="0A1B6DE1"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r w:rsidRPr="00767A81">
        <w:rPr>
          <w:rFonts w:eastAsia="Calibri" w:cs="Arial"/>
          <w:sz w:val="20"/>
          <w:szCs w:val="20"/>
          <w:lang w:val="fr-FR"/>
        </w:rPr>
        <w:t xml:space="preserve">Wallace, B. P. </w:t>
      </w:r>
      <w:r w:rsidRPr="00767A81">
        <w:rPr>
          <w:rFonts w:eastAsia="Calibri" w:cs="Arial"/>
          <w:i/>
          <w:iCs/>
          <w:sz w:val="20"/>
          <w:szCs w:val="20"/>
          <w:lang w:val="fr-FR"/>
        </w:rPr>
        <w:t>et al.</w:t>
      </w:r>
      <w:r w:rsidRPr="00767A81">
        <w:rPr>
          <w:rFonts w:eastAsia="Calibri" w:cs="Arial"/>
          <w:sz w:val="20"/>
          <w:szCs w:val="20"/>
          <w:lang w:val="fr-FR"/>
        </w:rPr>
        <w:t xml:space="preserve"> 2025. </w:t>
      </w:r>
      <w:r w:rsidRPr="00767A81">
        <w:rPr>
          <w:rFonts w:eastAsia="Calibri" w:cs="Arial"/>
          <w:sz w:val="20"/>
          <w:szCs w:val="20"/>
        </w:rPr>
        <w:t xml:space="preserve">Updated global conservation status and priorities for marine turtles. </w:t>
      </w:r>
      <w:r w:rsidRPr="00767A81">
        <w:rPr>
          <w:rFonts w:eastAsia="Calibri" w:cs="Arial"/>
          <w:i/>
          <w:iCs/>
          <w:sz w:val="20"/>
          <w:szCs w:val="20"/>
        </w:rPr>
        <w:t xml:space="preserve">Endang. Species Res. </w:t>
      </w:r>
      <w:r w:rsidRPr="00767A81">
        <w:rPr>
          <w:rFonts w:eastAsia="Calibri" w:cs="Arial"/>
          <w:sz w:val="20"/>
          <w:szCs w:val="20"/>
        </w:rPr>
        <w:t xml:space="preserve">56: 247-276. </w:t>
      </w:r>
      <w:hyperlink r:id="rId121" w:history="1">
        <w:r w:rsidRPr="00767A81">
          <w:rPr>
            <w:rStyle w:val="Hyperlink"/>
            <w:rFonts w:eastAsia="Calibri" w:cs="Arial"/>
            <w:sz w:val="20"/>
            <w:szCs w:val="20"/>
          </w:rPr>
          <w:t>https://doi.org/10.3354/esr01385</w:t>
        </w:r>
      </w:hyperlink>
    </w:p>
    <w:p w14:paraId="59530E8E"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r w:rsidRPr="00767A81">
        <w:rPr>
          <w:rFonts w:eastAsia="Calibri" w:cs="Arial"/>
          <w:sz w:val="20"/>
          <w:szCs w:val="20"/>
        </w:rPr>
        <w:t xml:space="preserve">Hays, G. C., Schofield, G., </w:t>
      </w:r>
      <w:proofErr w:type="spellStart"/>
      <w:r w:rsidRPr="00767A81">
        <w:rPr>
          <w:rFonts w:eastAsia="Calibri" w:cs="Arial"/>
          <w:sz w:val="20"/>
          <w:szCs w:val="20"/>
        </w:rPr>
        <w:t>Papazekou</w:t>
      </w:r>
      <w:proofErr w:type="spellEnd"/>
      <w:r w:rsidRPr="00767A81">
        <w:rPr>
          <w:rFonts w:eastAsia="Calibri" w:cs="Arial"/>
          <w:sz w:val="20"/>
          <w:szCs w:val="20"/>
        </w:rPr>
        <w:t xml:space="preserve">, M., </w:t>
      </w:r>
      <w:proofErr w:type="spellStart"/>
      <w:r w:rsidRPr="00767A81">
        <w:rPr>
          <w:rFonts w:eastAsia="Calibri" w:cs="Arial"/>
          <w:sz w:val="20"/>
          <w:szCs w:val="20"/>
        </w:rPr>
        <w:t>Chatzimentor</w:t>
      </w:r>
      <w:proofErr w:type="spellEnd"/>
      <w:r w:rsidRPr="00767A81">
        <w:rPr>
          <w:rFonts w:eastAsia="Calibri" w:cs="Arial"/>
          <w:sz w:val="20"/>
          <w:szCs w:val="20"/>
        </w:rPr>
        <w:t xml:space="preserve">, A., </w:t>
      </w:r>
      <w:proofErr w:type="spellStart"/>
      <w:r w:rsidRPr="00767A81">
        <w:rPr>
          <w:rFonts w:eastAsia="Calibri" w:cs="Arial"/>
          <w:sz w:val="20"/>
          <w:szCs w:val="20"/>
        </w:rPr>
        <w:t>Katsanevakis</w:t>
      </w:r>
      <w:proofErr w:type="spellEnd"/>
      <w:r w:rsidRPr="00767A81">
        <w:rPr>
          <w:rFonts w:eastAsia="Calibri" w:cs="Arial"/>
          <w:sz w:val="20"/>
          <w:szCs w:val="20"/>
        </w:rPr>
        <w:t xml:space="preserve">, S. &amp; Mazaris, A. D. 2024. A pulse check for trends in sea turtle numbers across the globe. </w:t>
      </w:r>
      <w:proofErr w:type="spellStart"/>
      <w:r w:rsidRPr="00767A81">
        <w:rPr>
          <w:rFonts w:eastAsia="Calibri" w:cs="Arial"/>
          <w:i/>
          <w:iCs/>
          <w:sz w:val="20"/>
          <w:szCs w:val="20"/>
        </w:rPr>
        <w:t>iScience</w:t>
      </w:r>
      <w:proofErr w:type="spellEnd"/>
      <w:r w:rsidRPr="00767A81">
        <w:rPr>
          <w:rFonts w:eastAsia="Calibri" w:cs="Arial"/>
          <w:sz w:val="20"/>
          <w:szCs w:val="20"/>
        </w:rPr>
        <w:t xml:space="preserve"> 27(3), 109071. </w:t>
      </w:r>
      <w:hyperlink r:id="rId122" w:history="1">
        <w:r w:rsidRPr="00767A81">
          <w:rPr>
            <w:rStyle w:val="Hyperlink"/>
            <w:rFonts w:eastAsia="Calibri" w:cs="Arial"/>
            <w:sz w:val="20"/>
            <w:szCs w:val="20"/>
          </w:rPr>
          <w:t>https://doi.org/10.1016/j.isci.2024.109071</w:t>
        </w:r>
      </w:hyperlink>
    </w:p>
    <w:p w14:paraId="626231CE" w14:textId="77777777" w:rsidR="0034769E" w:rsidRPr="00767A81" w:rsidRDefault="0034769E" w:rsidP="007823FD">
      <w:pPr>
        <w:pStyle w:val="ListParagraph"/>
        <w:numPr>
          <w:ilvl w:val="0"/>
          <w:numId w:val="18"/>
        </w:numPr>
        <w:spacing w:after="40" w:line="240" w:lineRule="auto"/>
        <w:contextualSpacing w:val="0"/>
        <w:jc w:val="both"/>
        <w:rPr>
          <w:rFonts w:eastAsia="Calibri" w:cs="Arial"/>
          <w:sz w:val="20"/>
          <w:szCs w:val="20"/>
        </w:rPr>
      </w:pPr>
      <w:r w:rsidRPr="00767A81">
        <w:rPr>
          <w:rFonts w:eastAsia="Calibri" w:cs="Arial"/>
          <w:sz w:val="20"/>
          <w:szCs w:val="20"/>
        </w:rPr>
        <w:t>Hays, G.C., Laloë, J.-O. &amp; Seminoff, J.A. Status, trends and conservation of global sea turtle populations. </w:t>
      </w:r>
      <w:r w:rsidRPr="00767A81">
        <w:rPr>
          <w:rFonts w:eastAsia="Calibri" w:cs="Arial"/>
          <w:i/>
          <w:iCs/>
          <w:sz w:val="20"/>
          <w:szCs w:val="20"/>
        </w:rPr>
        <w:t xml:space="preserve">Nat. Rev. </w:t>
      </w:r>
      <w:proofErr w:type="spellStart"/>
      <w:r w:rsidRPr="00767A81">
        <w:rPr>
          <w:rFonts w:eastAsia="Calibri" w:cs="Arial"/>
          <w:i/>
          <w:iCs/>
          <w:sz w:val="20"/>
          <w:szCs w:val="20"/>
        </w:rPr>
        <w:t>Biodivers</w:t>
      </w:r>
      <w:proofErr w:type="spellEnd"/>
      <w:r w:rsidRPr="00767A81">
        <w:rPr>
          <w:rFonts w:eastAsia="Calibri" w:cs="Arial"/>
          <w:i/>
          <w:iCs/>
          <w:sz w:val="20"/>
          <w:szCs w:val="20"/>
        </w:rPr>
        <w:t>.</w:t>
      </w:r>
      <w:r w:rsidRPr="00767A81">
        <w:rPr>
          <w:rFonts w:eastAsia="Calibri" w:cs="Arial"/>
          <w:sz w:val="20"/>
          <w:szCs w:val="20"/>
        </w:rPr>
        <w:t xml:space="preserve"> 1, 119-133. </w:t>
      </w:r>
      <w:hyperlink r:id="rId123" w:history="1">
        <w:r w:rsidRPr="00767A81">
          <w:rPr>
            <w:rStyle w:val="Hyperlink"/>
            <w:rFonts w:eastAsia="Calibri" w:cs="Arial"/>
            <w:sz w:val="20"/>
            <w:szCs w:val="20"/>
          </w:rPr>
          <w:t>https://doi.org/10.1038/s44358-024-00011-y</w:t>
        </w:r>
      </w:hyperlink>
    </w:p>
    <w:p w14:paraId="5E829660" w14:textId="4408B582" w:rsidR="0034769E" w:rsidRPr="00767A81" w:rsidRDefault="0034769E" w:rsidP="002D798A">
      <w:pPr>
        <w:pStyle w:val="ListParagraph"/>
        <w:numPr>
          <w:ilvl w:val="0"/>
          <w:numId w:val="18"/>
        </w:numPr>
        <w:spacing w:after="40" w:line="240" w:lineRule="auto"/>
        <w:contextualSpacing w:val="0"/>
        <w:jc w:val="both"/>
        <w:rPr>
          <w:rFonts w:cs="Arial"/>
          <w:sz w:val="20"/>
          <w:szCs w:val="20"/>
        </w:rPr>
      </w:pPr>
      <w:r w:rsidRPr="00767A81">
        <w:rPr>
          <w:rFonts w:eastAsia="Calibri" w:cs="Arial"/>
          <w:sz w:val="20"/>
          <w:szCs w:val="20"/>
          <w:lang w:val="pt-PT"/>
        </w:rPr>
        <w:t xml:space="preserve">Restrepo, J., Webster, E. G., Ramos, I. &amp; Valverde, R. A. 2023. </w:t>
      </w:r>
      <w:r w:rsidRPr="00767A81">
        <w:rPr>
          <w:rFonts w:eastAsia="Calibri" w:cs="Arial"/>
          <w:sz w:val="20"/>
          <w:szCs w:val="20"/>
        </w:rPr>
        <w:t xml:space="preserve">Recent decline of green turtle </w:t>
      </w:r>
      <w:r w:rsidRPr="00767A81">
        <w:rPr>
          <w:rFonts w:eastAsia="Calibri" w:cs="Arial"/>
          <w:i/>
          <w:iCs/>
          <w:sz w:val="20"/>
          <w:szCs w:val="20"/>
        </w:rPr>
        <w:t>Chelonia mydas</w:t>
      </w:r>
      <w:r w:rsidRPr="00767A81">
        <w:rPr>
          <w:rFonts w:eastAsia="Calibri" w:cs="Arial"/>
          <w:sz w:val="20"/>
          <w:szCs w:val="20"/>
        </w:rPr>
        <w:t xml:space="preserve"> nesting trend at Tortuguero, Costa Rica. </w:t>
      </w:r>
      <w:r w:rsidRPr="00767A81">
        <w:rPr>
          <w:rFonts w:eastAsia="Calibri" w:cs="Arial"/>
          <w:i/>
          <w:iCs/>
          <w:sz w:val="20"/>
          <w:szCs w:val="20"/>
        </w:rPr>
        <w:t>Endang. Species Res</w:t>
      </w:r>
      <w:r w:rsidRPr="00767A81">
        <w:rPr>
          <w:rFonts w:eastAsia="Calibri" w:cs="Arial"/>
          <w:sz w:val="20"/>
          <w:szCs w:val="20"/>
        </w:rPr>
        <w:t xml:space="preserve">. 51, 59-72. </w:t>
      </w:r>
      <w:hyperlink r:id="rId124" w:history="1">
        <w:r w:rsidRPr="00767A81">
          <w:rPr>
            <w:rStyle w:val="Hyperlink"/>
            <w:rFonts w:eastAsia="Calibri" w:cs="Arial"/>
            <w:sz w:val="20"/>
            <w:szCs w:val="20"/>
          </w:rPr>
          <w:t>https://doi.org/10.3354/esr01237</w:t>
        </w:r>
      </w:hyperlink>
    </w:p>
    <w:p w14:paraId="23065CD4" w14:textId="77777777" w:rsidR="00AC1A0B" w:rsidRPr="00767A81" w:rsidRDefault="00AC1A0B" w:rsidP="00AC1A0B">
      <w:pPr>
        <w:pStyle w:val="ListParagraph"/>
        <w:spacing w:after="40" w:line="240" w:lineRule="auto"/>
        <w:contextualSpacing w:val="0"/>
        <w:jc w:val="both"/>
        <w:rPr>
          <w:rFonts w:cs="Arial"/>
          <w:sz w:val="20"/>
          <w:szCs w:val="20"/>
        </w:rPr>
      </w:pPr>
    </w:p>
    <w:p w14:paraId="448F84A8" w14:textId="77777777" w:rsidR="0034769E" w:rsidRPr="00767A81" w:rsidRDefault="0034769E" w:rsidP="002D798A">
      <w:pPr>
        <w:pStyle w:val="ListParagraph"/>
        <w:numPr>
          <w:ilvl w:val="0"/>
          <w:numId w:val="16"/>
        </w:numPr>
        <w:spacing w:after="0" w:line="240" w:lineRule="auto"/>
        <w:ind w:left="357" w:hanging="357"/>
        <w:contextualSpacing w:val="0"/>
        <w:rPr>
          <w:rFonts w:cs="Arial"/>
          <w:b/>
          <w:sz w:val="20"/>
          <w:szCs w:val="20"/>
        </w:rPr>
      </w:pPr>
      <w:r w:rsidRPr="00767A81">
        <w:rPr>
          <w:rFonts w:cs="Arial"/>
          <w:b/>
          <w:sz w:val="20"/>
          <w:szCs w:val="20"/>
        </w:rPr>
        <w:t>Progress identifying and protecting important habitats for CMS-listed species</w:t>
      </w:r>
    </w:p>
    <w:p w14:paraId="039FD957" w14:textId="77777777" w:rsidR="002D798A" w:rsidRPr="00767A81" w:rsidRDefault="002D798A" w:rsidP="002D798A">
      <w:pPr>
        <w:pStyle w:val="ListParagraph"/>
        <w:spacing w:after="0" w:line="240" w:lineRule="auto"/>
        <w:ind w:left="357"/>
        <w:contextualSpacing w:val="0"/>
        <w:rPr>
          <w:rFonts w:cs="Arial"/>
          <w:b/>
          <w:sz w:val="20"/>
          <w:szCs w:val="20"/>
        </w:rPr>
      </w:pPr>
    </w:p>
    <w:p w14:paraId="643AF6E9" w14:textId="77777777" w:rsidR="0034769E" w:rsidRPr="00767A81" w:rsidRDefault="0034769E" w:rsidP="002D798A">
      <w:pPr>
        <w:pStyle w:val="ListParagraph"/>
        <w:numPr>
          <w:ilvl w:val="0"/>
          <w:numId w:val="19"/>
        </w:numPr>
        <w:spacing w:after="40"/>
        <w:ind w:left="714" w:hanging="357"/>
        <w:contextualSpacing w:val="0"/>
        <w:jc w:val="both"/>
        <w:rPr>
          <w:rFonts w:cs="Arial"/>
          <w:sz w:val="20"/>
          <w:szCs w:val="20"/>
        </w:rPr>
      </w:pPr>
      <w:proofErr w:type="spellStart"/>
      <w:r w:rsidRPr="00767A81">
        <w:rPr>
          <w:rFonts w:cs="Arial"/>
          <w:sz w:val="20"/>
          <w:szCs w:val="20"/>
          <w:lang w:val="fr-FR"/>
        </w:rPr>
        <w:t>Plumptre</w:t>
      </w:r>
      <w:proofErr w:type="spellEnd"/>
      <w:r w:rsidRPr="00767A81">
        <w:rPr>
          <w:rFonts w:cs="Arial"/>
          <w:sz w:val="20"/>
          <w:szCs w:val="20"/>
          <w:lang w:val="fr-FR"/>
        </w:rPr>
        <w:t xml:space="preserve">, A. J. </w:t>
      </w:r>
      <w:r w:rsidRPr="00767A81">
        <w:rPr>
          <w:rFonts w:cs="Arial"/>
          <w:i/>
          <w:sz w:val="20"/>
          <w:szCs w:val="20"/>
          <w:lang w:val="fr-FR"/>
        </w:rPr>
        <w:t>et al</w:t>
      </w:r>
      <w:r w:rsidRPr="00767A81">
        <w:rPr>
          <w:rFonts w:cs="Arial"/>
          <w:sz w:val="20"/>
          <w:szCs w:val="20"/>
          <w:lang w:val="fr-FR"/>
        </w:rPr>
        <w:t xml:space="preserve">. 2024. </w:t>
      </w:r>
      <w:r w:rsidRPr="00767A81">
        <w:rPr>
          <w:rFonts w:cs="Arial"/>
          <w:sz w:val="20"/>
          <w:szCs w:val="20"/>
        </w:rPr>
        <w:t xml:space="preserve">Targeting site conservation to increase the effectiveness of new global biodiversity targets. </w:t>
      </w:r>
      <w:r w:rsidRPr="00767A81">
        <w:rPr>
          <w:rFonts w:cs="Arial"/>
          <w:i/>
          <w:iCs/>
          <w:sz w:val="20"/>
          <w:szCs w:val="20"/>
        </w:rPr>
        <w:t>One Earth</w:t>
      </w:r>
      <w:r w:rsidRPr="00767A81">
        <w:rPr>
          <w:rFonts w:cs="Arial"/>
          <w:sz w:val="20"/>
          <w:szCs w:val="20"/>
        </w:rPr>
        <w:t xml:space="preserve"> 7(1), 11-17. </w:t>
      </w:r>
      <w:hyperlink r:id="rId125" w:history="1">
        <w:r w:rsidRPr="00767A81">
          <w:rPr>
            <w:rStyle w:val="Hyperlink"/>
            <w:rFonts w:cs="Arial"/>
            <w:sz w:val="20"/>
            <w:szCs w:val="20"/>
          </w:rPr>
          <w:t>https://doi.org/10.1016/j.oneear.2023.12.007</w:t>
        </w:r>
      </w:hyperlink>
    </w:p>
    <w:p w14:paraId="451F2F25" w14:textId="77777777" w:rsidR="0034769E" w:rsidRPr="00767A81" w:rsidRDefault="0034769E" w:rsidP="002D798A">
      <w:pPr>
        <w:pStyle w:val="ListParagraph"/>
        <w:numPr>
          <w:ilvl w:val="0"/>
          <w:numId w:val="19"/>
        </w:numPr>
        <w:spacing w:after="40"/>
        <w:ind w:left="714" w:hanging="357"/>
        <w:contextualSpacing w:val="0"/>
        <w:jc w:val="both"/>
        <w:rPr>
          <w:rFonts w:cs="Arial"/>
          <w:sz w:val="20"/>
          <w:szCs w:val="20"/>
        </w:rPr>
      </w:pPr>
      <w:r w:rsidRPr="00767A81">
        <w:rPr>
          <w:rFonts w:cs="Arial"/>
          <w:sz w:val="20"/>
          <w:szCs w:val="20"/>
        </w:rPr>
        <w:t xml:space="preserve">IUCN. 2016. </w:t>
      </w:r>
      <w:r w:rsidRPr="00767A81">
        <w:rPr>
          <w:rFonts w:cs="Arial"/>
          <w:i/>
          <w:iCs/>
          <w:sz w:val="20"/>
          <w:szCs w:val="20"/>
        </w:rPr>
        <w:t>A Global Standard for the Identification of Key Biodiversity Areas, Version 1.0</w:t>
      </w:r>
      <w:r w:rsidRPr="00767A81">
        <w:rPr>
          <w:rFonts w:cs="Arial"/>
          <w:sz w:val="20"/>
          <w:szCs w:val="20"/>
        </w:rPr>
        <w:t>. First edition. Gland, Switzerland: IUCN.</w:t>
      </w:r>
    </w:p>
    <w:p w14:paraId="0CE40A75" w14:textId="77777777" w:rsidR="0034769E" w:rsidRPr="00767A81" w:rsidRDefault="0034769E" w:rsidP="002D798A">
      <w:pPr>
        <w:pStyle w:val="ListParagraph"/>
        <w:numPr>
          <w:ilvl w:val="0"/>
          <w:numId w:val="19"/>
        </w:numPr>
        <w:spacing w:after="40"/>
        <w:ind w:left="714" w:hanging="357"/>
        <w:contextualSpacing w:val="0"/>
        <w:jc w:val="both"/>
        <w:rPr>
          <w:rStyle w:val="Hyperlink"/>
          <w:rFonts w:cs="Arial"/>
          <w:sz w:val="20"/>
          <w:szCs w:val="20"/>
        </w:rPr>
      </w:pPr>
      <w:r w:rsidRPr="00767A81">
        <w:rPr>
          <w:rFonts w:cs="Arial"/>
          <w:sz w:val="20"/>
          <w:szCs w:val="20"/>
        </w:rPr>
        <w:t xml:space="preserve">Boyd, C. </w:t>
      </w:r>
      <w:r w:rsidRPr="00767A81">
        <w:rPr>
          <w:rFonts w:cs="Arial"/>
          <w:i/>
          <w:iCs/>
          <w:sz w:val="20"/>
          <w:szCs w:val="20"/>
        </w:rPr>
        <w:t>et al.</w:t>
      </w:r>
      <w:r w:rsidRPr="00767A81">
        <w:rPr>
          <w:rFonts w:cs="Arial"/>
          <w:sz w:val="20"/>
          <w:szCs w:val="20"/>
        </w:rPr>
        <w:t xml:space="preserve"> 2025. Applying the Key Biodiversity Area Standard to Important Sites for Sharks. </w:t>
      </w:r>
      <w:r w:rsidRPr="00767A81">
        <w:rPr>
          <w:rFonts w:cs="Arial"/>
          <w:i/>
          <w:iCs/>
          <w:sz w:val="20"/>
          <w:szCs w:val="20"/>
        </w:rPr>
        <w:t xml:space="preserve">Cons. Lett. </w:t>
      </w:r>
      <w:r w:rsidRPr="00767A81">
        <w:rPr>
          <w:rFonts w:cs="Arial"/>
          <w:sz w:val="20"/>
          <w:szCs w:val="20"/>
        </w:rPr>
        <w:t xml:space="preserve">18(5), e13177. </w:t>
      </w:r>
      <w:hyperlink r:id="rId126" w:history="1">
        <w:r w:rsidRPr="00767A81">
          <w:rPr>
            <w:rStyle w:val="Hyperlink"/>
            <w:rFonts w:cs="Arial"/>
            <w:sz w:val="20"/>
            <w:szCs w:val="20"/>
          </w:rPr>
          <w:t>https://doi.org/10.1111/conl.13117</w:t>
        </w:r>
      </w:hyperlink>
    </w:p>
    <w:p w14:paraId="680316AD" w14:textId="77777777" w:rsidR="0034769E" w:rsidRPr="00767A81" w:rsidRDefault="0034769E" w:rsidP="002D798A">
      <w:pPr>
        <w:pStyle w:val="ListParagraph"/>
        <w:numPr>
          <w:ilvl w:val="0"/>
          <w:numId w:val="19"/>
        </w:numPr>
        <w:spacing w:after="40"/>
        <w:ind w:left="714" w:hanging="357"/>
        <w:contextualSpacing w:val="0"/>
        <w:jc w:val="both"/>
        <w:rPr>
          <w:rStyle w:val="Hyperlink"/>
          <w:rFonts w:cs="Arial"/>
          <w:color w:val="000000" w:themeColor="text1"/>
          <w:sz w:val="20"/>
          <w:szCs w:val="20"/>
          <w:u w:val="none"/>
        </w:rPr>
      </w:pPr>
      <w:r w:rsidRPr="00767A81">
        <w:rPr>
          <w:rStyle w:val="Hyperlink"/>
          <w:rFonts w:cs="Arial"/>
          <w:color w:val="000000" w:themeColor="text1"/>
          <w:sz w:val="20"/>
          <w:szCs w:val="20"/>
          <w:u w:val="none"/>
          <w:lang w:val="fr-FR"/>
        </w:rPr>
        <w:t xml:space="preserve">Hyde, C. A. </w:t>
      </w:r>
      <w:r w:rsidRPr="00767A81">
        <w:rPr>
          <w:rStyle w:val="Hyperlink"/>
          <w:rFonts w:cs="Arial"/>
          <w:i/>
          <w:color w:val="000000" w:themeColor="text1"/>
          <w:sz w:val="20"/>
          <w:szCs w:val="20"/>
          <w:u w:val="none"/>
          <w:lang w:val="fr-FR"/>
        </w:rPr>
        <w:t xml:space="preserve">et al. </w:t>
      </w:r>
      <w:r w:rsidRPr="00767A81">
        <w:rPr>
          <w:rStyle w:val="Hyperlink"/>
          <w:rFonts w:cs="Arial"/>
          <w:color w:val="000000" w:themeColor="text1"/>
          <w:sz w:val="20"/>
          <w:szCs w:val="20"/>
          <w:u w:val="none"/>
          <w:lang w:val="fr-FR"/>
        </w:rPr>
        <w:t xml:space="preserve">2022. </w:t>
      </w:r>
      <w:r w:rsidRPr="00767A81">
        <w:rPr>
          <w:rStyle w:val="Hyperlink"/>
          <w:rFonts w:cs="Arial"/>
          <w:color w:val="000000" w:themeColor="text1"/>
          <w:sz w:val="20"/>
          <w:szCs w:val="20"/>
          <w:u w:val="none"/>
        </w:rPr>
        <w:t xml:space="preserve">Putting sharks on the map: A global standard for improving shark area-based conservation. </w:t>
      </w:r>
      <w:r w:rsidRPr="00767A81">
        <w:rPr>
          <w:rStyle w:val="Hyperlink"/>
          <w:rFonts w:cs="Arial"/>
          <w:i/>
          <w:color w:val="000000" w:themeColor="text1"/>
          <w:sz w:val="20"/>
          <w:szCs w:val="20"/>
          <w:u w:val="none"/>
        </w:rPr>
        <w:t>Front. Mar. Sci</w:t>
      </w:r>
      <w:r w:rsidRPr="00767A81">
        <w:rPr>
          <w:rStyle w:val="Hyperlink"/>
          <w:rFonts w:cs="Arial"/>
          <w:color w:val="000000" w:themeColor="text1"/>
          <w:sz w:val="20"/>
          <w:szCs w:val="20"/>
          <w:u w:val="none"/>
        </w:rPr>
        <w:t xml:space="preserve">. 9, 968853. </w:t>
      </w:r>
      <w:hyperlink r:id="rId127" w:history="1">
        <w:r w:rsidRPr="00767A81">
          <w:rPr>
            <w:rStyle w:val="Hyperlink"/>
            <w:rFonts w:cs="Arial"/>
            <w:color w:val="000000" w:themeColor="text1"/>
            <w:sz w:val="20"/>
            <w:szCs w:val="20"/>
            <w:u w:val="none"/>
          </w:rPr>
          <w:t>https://doi.org/10.3389/fmars.2022.968853</w:t>
        </w:r>
      </w:hyperlink>
    </w:p>
    <w:p w14:paraId="5989DFCF" w14:textId="77777777" w:rsidR="0034769E" w:rsidRPr="00767A81" w:rsidRDefault="0034769E" w:rsidP="002D798A">
      <w:pPr>
        <w:pStyle w:val="ListParagraph"/>
        <w:numPr>
          <w:ilvl w:val="0"/>
          <w:numId w:val="19"/>
        </w:numPr>
        <w:spacing w:after="40"/>
        <w:ind w:left="714" w:hanging="357"/>
        <w:contextualSpacing w:val="0"/>
        <w:jc w:val="both"/>
        <w:rPr>
          <w:rStyle w:val="Hyperlink"/>
          <w:rFonts w:cs="Arial"/>
          <w:color w:val="000000" w:themeColor="text1"/>
          <w:sz w:val="20"/>
          <w:szCs w:val="20"/>
          <w:u w:val="none"/>
        </w:rPr>
      </w:pPr>
      <w:r w:rsidRPr="00767A81">
        <w:rPr>
          <w:rStyle w:val="Hyperlink"/>
          <w:rFonts w:cs="Arial"/>
          <w:color w:val="000000" w:themeColor="text1"/>
          <w:sz w:val="20"/>
          <w:szCs w:val="20"/>
          <w:u w:val="none"/>
        </w:rPr>
        <w:t>IUCN Marine Mammals Protected Areas Task Force. 2024. The IMMA Handbook. Version: March 2024. Pp. 67. Available at:</w:t>
      </w:r>
      <w:r w:rsidRPr="00767A81">
        <w:rPr>
          <w:rStyle w:val="Hyperlink"/>
          <w:rFonts w:cs="Arial"/>
          <w:color w:val="000000" w:themeColor="text1"/>
          <w:sz w:val="20"/>
          <w:szCs w:val="20"/>
        </w:rPr>
        <w:t xml:space="preserve"> </w:t>
      </w:r>
      <w:hyperlink r:id="rId128" w:history="1">
        <w:r w:rsidRPr="00767A81">
          <w:rPr>
            <w:rStyle w:val="Hyperlink"/>
            <w:rFonts w:cs="Arial"/>
            <w:sz w:val="20"/>
            <w:szCs w:val="20"/>
          </w:rPr>
          <w:t>https://www.marinemammalhabitat.org/download/handbook-on-the-use-of-selection-criteria-for-the-identification-of-important-marine-mammal-areas-immas/</w:t>
        </w:r>
      </w:hyperlink>
      <w:r w:rsidRPr="00767A81">
        <w:rPr>
          <w:rStyle w:val="Hyperlink"/>
          <w:rFonts w:cs="Arial"/>
          <w:color w:val="000000" w:themeColor="text1"/>
          <w:sz w:val="20"/>
          <w:szCs w:val="20"/>
          <w:u w:val="none"/>
        </w:rPr>
        <w:t xml:space="preserve"> [Accessed 11 September 2025]</w:t>
      </w:r>
    </w:p>
    <w:p w14:paraId="234D874B" w14:textId="77777777" w:rsidR="0034769E" w:rsidRPr="00767A81" w:rsidRDefault="0034769E" w:rsidP="002D798A">
      <w:pPr>
        <w:pStyle w:val="ListParagraph"/>
        <w:numPr>
          <w:ilvl w:val="0"/>
          <w:numId w:val="19"/>
        </w:numPr>
        <w:spacing w:after="40"/>
        <w:ind w:left="714" w:hanging="357"/>
        <w:contextualSpacing w:val="0"/>
        <w:jc w:val="both"/>
        <w:rPr>
          <w:rStyle w:val="Hyperlink"/>
          <w:rFonts w:cs="Arial"/>
          <w:color w:val="000000" w:themeColor="text1"/>
          <w:sz w:val="20"/>
          <w:szCs w:val="20"/>
          <w:u w:val="none"/>
        </w:rPr>
      </w:pPr>
      <w:r w:rsidRPr="00767A81">
        <w:rPr>
          <w:rStyle w:val="Hyperlink"/>
          <w:rFonts w:cs="Arial"/>
          <w:color w:val="000000" w:themeColor="text1"/>
          <w:sz w:val="20"/>
          <w:szCs w:val="20"/>
          <w:u w:val="none"/>
        </w:rPr>
        <w:t xml:space="preserve">Important Marine Turtle Area (IMTA) Working Group. 2021. </w:t>
      </w:r>
      <w:r w:rsidRPr="00767A81">
        <w:rPr>
          <w:rStyle w:val="Hyperlink"/>
          <w:rFonts w:cs="Arial"/>
          <w:i/>
          <w:color w:val="000000" w:themeColor="text1"/>
          <w:sz w:val="20"/>
          <w:szCs w:val="20"/>
          <w:u w:val="none"/>
        </w:rPr>
        <w:t>Important Marine Turtle Areas Guidelines 1.0 (August 2021)</w:t>
      </w:r>
      <w:r w:rsidRPr="00767A81">
        <w:rPr>
          <w:rStyle w:val="Hyperlink"/>
          <w:rFonts w:cs="Arial"/>
          <w:color w:val="000000" w:themeColor="text1"/>
          <w:sz w:val="20"/>
          <w:szCs w:val="20"/>
          <w:u w:val="none"/>
        </w:rPr>
        <w:t>. Prepared for the 7</w:t>
      </w:r>
      <w:r w:rsidRPr="00767A81">
        <w:rPr>
          <w:rStyle w:val="Hyperlink"/>
          <w:rFonts w:cs="Arial"/>
          <w:color w:val="000000" w:themeColor="text1"/>
          <w:sz w:val="20"/>
          <w:szCs w:val="20"/>
          <w:u w:val="none"/>
          <w:vertAlign w:val="superscript"/>
        </w:rPr>
        <w:t>th</w:t>
      </w:r>
      <w:r w:rsidRPr="00767A81">
        <w:rPr>
          <w:rStyle w:val="Hyperlink"/>
          <w:rFonts w:cs="Arial"/>
          <w:color w:val="000000" w:themeColor="text1"/>
          <w:sz w:val="20"/>
          <w:szCs w:val="20"/>
          <w:u w:val="none"/>
        </w:rPr>
        <w:t xml:space="preserve"> Burning Issues Workshop (BI-7), IUCN-SSC Marine Turtle Specialist Group. Available at: </w:t>
      </w:r>
      <w:hyperlink r:id="rId129" w:history="1">
        <w:r w:rsidRPr="00767A81">
          <w:rPr>
            <w:rStyle w:val="Hyperlink"/>
            <w:rFonts w:cs="Arial"/>
            <w:color w:val="000000" w:themeColor="text1"/>
            <w:sz w:val="20"/>
            <w:szCs w:val="20"/>
            <w:u w:val="none"/>
          </w:rPr>
          <w:t>https://www.iucn-mtsg.org/s/IMTA-Guidelines-10.pdf</w:t>
        </w:r>
      </w:hyperlink>
      <w:r w:rsidRPr="00767A81">
        <w:rPr>
          <w:rStyle w:val="Hyperlink"/>
          <w:rFonts w:cs="Arial"/>
          <w:color w:val="000000" w:themeColor="text1"/>
          <w:sz w:val="20"/>
          <w:szCs w:val="20"/>
          <w:u w:val="none"/>
        </w:rPr>
        <w:t xml:space="preserve"> [Accessed 11 September 2025]</w:t>
      </w:r>
    </w:p>
    <w:p w14:paraId="704C1CFD" w14:textId="77777777" w:rsidR="0034769E" w:rsidRPr="00767A81" w:rsidRDefault="0034769E" w:rsidP="002D798A">
      <w:pPr>
        <w:pStyle w:val="ListParagraph"/>
        <w:numPr>
          <w:ilvl w:val="0"/>
          <w:numId w:val="19"/>
        </w:numPr>
        <w:spacing w:after="40"/>
        <w:ind w:left="714" w:hanging="357"/>
        <w:contextualSpacing w:val="0"/>
        <w:jc w:val="both"/>
        <w:rPr>
          <w:rStyle w:val="Hyperlink"/>
          <w:rFonts w:cs="Arial"/>
          <w:color w:val="000000" w:themeColor="text1"/>
          <w:sz w:val="20"/>
          <w:szCs w:val="20"/>
        </w:rPr>
      </w:pPr>
      <w:r w:rsidRPr="00767A81">
        <w:rPr>
          <w:rStyle w:val="Hyperlink"/>
          <w:rFonts w:cs="Arial"/>
          <w:color w:val="000000" w:themeColor="text1"/>
          <w:sz w:val="20"/>
          <w:szCs w:val="20"/>
          <w:u w:val="none"/>
        </w:rPr>
        <w:t>IUCN SSC Shark Specialist Group. 2025. Dataset of Important Shark and Ray Areas (IUCN SSC SSG-ISRA). Made available under a User Licence Agreement by the IUCN SSC Shark Specialist Group and accessible via the ISRA e-Atlas. Available at:</w:t>
      </w:r>
      <w:r w:rsidRPr="00767A81">
        <w:rPr>
          <w:rStyle w:val="Hyperlink"/>
          <w:rFonts w:cs="Arial"/>
          <w:color w:val="000000" w:themeColor="text1"/>
          <w:sz w:val="20"/>
          <w:szCs w:val="20"/>
        </w:rPr>
        <w:t xml:space="preserve"> </w:t>
      </w:r>
      <w:hyperlink r:id="rId130" w:history="1">
        <w:r w:rsidRPr="00767A81">
          <w:rPr>
            <w:rStyle w:val="Hyperlink"/>
            <w:rFonts w:cs="Arial"/>
            <w:sz w:val="20"/>
            <w:szCs w:val="20"/>
          </w:rPr>
          <w:t>https://sharkrayareas.org/e-atlas/</w:t>
        </w:r>
      </w:hyperlink>
      <w:r w:rsidRPr="00767A81">
        <w:rPr>
          <w:rStyle w:val="Hyperlink"/>
          <w:rFonts w:cs="Arial"/>
          <w:color w:val="000000" w:themeColor="text1"/>
          <w:sz w:val="20"/>
          <w:szCs w:val="20"/>
          <w:u w:val="none"/>
        </w:rPr>
        <w:t xml:space="preserve"> </w:t>
      </w:r>
      <w:r w:rsidRPr="00767A81">
        <w:rPr>
          <w:rStyle w:val="Hyperlink"/>
          <w:rFonts w:cs="Arial"/>
          <w:color w:val="000000" w:themeColor="text1"/>
          <w:sz w:val="20"/>
          <w:szCs w:val="20"/>
        </w:rPr>
        <w:t>[</w:t>
      </w:r>
      <w:r w:rsidRPr="00767A81">
        <w:rPr>
          <w:rStyle w:val="Hyperlink"/>
          <w:rFonts w:cs="Arial"/>
          <w:color w:val="000000" w:themeColor="text1"/>
          <w:sz w:val="20"/>
          <w:szCs w:val="20"/>
          <w:u w:val="none"/>
        </w:rPr>
        <w:t>Accessed 16 September 2025]</w:t>
      </w:r>
    </w:p>
    <w:p w14:paraId="33010076" w14:textId="77777777" w:rsidR="0034769E" w:rsidRPr="00767A81" w:rsidRDefault="0034769E" w:rsidP="002D798A">
      <w:pPr>
        <w:pStyle w:val="ListParagraph"/>
        <w:numPr>
          <w:ilvl w:val="0"/>
          <w:numId w:val="19"/>
        </w:numPr>
        <w:spacing w:after="40"/>
        <w:ind w:left="714" w:hanging="357"/>
        <w:contextualSpacing w:val="0"/>
        <w:jc w:val="both"/>
        <w:rPr>
          <w:rFonts w:cs="Arial"/>
          <w:sz w:val="20"/>
          <w:szCs w:val="20"/>
        </w:rPr>
      </w:pPr>
      <w:r w:rsidRPr="00767A81">
        <w:rPr>
          <w:rFonts w:cs="Arial"/>
          <w:sz w:val="20"/>
          <w:szCs w:val="20"/>
        </w:rPr>
        <w:t xml:space="preserve">IUCN Marine Mammal Protected Areas Task Force. 2025. </w:t>
      </w:r>
      <w:r w:rsidRPr="00767A81">
        <w:rPr>
          <w:rFonts w:cs="Arial"/>
          <w:i/>
          <w:iCs/>
          <w:sz w:val="20"/>
          <w:szCs w:val="20"/>
        </w:rPr>
        <w:t>3rd Information Note on Activities Related to the Identification of Important Marine Mammal Areas (IMMAs)</w:t>
      </w:r>
      <w:r w:rsidRPr="00767A81">
        <w:rPr>
          <w:rFonts w:cs="Arial"/>
          <w:sz w:val="20"/>
          <w:szCs w:val="20"/>
        </w:rPr>
        <w:t>. (UNEP/CMS/COP15/Inf. 25.3.1a/Annex 1).</w:t>
      </w:r>
    </w:p>
    <w:p w14:paraId="487B6DBB" w14:textId="77777777" w:rsidR="0034769E" w:rsidRPr="00767A81" w:rsidRDefault="0034769E" w:rsidP="002D798A">
      <w:pPr>
        <w:pStyle w:val="ListParagraph"/>
        <w:numPr>
          <w:ilvl w:val="0"/>
          <w:numId w:val="19"/>
        </w:numPr>
        <w:spacing w:after="40"/>
        <w:ind w:left="714" w:hanging="357"/>
        <w:contextualSpacing w:val="0"/>
        <w:jc w:val="both"/>
        <w:rPr>
          <w:rFonts w:cs="Arial"/>
          <w:sz w:val="20"/>
          <w:szCs w:val="20"/>
        </w:rPr>
      </w:pPr>
      <w:r w:rsidRPr="00767A81">
        <w:rPr>
          <w:rFonts w:cs="Arial"/>
          <w:sz w:val="20"/>
          <w:szCs w:val="20"/>
        </w:rPr>
        <w:t>IUCN Marine Mammal Areas Protected Areas Task Force. 2025</w:t>
      </w:r>
      <w:r w:rsidRPr="00767A81">
        <w:rPr>
          <w:rFonts w:cs="Arial"/>
          <w:i/>
          <w:iCs/>
          <w:sz w:val="20"/>
          <w:szCs w:val="20"/>
        </w:rPr>
        <w:t xml:space="preserve">. Moving from Important Marine Mammal Areas (IMMA) Identification to Marine Mammal Conservation Action: Evaluation and Implementation of Conservation Action in IMMAs – Summary Report. </w:t>
      </w:r>
      <w:r w:rsidRPr="00767A81">
        <w:rPr>
          <w:rFonts w:cs="Arial"/>
          <w:sz w:val="20"/>
          <w:szCs w:val="20"/>
        </w:rPr>
        <w:t>Pp. 28. Available at: https://www.marinemammalhabitat.org/download/moving-from-important-marine-mammal-area-imma-identification-to-marine-mammal-conservation-action-evaluation-and-implementation-of-conservation-action-in-immas/ [Accessed 11 September 2025]</w:t>
      </w:r>
    </w:p>
    <w:p w14:paraId="422D87FC" w14:textId="77777777" w:rsidR="0034769E" w:rsidRPr="00767A81" w:rsidRDefault="0034769E" w:rsidP="002D798A">
      <w:pPr>
        <w:pStyle w:val="ListParagraph"/>
        <w:numPr>
          <w:ilvl w:val="0"/>
          <w:numId w:val="19"/>
        </w:numPr>
        <w:spacing w:after="40"/>
        <w:ind w:left="714" w:hanging="357"/>
        <w:contextualSpacing w:val="0"/>
        <w:jc w:val="both"/>
        <w:rPr>
          <w:rFonts w:cs="Arial"/>
          <w:sz w:val="20"/>
          <w:szCs w:val="20"/>
        </w:rPr>
      </w:pPr>
      <w:r w:rsidRPr="00767A81">
        <w:rPr>
          <w:rFonts w:cs="Arial"/>
          <w:sz w:val="20"/>
          <w:szCs w:val="20"/>
        </w:rPr>
        <w:t xml:space="preserve">Armstrong, A. O. </w:t>
      </w:r>
      <w:r w:rsidRPr="00767A81">
        <w:rPr>
          <w:rFonts w:cs="Arial"/>
          <w:i/>
          <w:iCs/>
          <w:sz w:val="20"/>
          <w:szCs w:val="20"/>
        </w:rPr>
        <w:t>et al</w:t>
      </w:r>
      <w:r w:rsidRPr="00767A81">
        <w:rPr>
          <w:rFonts w:cs="Arial"/>
          <w:sz w:val="20"/>
          <w:szCs w:val="20"/>
        </w:rPr>
        <w:t xml:space="preserve">. 2025. Turning the tide for sharks: Important Shark and Ray Areas. </w:t>
      </w:r>
      <w:r w:rsidRPr="00767A81">
        <w:rPr>
          <w:rFonts w:cs="Arial"/>
          <w:i/>
          <w:iCs/>
          <w:sz w:val="20"/>
          <w:szCs w:val="20"/>
        </w:rPr>
        <w:t xml:space="preserve">Oryx </w:t>
      </w:r>
      <w:r w:rsidRPr="00767A81">
        <w:rPr>
          <w:rFonts w:cs="Arial"/>
          <w:sz w:val="20"/>
          <w:szCs w:val="20"/>
        </w:rPr>
        <w:t xml:space="preserve">59(1), 11-12. </w:t>
      </w:r>
      <w:hyperlink r:id="rId131" w:history="1">
        <w:r w:rsidRPr="00767A81">
          <w:rPr>
            <w:rStyle w:val="Hyperlink"/>
            <w:rFonts w:cs="Arial"/>
            <w:sz w:val="20"/>
            <w:szCs w:val="20"/>
          </w:rPr>
          <w:t>https://doi.org/10.1017/S0030605324001790</w:t>
        </w:r>
      </w:hyperlink>
    </w:p>
    <w:p w14:paraId="67C69B59" w14:textId="77777777" w:rsidR="0034769E" w:rsidRPr="00767A81" w:rsidRDefault="0034769E" w:rsidP="002D798A">
      <w:pPr>
        <w:pStyle w:val="ListParagraph"/>
        <w:numPr>
          <w:ilvl w:val="0"/>
          <w:numId w:val="19"/>
        </w:numPr>
        <w:spacing w:after="40"/>
        <w:ind w:left="714" w:hanging="357"/>
        <w:contextualSpacing w:val="0"/>
        <w:jc w:val="both"/>
        <w:rPr>
          <w:rFonts w:cs="Arial"/>
          <w:sz w:val="20"/>
          <w:szCs w:val="20"/>
        </w:rPr>
      </w:pPr>
      <w:r w:rsidRPr="00767A81">
        <w:rPr>
          <w:rFonts w:eastAsia="Calibri" w:cs="Arial"/>
          <w:sz w:val="20"/>
          <w:szCs w:val="20"/>
        </w:rPr>
        <w:t xml:space="preserve">Nandintsetseg, D. </w:t>
      </w:r>
      <w:r w:rsidRPr="00767A81">
        <w:rPr>
          <w:rFonts w:eastAsia="Calibri" w:cs="Arial"/>
          <w:i/>
          <w:iCs/>
          <w:sz w:val="20"/>
          <w:szCs w:val="20"/>
        </w:rPr>
        <w:t>et al</w:t>
      </w:r>
      <w:r w:rsidRPr="00767A81">
        <w:rPr>
          <w:rFonts w:eastAsia="Calibri" w:cs="Arial"/>
          <w:sz w:val="20"/>
          <w:szCs w:val="20"/>
        </w:rPr>
        <w:t xml:space="preserve">. 2019. Challenges in the conservation of wide-ranging nomadic species. </w:t>
      </w:r>
      <w:r w:rsidRPr="00767A81">
        <w:rPr>
          <w:rFonts w:eastAsia="Calibri" w:cs="Arial"/>
          <w:i/>
          <w:iCs/>
          <w:sz w:val="20"/>
          <w:szCs w:val="20"/>
        </w:rPr>
        <w:t xml:space="preserve">J. Appl. Ecol. </w:t>
      </w:r>
      <w:r w:rsidRPr="00767A81">
        <w:rPr>
          <w:rFonts w:eastAsia="Calibri" w:cs="Arial"/>
          <w:sz w:val="20"/>
          <w:szCs w:val="20"/>
        </w:rPr>
        <w:t xml:space="preserve">56(8), 1916-1926. </w:t>
      </w:r>
      <w:hyperlink r:id="rId132" w:history="1">
        <w:r w:rsidRPr="00767A81">
          <w:rPr>
            <w:rStyle w:val="Hyperlink"/>
            <w:rFonts w:eastAsia="Calibri" w:cs="Arial"/>
            <w:sz w:val="20"/>
            <w:szCs w:val="20"/>
          </w:rPr>
          <w:t>https://doi.org/10.1111/1365-2664.13380</w:t>
        </w:r>
      </w:hyperlink>
    </w:p>
    <w:p w14:paraId="49428624" w14:textId="77777777" w:rsidR="0034769E" w:rsidRPr="00767A81" w:rsidRDefault="0034769E" w:rsidP="002D798A">
      <w:pPr>
        <w:pStyle w:val="ListParagraph"/>
        <w:numPr>
          <w:ilvl w:val="0"/>
          <w:numId w:val="19"/>
        </w:numPr>
        <w:spacing w:after="40" w:line="240" w:lineRule="auto"/>
        <w:ind w:left="714" w:hanging="357"/>
        <w:contextualSpacing w:val="0"/>
        <w:jc w:val="both"/>
        <w:rPr>
          <w:rFonts w:eastAsia="Calibri" w:cs="Arial"/>
          <w:sz w:val="20"/>
          <w:szCs w:val="20"/>
        </w:rPr>
      </w:pPr>
      <w:r w:rsidRPr="00767A81">
        <w:rPr>
          <w:rFonts w:eastAsia="Calibri" w:cs="Arial"/>
          <w:sz w:val="20"/>
          <w:szCs w:val="20"/>
        </w:rPr>
        <w:lastRenderedPageBreak/>
        <w:t xml:space="preserve">Vickery, J. A., Mallord, J. W., Adams, W. M., Beresford, A. E., Both, C., Cresswell, W., Diop, N., Ewing, S. R., Gregory, R. D., Morrison, C. A., Sanderson, F. J., Thorup, K., Van Wijk, R. E. &amp; Hewson, C. M. 2023. The conservation of Afro-Palaearctic migrants: What we are learning and what we need to know? </w:t>
      </w:r>
      <w:r w:rsidRPr="00767A81">
        <w:rPr>
          <w:rFonts w:eastAsia="Calibri" w:cs="Arial"/>
          <w:i/>
          <w:iCs/>
          <w:sz w:val="20"/>
          <w:szCs w:val="20"/>
        </w:rPr>
        <w:t>Ibis</w:t>
      </w:r>
      <w:r w:rsidRPr="00767A81">
        <w:rPr>
          <w:rFonts w:eastAsia="Calibri" w:cs="Arial"/>
          <w:sz w:val="20"/>
          <w:szCs w:val="20"/>
        </w:rPr>
        <w:t xml:space="preserve"> 165, 717-738. </w:t>
      </w:r>
      <w:hyperlink r:id="rId133" w:history="1">
        <w:r w:rsidRPr="00767A81">
          <w:rPr>
            <w:rStyle w:val="Hyperlink"/>
            <w:rFonts w:eastAsia="Calibri" w:cs="Arial"/>
            <w:sz w:val="20"/>
            <w:szCs w:val="20"/>
          </w:rPr>
          <w:t>https://doi.org/10.1111/ibi.13171</w:t>
        </w:r>
      </w:hyperlink>
    </w:p>
    <w:p w14:paraId="1820E0A2" w14:textId="77777777" w:rsidR="0034769E" w:rsidRPr="00767A81" w:rsidRDefault="0034769E" w:rsidP="002D798A">
      <w:pPr>
        <w:pStyle w:val="ListParagraph"/>
        <w:numPr>
          <w:ilvl w:val="0"/>
          <w:numId w:val="19"/>
        </w:numPr>
        <w:spacing w:after="40"/>
        <w:ind w:left="714" w:hanging="357"/>
        <w:contextualSpacing w:val="0"/>
        <w:jc w:val="both"/>
        <w:rPr>
          <w:rStyle w:val="Hyperlink"/>
          <w:rFonts w:cs="Arial"/>
          <w:sz w:val="20"/>
          <w:szCs w:val="20"/>
        </w:rPr>
      </w:pPr>
      <w:r w:rsidRPr="00E7787F">
        <w:rPr>
          <w:rFonts w:cs="Arial"/>
          <w:sz w:val="20"/>
          <w:szCs w:val="20"/>
          <w:lang w:val="fr-FR"/>
        </w:rPr>
        <w:t xml:space="preserve">Becker, S. L. </w:t>
      </w:r>
      <w:r w:rsidRPr="00E7787F">
        <w:rPr>
          <w:rFonts w:cs="Arial"/>
          <w:i/>
          <w:sz w:val="20"/>
          <w:szCs w:val="20"/>
          <w:lang w:val="fr-FR"/>
        </w:rPr>
        <w:t>et al</w:t>
      </w:r>
      <w:r w:rsidRPr="00E7787F">
        <w:rPr>
          <w:rFonts w:cs="Arial"/>
          <w:sz w:val="20"/>
          <w:szCs w:val="20"/>
          <w:lang w:val="fr-FR"/>
        </w:rPr>
        <w:t xml:space="preserve">. 2025. </w:t>
      </w:r>
      <w:r w:rsidRPr="00767A81">
        <w:rPr>
          <w:rFonts w:cs="Arial"/>
          <w:sz w:val="20"/>
          <w:szCs w:val="20"/>
        </w:rPr>
        <w:t xml:space="preserve">Scaling up ocean conservation through recognition of key biodiversity areas in the Southern Ocean from multispecies tracking data. </w:t>
      </w:r>
      <w:r w:rsidRPr="00767A81">
        <w:rPr>
          <w:rFonts w:cs="Arial"/>
          <w:i/>
          <w:iCs/>
          <w:sz w:val="20"/>
          <w:szCs w:val="20"/>
        </w:rPr>
        <w:t>Cons. Biol</w:t>
      </w:r>
      <w:r w:rsidRPr="00767A81">
        <w:rPr>
          <w:rFonts w:cs="Arial"/>
          <w:sz w:val="20"/>
          <w:szCs w:val="20"/>
        </w:rPr>
        <w:t xml:space="preserve">. 39(1), e14345. </w:t>
      </w:r>
      <w:hyperlink r:id="rId134" w:history="1">
        <w:r w:rsidRPr="00767A81">
          <w:rPr>
            <w:rStyle w:val="Hyperlink"/>
            <w:rFonts w:cs="Arial"/>
            <w:sz w:val="20"/>
            <w:szCs w:val="20"/>
          </w:rPr>
          <w:t>https://doi.org/10.1111/cobi.14345</w:t>
        </w:r>
      </w:hyperlink>
    </w:p>
    <w:p w14:paraId="40565A41" w14:textId="77777777" w:rsidR="0034769E" w:rsidRPr="00767A81" w:rsidRDefault="0034769E" w:rsidP="002D798A">
      <w:pPr>
        <w:pStyle w:val="ListParagraph"/>
        <w:numPr>
          <w:ilvl w:val="0"/>
          <w:numId w:val="19"/>
        </w:numPr>
        <w:spacing w:after="40"/>
        <w:ind w:left="714" w:hanging="357"/>
        <w:contextualSpacing w:val="0"/>
        <w:jc w:val="both"/>
        <w:rPr>
          <w:rStyle w:val="Hyperlink"/>
          <w:rFonts w:cs="Arial"/>
          <w:sz w:val="20"/>
          <w:szCs w:val="20"/>
        </w:rPr>
      </w:pPr>
      <w:r w:rsidRPr="00767A81">
        <w:rPr>
          <w:rFonts w:cs="Arial"/>
          <w:sz w:val="20"/>
          <w:szCs w:val="20"/>
          <w:lang w:val="en-US"/>
        </w:rPr>
        <w:t xml:space="preserve">Bernard, A. </w:t>
      </w:r>
      <w:r w:rsidRPr="00767A81">
        <w:rPr>
          <w:rFonts w:cs="Arial"/>
          <w:i/>
          <w:iCs/>
          <w:sz w:val="20"/>
          <w:szCs w:val="20"/>
          <w:lang w:val="en-US"/>
        </w:rPr>
        <w:t>et al.</w:t>
      </w:r>
      <w:r w:rsidRPr="00767A81">
        <w:rPr>
          <w:rFonts w:cs="Arial"/>
          <w:sz w:val="20"/>
          <w:szCs w:val="20"/>
          <w:lang w:val="en-US"/>
        </w:rPr>
        <w:t xml:space="preserve"> 2021. Towards a global strategy for seabird tracking. </w:t>
      </w:r>
      <w:proofErr w:type="spellStart"/>
      <w:r w:rsidRPr="00767A81">
        <w:rPr>
          <w:rFonts w:cs="Arial"/>
          <w:i/>
          <w:iCs/>
          <w:sz w:val="20"/>
          <w:szCs w:val="20"/>
          <w:lang w:val="de-DE"/>
        </w:rPr>
        <w:t>Conserv</w:t>
      </w:r>
      <w:proofErr w:type="spellEnd"/>
      <w:r w:rsidRPr="00767A81">
        <w:rPr>
          <w:rFonts w:cs="Arial"/>
          <w:i/>
          <w:iCs/>
          <w:sz w:val="20"/>
          <w:szCs w:val="20"/>
          <w:lang w:val="de-DE"/>
        </w:rPr>
        <w:t xml:space="preserve">. Lett. </w:t>
      </w:r>
      <w:r w:rsidRPr="00767A81">
        <w:rPr>
          <w:rFonts w:cs="Arial"/>
          <w:sz w:val="20"/>
          <w:szCs w:val="20"/>
          <w:lang w:val="de-DE"/>
        </w:rPr>
        <w:t xml:space="preserve">14, e12804. </w:t>
      </w:r>
      <w:hyperlink r:id="rId135" w:history="1">
        <w:r w:rsidRPr="00767A81">
          <w:rPr>
            <w:rStyle w:val="Hyperlink"/>
            <w:rFonts w:eastAsia="Calibri" w:cs="Arial"/>
            <w:sz w:val="20"/>
            <w:szCs w:val="20"/>
          </w:rPr>
          <w:t>https://doi.org/10.1111/cobi.14002</w:t>
        </w:r>
      </w:hyperlink>
    </w:p>
    <w:p w14:paraId="4BD13A51" w14:textId="77777777" w:rsidR="0034769E" w:rsidRPr="00767A81" w:rsidRDefault="0034769E" w:rsidP="002D798A">
      <w:pPr>
        <w:pStyle w:val="ListParagraph"/>
        <w:numPr>
          <w:ilvl w:val="0"/>
          <w:numId w:val="19"/>
        </w:numPr>
        <w:spacing w:after="40" w:line="240" w:lineRule="auto"/>
        <w:ind w:left="714" w:hanging="357"/>
        <w:contextualSpacing w:val="0"/>
        <w:jc w:val="both"/>
        <w:rPr>
          <w:rStyle w:val="Hyperlink"/>
          <w:rFonts w:eastAsia="Calibri" w:cs="Arial"/>
          <w:sz w:val="20"/>
          <w:szCs w:val="20"/>
        </w:rPr>
      </w:pPr>
      <w:r w:rsidRPr="00767A81">
        <w:rPr>
          <w:rFonts w:eastAsia="Calibri" w:cs="Arial"/>
          <w:sz w:val="20"/>
          <w:szCs w:val="20"/>
          <w:lang w:val="fr-FR"/>
        </w:rPr>
        <w:t xml:space="preserve">Guilherme, J. L. </w:t>
      </w:r>
      <w:r w:rsidRPr="00767A81">
        <w:rPr>
          <w:rFonts w:eastAsia="Calibri" w:cs="Arial"/>
          <w:i/>
          <w:sz w:val="20"/>
          <w:szCs w:val="20"/>
          <w:lang w:val="fr-FR"/>
        </w:rPr>
        <w:t>et al.</w:t>
      </w:r>
      <w:r w:rsidRPr="00767A81">
        <w:rPr>
          <w:rFonts w:eastAsia="Calibri" w:cs="Arial"/>
          <w:sz w:val="20"/>
          <w:szCs w:val="20"/>
          <w:lang w:val="fr-FR"/>
        </w:rPr>
        <w:t xml:space="preserve"> 2023. </w:t>
      </w:r>
      <w:r w:rsidRPr="00767A81">
        <w:rPr>
          <w:rFonts w:eastAsia="Calibri" w:cs="Arial"/>
          <w:sz w:val="20"/>
          <w:szCs w:val="20"/>
        </w:rPr>
        <w:t xml:space="preserve">Connectivity between countries established by landbirds and raptors migrating along the African-Eurasian flyway. </w:t>
      </w:r>
      <w:r w:rsidRPr="00767A81">
        <w:rPr>
          <w:rFonts w:eastAsia="Calibri" w:cs="Arial"/>
          <w:i/>
          <w:iCs/>
          <w:sz w:val="20"/>
          <w:szCs w:val="20"/>
        </w:rPr>
        <w:t>Cons. Biol</w:t>
      </w:r>
      <w:r w:rsidRPr="00767A81">
        <w:rPr>
          <w:rFonts w:eastAsia="Calibri" w:cs="Arial"/>
          <w:sz w:val="20"/>
          <w:szCs w:val="20"/>
        </w:rPr>
        <w:t>. 37, e14002. https://doi.org/10.1111/conl.12804</w:t>
      </w:r>
    </w:p>
    <w:p w14:paraId="34B712F0" w14:textId="77777777" w:rsidR="0034769E" w:rsidRPr="00767A81" w:rsidRDefault="0034769E" w:rsidP="002D798A">
      <w:pPr>
        <w:pStyle w:val="ListParagraph"/>
        <w:numPr>
          <w:ilvl w:val="0"/>
          <w:numId w:val="19"/>
        </w:numPr>
        <w:spacing w:after="40" w:line="240" w:lineRule="auto"/>
        <w:ind w:left="714" w:hanging="357"/>
        <w:contextualSpacing w:val="0"/>
        <w:jc w:val="both"/>
        <w:rPr>
          <w:rFonts w:eastAsia="Calibri" w:cs="Arial"/>
          <w:sz w:val="20"/>
          <w:szCs w:val="20"/>
        </w:rPr>
      </w:pPr>
      <w:r w:rsidRPr="00767A81">
        <w:rPr>
          <w:rFonts w:eastAsia="Calibri" w:cs="Arial"/>
          <w:sz w:val="20"/>
          <w:szCs w:val="20"/>
          <w:lang w:val="it-IT"/>
        </w:rPr>
        <w:t xml:space="preserve">Scarpignato, A. L. </w:t>
      </w:r>
      <w:r w:rsidRPr="00767A81">
        <w:rPr>
          <w:rFonts w:eastAsia="Calibri" w:cs="Arial"/>
          <w:i/>
          <w:sz w:val="20"/>
          <w:szCs w:val="20"/>
          <w:lang w:val="it-IT"/>
        </w:rPr>
        <w:t>et al</w:t>
      </w:r>
      <w:r w:rsidRPr="00767A81">
        <w:rPr>
          <w:rFonts w:eastAsia="Calibri" w:cs="Arial"/>
          <w:sz w:val="20"/>
          <w:szCs w:val="20"/>
          <w:lang w:val="it-IT"/>
        </w:rPr>
        <w:t xml:space="preserve">. 2023. </w:t>
      </w:r>
      <w:r w:rsidRPr="00767A81">
        <w:rPr>
          <w:rFonts w:eastAsia="Calibri" w:cs="Arial"/>
          <w:sz w:val="20"/>
          <w:szCs w:val="20"/>
        </w:rPr>
        <w:t xml:space="preserve">Shortfalls in tracking data available to inform North American migratory bird conservation. </w:t>
      </w:r>
      <w:r w:rsidRPr="00767A81">
        <w:rPr>
          <w:rFonts w:eastAsia="Calibri" w:cs="Arial"/>
          <w:i/>
          <w:iCs/>
          <w:sz w:val="20"/>
          <w:szCs w:val="20"/>
        </w:rPr>
        <w:t xml:space="preserve">Biol. Cons. </w:t>
      </w:r>
      <w:r w:rsidRPr="00767A81">
        <w:rPr>
          <w:rFonts w:eastAsia="Calibri" w:cs="Arial"/>
          <w:sz w:val="20"/>
          <w:szCs w:val="20"/>
        </w:rPr>
        <w:t xml:space="preserve">286, 110224. </w:t>
      </w:r>
      <w:hyperlink r:id="rId136" w:history="1">
        <w:r w:rsidRPr="00767A81">
          <w:rPr>
            <w:rStyle w:val="Hyperlink"/>
            <w:rFonts w:eastAsia="Calibri" w:cs="Arial"/>
            <w:sz w:val="20"/>
            <w:szCs w:val="20"/>
          </w:rPr>
          <w:t>https://doi.org/10.1016/j.biocon.2023.110224</w:t>
        </w:r>
      </w:hyperlink>
    </w:p>
    <w:p w14:paraId="6E5E4F09" w14:textId="77777777" w:rsidR="0034769E" w:rsidRPr="00767A81" w:rsidRDefault="0034769E" w:rsidP="002D798A">
      <w:pPr>
        <w:pStyle w:val="ListParagraph"/>
        <w:numPr>
          <w:ilvl w:val="0"/>
          <w:numId w:val="19"/>
        </w:numPr>
        <w:spacing w:after="40" w:line="240" w:lineRule="auto"/>
        <w:ind w:left="714" w:hanging="357"/>
        <w:contextualSpacing w:val="0"/>
        <w:jc w:val="both"/>
        <w:rPr>
          <w:rFonts w:eastAsia="Calibri" w:cs="Arial"/>
          <w:sz w:val="20"/>
          <w:szCs w:val="20"/>
        </w:rPr>
      </w:pPr>
      <w:r w:rsidRPr="00767A81">
        <w:rPr>
          <w:rFonts w:eastAsia="Calibri" w:cs="Arial"/>
          <w:sz w:val="20"/>
          <w:szCs w:val="20"/>
        </w:rPr>
        <w:t xml:space="preserve">WILDLABS. 2024. </w:t>
      </w:r>
      <w:r w:rsidRPr="00767A81">
        <w:rPr>
          <w:rFonts w:eastAsia="Calibri" w:cs="Arial"/>
          <w:i/>
          <w:iCs/>
          <w:sz w:val="20"/>
          <w:szCs w:val="20"/>
        </w:rPr>
        <w:t>Introducing the Move BON Initiative</w:t>
      </w:r>
      <w:r w:rsidRPr="00767A81">
        <w:rPr>
          <w:rFonts w:eastAsia="Calibri" w:cs="Arial"/>
          <w:sz w:val="20"/>
          <w:szCs w:val="20"/>
        </w:rPr>
        <w:t xml:space="preserve">. </w:t>
      </w:r>
      <w:hyperlink r:id="rId137" w:history="1">
        <w:r w:rsidRPr="00767A81">
          <w:rPr>
            <w:rStyle w:val="Hyperlink"/>
            <w:rFonts w:eastAsia="Calibri" w:cs="Arial"/>
            <w:sz w:val="20"/>
            <w:szCs w:val="20"/>
          </w:rPr>
          <w:t>https://wildlabs.net/article/introducing-move-bon-initiative</w:t>
        </w:r>
      </w:hyperlink>
      <w:r w:rsidRPr="00767A81">
        <w:rPr>
          <w:rFonts w:eastAsia="Calibri" w:cs="Arial"/>
          <w:sz w:val="20"/>
          <w:szCs w:val="20"/>
        </w:rPr>
        <w:t xml:space="preserve"> [Accessed 9 October 2025]</w:t>
      </w:r>
    </w:p>
    <w:p w14:paraId="330B01E8" w14:textId="77777777" w:rsidR="0034769E" w:rsidRPr="00767A81" w:rsidRDefault="0034769E" w:rsidP="002D798A">
      <w:pPr>
        <w:pStyle w:val="ListParagraph"/>
        <w:numPr>
          <w:ilvl w:val="0"/>
          <w:numId w:val="19"/>
        </w:numPr>
        <w:spacing w:after="40"/>
        <w:ind w:left="714" w:hanging="357"/>
        <w:contextualSpacing w:val="0"/>
        <w:jc w:val="both"/>
        <w:rPr>
          <w:rStyle w:val="Hyperlink"/>
          <w:rFonts w:cs="Arial"/>
          <w:sz w:val="20"/>
          <w:szCs w:val="20"/>
        </w:rPr>
      </w:pPr>
      <w:r w:rsidRPr="00767A81">
        <w:rPr>
          <w:rStyle w:val="Hyperlink"/>
          <w:rFonts w:cs="Arial"/>
          <w:sz w:val="20"/>
          <w:szCs w:val="20"/>
        </w:rPr>
        <w:t xml:space="preserve">Convention on Wetlands. 2025. Global Wetland Outlook 2025: Valuing, conserving, restoring and financing wetlands. Gland, Switzerland: Secretariat of the Convention on Wetlands. </w:t>
      </w:r>
      <w:hyperlink r:id="rId138" w:history="1">
        <w:r w:rsidRPr="00767A81">
          <w:rPr>
            <w:rStyle w:val="Hyperlink"/>
            <w:rFonts w:cs="Arial"/>
            <w:sz w:val="20"/>
            <w:szCs w:val="20"/>
          </w:rPr>
          <w:t>https://doi.org/10.69556/GWO-2025-eng</w:t>
        </w:r>
      </w:hyperlink>
    </w:p>
    <w:p w14:paraId="48550203" w14:textId="77777777" w:rsidR="0034769E" w:rsidRPr="00767A81" w:rsidRDefault="0034769E" w:rsidP="002D798A">
      <w:pPr>
        <w:pStyle w:val="ListParagraph"/>
        <w:numPr>
          <w:ilvl w:val="0"/>
          <w:numId w:val="19"/>
        </w:numPr>
        <w:spacing w:after="40"/>
        <w:ind w:left="714" w:hanging="357"/>
        <w:contextualSpacing w:val="0"/>
        <w:jc w:val="both"/>
        <w:rPr>
          <w:rFonts w:cs="Arial"/>
          <w:sz w:val="20"/>
          <w:szCs w:val="20"/>
        </w:rPr>
      </w:pPr>
      <w:r w:rsidRPr="00E7787F">
        <w:rPr>
          <w:rFonts w:eastAsia="Calibri" w:cs="Arial"/>
          <w:sz w:val="20"/>
          <w:szCs w:val="20"/>
          <w:lang w:val="pt-PT"/>
        </w:rPr>
        <w:t xml:space="preserve">Sequeira, A. M. M. </w:t>
      </w:r>
      <w:r w:rsidRPr="00E7787F">
        <w:rPr>
          <w:rFonts w:eastAsia="Calibri" w:cs="Arial"/>
          <w:i/>
          <w:sz w:val="20"/>
          <w:szCs w:val="20"/>
          <w:lang w:val="pt-PT"/>
        </w:rPr>
        <w:t>et al.</w:t>
      </w:r>
      <w:r w:rsidRPr="00E7787F">
        <w:rPr>
          <w:rFonts w:eastAsia="Calibri" w:cs="Arial"/>
          <w:sz w:val="20"/>
          <w:szCs w:val="20"/>
          <w:lang w:val="pt-PT"/>
        </w:rPr>
        <w:t xml:space="preserve"> 2025. </w:t>
      </w:r>
      <w:r w:rsidRPr="00767A81">
        <w:rPr>
          <w:rFonts w:eastAsia="Calibri" w:cs="Arial"/>
          <w:sz w:val="20"/>
          <w:szCs w:val="20"/>
        </w:rPr>
        <w:t xml:space="preserve">Global tracking of marine megafauna space use reveals how to achieve conservation goals. </w:t>
      </w:r>
      <w:r w:rsidRPr="00767A81">
        <w:rPr>
          <w:rFonts w:eastAsia="Calibri" w:cs="Arial"/>
          <w:i/>
          <w:iCs/>
          <w:sz w:val="20"/>
          <w:szCs w:val="20"/>
        </w:rPr>
        <w:t>Science</w:t>
      </w:r>
      <w:r w:rsidRPr="00767A81">
        <w:rPr>
          <w:rFonts w:eastAsia="Calibri" w:cs="Arial"/>
          <w:sz w:val="20"/>
          <w:szCs w:val="20"/>
        </w:rPr>
        <w:t xml:space="preserve"> 388(6751), 1086-1097. </w:t>
      </w:r>
      <w:hyperlink r:id="rId139" w:history="1">
        <w:r w:rsidRPr="00767A81">
          <w:rPr>
            <w:rStyle w:val="Hyperlink"/>
            <w:rFonts w:eastAsia="Calibri" w:cs="Arial"/>
            <w:sz w:val="20"/>
            <w:szCs w:val="20"/>
          </w:rPr>
          <w:t>https://doi.org/10.1126/science.adl0239</w:t>
        </w:r>
      </w:hyperlink>
    </w:p>
    <w:p w14:paraId="003B1A0A" w14:textId="77777777" w:rsidR="0034769E" w:rsidRPr="00767A81" w:rsidRDefault="0034769E" w:rsidP="002D798A">
      <w:pPr>
        <w:pStyle w:val="ListParagraph"/>
        <w:numPr>
          <w:ilvl w:val="0"/>
          <w:numId w:val="19"/>
        </w:numPr>
        <w:spacing w:after="40" w:line="240" w:lineRule="auto"/>
        <w:ind w:left="714" w:hanging="357"/>
        <w:contextualSpacing w:val="0"/>
        <w:jc w:val="both"/>
        <w:rPr>
          <w:rFonts w:eastAsia="Calibri" w:cs="Arial"/>
          <w:sz w:val="20"/>
          <w:szCs w:val="20"/>
        </w:rPr>
      </w:pPr>
      <w:proofErr w:type="spellStart"/>
      <w:r w:rsidRPr="00767A81">
        <w:rPr>
          <w:rFonts w:eastAsia="Calibri" w:cs="Arial"/>
          <w:sz w:val="20"/>
          <w:szCs w:val="20"/>
          <w:lang w:val="fr-FR"/>
        </w:rPr>
        <w:t>Nisi</w:t>
      </w:r>
      <w:proofErr w:type="spellEnd"/>
      <w:r w:rsidRPr="00767A81">
        <w:rPr>
          <w:rFonts w:eastAsia="Calibri" w:cs="Arial"/>
          <w:sz w:val="20"/>
          <w:szCs w:val="20"/>
          <w:lang w:val="fr-FR"/>
        </w:rPr>
        <w:t xml:space="preserve">, A. C. </w:t>
      </w:r>
      <w:r w:rsidRPr="00767A81">
        <w:rPr>
          <w:rFonts w:eastAsia="Calibri" w:cs="Arial"/>
          <w:i/>
          <w:sz w:val="20"/>
          <w:szCs w:val="20"/>
          <w:lang w:val="fr-FR"/>
        </w:rPr>
        <w:t>et al.</w:t>
      </w:r>
      <w:r w:rsidRPr="00767A81">
        <w:rPr>
          <w:rFonts w:eastAsia="Calibri" w:cs="Arial"/>
          <w:sz w:val="20"/>
          <w:szCs w:val="20"/>
          <w:lang w:val="fr-FR"/>
        </w:rPr>
        <w:t xml:space="preserve"> 2024. </w:t>
      </w:r>
      <w:r w:rsidRPr="00767A81">
        <w:rPr>
          <w:rFonts w:eastAsia="Calibri" w:cs="Arial"/>
          <w:sz w:val="20"/>
          <w:szCs w:val="20"/>
        </w:rPr>
        <w:t xml:space="preserve">Ship collision risk threatens whales across the world’s oceans. </w:t>
      </w:r>
      <w:r w:rsidRPr="00767A81">
        <w:rPr>
          <w:rFonts w:eastAsia="Calibri" w:cs="Arial"/>
          <w:i/>
          <w:iCs/>
          <w:sz w:val="20"/>
          <w:szCs w:val="20"/>
        </w:rPr>
        <w:t>Science</w:t>
      </w:r>
      <w:r w:rsidRPr="00767A81">
        <w:rPr>
          <w:rFonts w:eastAsia="Calibri" w:cs="Arial"/>
          <w:sz w:val="20"/>
          <w:szCs w:val="20"/>
        </w:rPr>
        <w:t xml:space="preserve"> 386(6724), 870-875. </w:t>
      </w:r>
      <w:hyperlink r:id="rId140" w:history="1">
        <w:r w:rsidRPr="00767A81">
          <w:rPr>
            <w:rStyle w:val="Hyperlink"/>
            <w:rFonts w:eastAsia="Calibri" w:cs="Arial"/>
            <w:sz w:val="20"/>
            <w:szCs w:val="20"/>
          </w:rPr>
          <w:t>https://doi.org/1126/science.adp1950</w:t>
        </w:r>
      </w:hyperlink>
    </w:p>
    <w:p w14:paraId="30A912AD" w14:textId="77777777" w:rsidR="0042262E" w:rsidRPr="00767A81" w:rsidRDefault="0042262E" w:rsidP="0042262E">
      <w:pPr>
        <w:pStyle w:val="ListParagraph"/>
        <w:spacing w:after="40" w:line="240" w:lineRule="auto"/>
        <w:ind w:left="714"/>
        <w:contextualSpacing w:val="0"/>
        <w:jc w:val="both"/>
        <w:rPr>
          <w:rFonts w:eastAsia="Calibri" w:cs="Arial"/>
          <w:sz w:val="20"/>
          <w:szCs w:val="20"/>
        </w:rPr>
      </w:pPr>
    </w:p>
    <w:p w14:paraId="7662A927" w14:textId="77777777" w:rsidR="0034769E" w:rsidRPr="00767A81" w:rsidRDefault="0034769E" w:rsidP="0042262E">
      <w:pPr>
        <w:pStyle w:val="ListParagraph"/>
        <w:numPr>
          <w:ilvl w:val="0"/>
          <w:numId w:val="16"/>
        </w:numPr>
        <w:spacing w:after="0" w:line="240" w:lineRule="auto"/>
        <w:ind w:left="357" w:hanging="357"/>
        <w:contextualSpacing w:val="0"/>
        <w:rPr>
          <w:rFonts w:cs="Arial"/>
          <w:b/>
          <w:bCs/>
          <w:sz w:val="20"/>
          <w:szCs w:val="20"/>
        </w:rPr>
      </w:pPr>
      <w:r w:rsidRPr="00767A81">
        <w:rPr>
          <w:rFonts w:cs="Arial"/>
          <w:b/>
          <w:bCs/>
          <w:sz w:val="20"/>
          <w:szCs w:val="20"/>
        </w:rPr>
        <w:t>Recent progress mapping migratory pathways</w:t>
      </w:r>
    </w:p>
    <w:p w14:paraId="263C1FF6" w14:textId="77777777" w:rsidR="0042262E" w:rsidRPr="00767A81" w:rsidRDefault="0042262E" w:rsidP="0042262E">
      <w:pPr>
        <w:pStyle w:val="ListParagraph"/>
        <w:spacing w:after="0" w:line="240" w:lineRule="auto"/>
        <w:ind w:left="357"/>
        <w:contextualSpacing w:val="0"/>
        <w:rPr>
          <w:rFonts w:cs="Arial"/>
          <w:b/>
          <w:bCs/>
          <w:sz w:val="20"/>
          <w:szCs w:val="20"/>
        </w:rPr>
      </w:pPr>
    </w:p>
    <w:p w14:paraId="42002DDD" w14:textId="77777777" w:rsidR="0034769E" w:rsidRPr="00767A81" w:rsidRDefault="0034769E" w:rsidP="0042262E">
      <w:pPr>
        <w:pStyle w:val="ListParagraph"/>
        <w:numPr>
          <w:ilvl w:val="0"/>
          <w:numId w:val="20"/>
        </w:numPr>
        <w:spacing w:after="40" w:line="240" w:lineRule="auto"/>
        <w:ind w:left="714" w:hanging="357"/>
        <w:contextualSpacing w:val="0"/>
        <w:jc w:val="both"/>
        <w:rPr>
          <w:rFonts w:eastAsia="Calibri" w:cs="Arial"/>
          <w:sz w:val="20"/>
          <w:szCs w:val="20"/>
        </w:rPr>
      </w:pPr>
      <w:r w:rsidRPr="00E7787F">
        <w:rPr>
          <w:rFonts w:eastAsia="Calibri" w:cs="Arial"/>
          <w:sz w:val="20"/>
          <w:szCs w:val="20"/>
          <w:lang w:val="pt-PT"/>
        </w:rPr>
        <w:t xml:space="preserve">Sequeira, A. M. M. </w:t>
      </w:r>
      <w:r w:rsidRPr="00E7787F">
        <w:rPr>
          <w:rFonts w:eastAsia="Calibri" w:cs="Arial"/>
          <w:i/>
          <w:sz w:val="20"/>
          <w:szCs w:val="20"/>
          <w:lang w:val="pt-PT"/>
        </w:rPr>
        <w:t>et al.</w:t>
      </w:r>
      <w:r w:rsidRPr="00E7787F">
        <w:rPr>
          <w:rFonts w:eastAsia="Calibri" w:cs="Arial"/>
          <w:sz w:val="20"/>
          <w:szCs w:val="20"/>
          <w:lang w:val="pt-PT"/>
        </w:rPr>
        <w:t xml:space="preserve"> 2025. </w:t>
      </w:r>
      <w:r w:rsidRPr="00767A81">
        <w:rPr>
          <w:rFonts w:eastAsia="Calibri" w:cs="Arial"/>
          <w:sz w:val="20"/>
          <w:szCs w:val="20"/>
        </w:rPr>
        <w:t xml:space="preserve">Global tracking of marine megafauna space use reveals how to achieve conservation goals. </w:t>
      </w:r>
      <w:r w:rsidRPr="00767A81">
        <w:rPr>
          <w:rFonts w:eastAsia="Calibri" w:cs="Arial"/>
          <w:i/>
          <w:iCs/>
          <w:sz w:val="20"/>
          <w:szCs w:val="20"/>
        </w:rPr>
        <w:t>Science</w:t>
      </w:r>
      <w:r w:rsidRPr="00767A81">
        <w:rPr>
          <w:rFonts w:eastAsia="Calibri" w:cs="Arial"/>
          <w:sz w:val="20"/>
          <w:szCs w:val="20"/>
        </w:rPr>
        <w:t xml:space="preserve"> 388(6751), 1086-1097. </w:t>
      </w:r>
      <w:hyperlink r:id="rId141" w:history="1">
        <w:r w:rsidRPr="00767A81">
          <w:rPr>
            <w:rStyle w:val="Hyperlink"/>
            <w:rFonts w:eastAsia="Calibri" w:cs="Arial"/>
            <w:sz w:val="20"/>
            <w:szCs w:val="20"/>
          </w:rPr>
          <w:t>https://doi.org/10.1126/science.adl0239</w:t>
        </w:r>
      </w:hyperlink>
    </w:p>
    <w:p w14:paraId="1BEC4058" w14:textId="77777777" w:rsidR="0034769E" w:rsidRPr="00767A81" w:rsidRDefault="0034769E" w:rsidP="0042262E">
      <w:pPr>
        <w:pStyle w:val="ListParagraph"/>
        <w:numPr>
          <w:ilvl w:val="0"/>
          <w:numId w:val="20"/>
        </w:numPr>
        <w:spacing w:after="40" w:line="240" w:lineRule="auto"/>
        <w:ind w:left="714" w:hanging="357"/>
        <w:contextualSpacing w:val="0"/>
        <w:jc w:val="both"/>
        <w:rPr>
          <w:rFonts w:eastAsia="Calibri" w:cs="Arial"/>
          <w:sz w:val="20"/>
          <w:szCs w:val="20"/>
        </w:rPr>
      </w:pPr>
      <w:r w:rsidRPr="00767A81">
        <w:rPr>
          <w:rFonts w:eastAsia="Calibri" w:cs="Arial"/>
          <w:sz w:val="20"/>
          <w:szCs w:val="20"/>
        </w:rPr>
        <w:t xml:space="preserve">Nandintsetseg, D. </w:t>
      </w:r>
      <w:r w:rsidRPr="00767A81">
        <w:rPr>
          <w:rFonts w:eastAsia="Calibri" w:cs="Arial"/>
          <w:i/>
          <w:iCs/>
          <w:sz w:val="20"/>
          <w:szCs w:val="20"/>
        </w:rPr>
        <w:t>et al</w:t>
      </w:r>
      <w:r w:rsidRPr="00767A81">
        <w:rPr>
          <w:rFonts w:eastAsia="Calibri" w:cs="Arial"/>
          <w:sz w:val="20"/>
          <w:szCs w:val="20"/>
        </w:rPr>
        <w:t xml:space="preserve">. 2019. Challenges in the conservation of wide-ranging nomadic species. </w:t>
      </w:r>
      <w:r w:rsidRPr="00767A81">
        <w:rPr>
          <w:rFonts w:eastAsia="Calibri" w:cs="Arial"/>
          <w:i/>
          <w:iCs/>
          <w:sz w:val="20"/>
          <w:szCs w:val="20"/>
        </w:rPr>
        <w:t xml:space="preserve">J. Appl. Ecol. </w:t>
      </w:r>
      <w:r w:rsidRPr="00767A81">
        <w:rPr>
          <w:rFonts w:eastAsia="Calibri" w:cs="Arial"/>
          <w:sz w:val="20"/>
          <w:szCs w:val="20"/>
        </w:rPr>
        <w:t xml:space="preserve">56(8), 1916-1926. </w:t>
      </w:r>
      <w:hyperlink r:id="rId142" w:history="1">
        <w:r w:rsidRPr="00767A81">
          <w:rPr>
            <w:rStyle w:val="Hyperlink"/>
            <w:rFonts w:eastAsia="Calibri" w:cs="Arial"/>
            <w:sz w:val="20"/>
            <w:szCs w:val="20"/>
          </w:rPr>
          <w:t>https://doi.org/10.1111/1365-2664.13380</w:t>
        </w:r>
      </w:hyperlink>
    </w:p>
    <w:p w14:paraId="516D2744" w14:textId="77777777" w:rsidR="0034769E" w:rsidRPr="00767A81" w:rsidRDefault="0034769E" w:rsidP="0042262E">
      <w:pPr>
        <w:pStyle w:val="ListParagraph"/>
        <w:numPr>
          <w:ilvl w:val="0"/>
          <w:numId w:val="20"/>
        </w:numPr>
        <w:spacing w:after="40" w:line="240" w:lineRule="auto"/>
        <w:ind w:left="714" w:hanging="357"/>
        <w:contextualSpacing w:val="0"/>
        <w:jc w:val="both"/>
        <w:rPr>
          <w:rFonts w:eastAsia="Calibri" w:cs="Arial"/>
          <w:sz w:val="20"/>
          <w:szCs w:val="20"/>
        </w:rPr>
      </w:pPr>
      <w:proofErr w:type="spellStart"/>
      <w:r w:rsidRPr="00767A81">
        <w:rPr>
          <w:rFonts w:eastAsia="Calibri" w:cs="Arial"/>
          <w:sz w:val="20"/>
          <w:szCs w:val="20"/>
        </w:rPr>
        <w:t>Mendgen</w:t>
      </w:r>
      <w:proofErr w:type="spellEnd"/>
      <w:r w:rsidRPr="00767A81">
        <w:rPr>
          <w:rFonts w:eastAsia="Calibri" w:cs="Arial"/>
          <w:sz w:val="20"/>
          <w:szCs w:val="20"/>
        </w:rPr>
        <w:t xml:space="preserve">, P. </w:t>
      </w:r>
      <w:r w:rsidRPr="00767A81">
        <w:rPr>
          <w:rFonts w:eastAsia="Calibri" w:cs="Arial"/>
          <w:i/>
          <w:iCs/>
          <w:sz w:val="20"/>
          <w:szCs w:val="20"/>
        </w:rPr>
        <w:t>et al</w:t>
      </w:r>
      <w:r w:rsidRPr="00767A81">
        <w:rPr>
          <w:rFonts w:eastAsia="Calibri" w:cs="Arial"/>
          <w:sz w:val="20"/>
          <w:szCs w:val="20"/>
        </w:rPr>
        <w:t xml:space="preserve">. 2023. Nomadic ungulate movements under threat: Declining mobility of Mongolian gazelles in the Eastern Steppe of Mongolia. </w:t>
      </w:r>
      <w:r w:rsidRPr="00767A81">
        <w:rPr>
          <w:rFonts w:eastAsia="Calibri" w:cs="Arial"/>
          <w:i/>
          <w:iCs/>
          <w:sz w:val="20"/>
          <w:szCs w:val="20"/>
        </w:rPr>
        <w:t>Biol. Cons.</w:t>
      </w:r>
      <w:r w:rsidRPr="00767A81">
        <w:rPr>
          <w:rFonts w:eastAsia="Calibri" w:cs="Arial"/>
          <w:sz w:val="20"/>
          <w:szCs w:val="20"/>
        </w:rPr>
        <w:t xml:space="preserve"> 286, 110271. https://doi.org/10.1016/j.biocon.2023.110271</w:t>
      </w:r>
    </w:p>
    <w:p w14:paraId="6388377D" w14:textId="77777777" w:rsidR="0034769E" w:rsidRPr="00767A81" w:rsidRDefault="0034769E" w:rsidP="0042262E">
      <w:pPr>
        <w:pStyle w:val="ListParagraph"/>
        <w:numPr>
          <w:ilvl w:val="0"/>
          <w:numId w:val="20"/>
        </w:numPr>
        <w:spacing w:after="40" w:line="240" w:lineRule="auto"/>
        <w:ind w:left="714" w:hanging="357"/>
        <w:contextualSpacing w:val="0"/>
        <w:jc w:val="both"/>
        <w:rPr>
          <w:rFonts w:eastAsia="Calibri" w:cs="Arial"/>
          <w:sz w:val="20"/>
          <w:szCs w:val="20"/>
        </w:rPr>
      </w:pPr>
      <w:proofErr w:type="spellStart"/>
      <w:r w:rsidRPr="00767A81">
        <w:rPr>
          <w:rFonts w:eastAsia="Calibri" w:cs="Arial"/>
          <w:sz w:val="20"/>
          <w:szCs w:val="20"/>
          <w:lang w:val="fr-FR"/>
        </w:rPr>
        <w:t>Nisi</w:t>
      </w:r>
      <w:proofErr w:type="spellEnd"/>
      <w:r w:rsidRPr="00767A81">
        <w:rPr>
          <w:rFonts w:eastAsia="Calibri" w:cs="Arial"/>
          <w:sz w:val="20"/>
          <w:szCs w:val="20"/>
          <w:lang w:val="fr-FR"/>
        </w:rPr>
        <w:t xml:space="preserve">, A. C. </w:t>
      </w:r>
      <w:r w:rsidRPr="00767A81">
        <w:rPr>
          <w:rFonts w:eastAsia="Calibri" w:cs="Arial"/>
          <w:i/>
          <w:sz w:val="20"/>
          <w:szCs w:val="20"/>
          <w:lang w:val="fr-FR"/>
        </w:rPr>
        <w:t>et al.</w:t>
      </w:r>
      <w:r w:rsidRPr="00767A81">
        <w:rPr>
          <w:rFonts w:eastAsia="Calibri" w:cs="Arial"/>
          <w:sz w:val="20"/>
          <w:szCs w:val="20"/>
          <w:lang w:val="fr-FR"/>
        </w:rPr>
        <w:t xml:space="preserve"> 2024. </w:t>
      </w:r>
      <w:r w:rsidRPr="00767A81">
        <w:rPr>
          <w:rFonts w:eastAsia="Calibri" w:cs="Arial"/>
          <w:sz w:val="20"/>
          <w:szCs w:val="20"/>
        </w:rPr>
        <w:t xml:space="preserve">Ship collision risk threatens whales across the world’s oceans. </w:t>
      </w:r>
      <w:r w:rsidRPr="00767A81">
        <w:rPr>
          <w:rFonts w:eastAsia="Calibri" w:cs="Arial"/>
          <w:i/>
          <w:iCs/>
          <w:sz w:val="20"/>
          <w:szCs w:val="20"/>
        </w:rPr>
        <w:t>Science</w:t>
      </w:r>
      <w:r w:rsidRPr="00767A81">
        <w:rPr>
          <w:rFonts w:eastAsia="Calibri" w:cs="Arial"/>
          <w:sz w:val="20"/>
          <w:szCs w:val="20"/>
        </w:rPr>
        <w:t xml:space="preserve"> 386(6724), 870-875. </w:t>
      </w:r>
      <w:hyperlink r:id="rId143" w:history="1">
        <w:r w:rsidRPr="00767A81">
          <w:rPr>
            <w:rStyle w:val="Hyperlink"/>
            <w:rFonts w:eastAsia="Calibri" w:cs="Arial"/>
            <w:sz w:val="20"/>
            <w:szCs w:val="20"/>
          </w:rPr>
          <w:t>https://doi.org/1126/science.adp1950</w:t>
        </w:r>
      </w:hyperlink>
    </w:p>
    <w:p w14:paraId="7BC5A3CD" w14:textId="77777777" w:rsidR="0034769E" w:rsidRPr="00767A81" w:rsidRDefault="0034769E" w:rsidP="0042262E">
      <w:pPr>
        <w:pStyle w:val="ListParagraph"/>
        <w:numPr>
          <w:ilvl w:val="0"/>
          <w:numId w:val="20"/>
        </w:numPr>
        <w:spacing w:after="40" w:line="240" w:lineRule="auto"/>
        <w:ind w:left="714" w:hanging="357"/>
        <w:contextualSpacing w:val="0"/>
        <w:jc w:val="both"/>
        <w:rPr>
          <w:rStyle w:val="Hyperlink"/>
          <w:rFonts w:eastAsia="Calibri" w:cs="Arial"/>
          <w:sz w:val="20"/>
          <w:szCs w:val="20"/>
        </w:rPr>
      </w:pPr>
      <w:r w:rsidRPr="00767A81">
        <w:rPr>
          <w:rFonts w:eastAsia="Calibri" w:cs="Arial"/>
          <w:sz w:val="20"/>
          <w:szCs w:val="20"/>
        </w:rPr>
        <w:t xml:space="preserve">Sun, J. </w:t>
      </w:r>
      <w:r w:rsidRPr="00767A81">
        <w:rPr>
          <w:rFonts w:eastAsia="Calibri" w:cs="Arial"/>
          <w:i/>
          <w:iCs/>
          <w:sz w:val="20"/>
          <w:szCs w:val="20"/>
        </w:rPr>
        <w:t>et al</w:t>
      </w:r>
      <w:r w:rsidRPr="00767A81">
        <w:rPr>
          <w:rFonts w:eastAsia="Calibri" w:cs="Arial"/>
          <w:sz w:val="20"/>
          <w:szCs w:val="20"/>
        </w:rPr>
        <w:t xml:space="preserve">. 2025. Widespread and strong impacts of river fragmentation by anthropogenic barriers on fishes in the Mekong River Basin. </w:t>
      </w:r>
      <w:r w:rsidRPr="00767A81">
        <w:rPr>
          <w:rFonts w:eastAsia="Calibri" w:cs="Arial"/>
          <w:i/>
          <w:iCs/>
          <w:sz w:val="20"/>
          <w:szCs w:val="20"/>
        </w:rPr>
        <w:t xml:space="preserve">Commun. Earth. Environ. </w:t>
      </w:r>
      <w:r w:rsidRPr="00767A81">
        <w:rPr>
          <w:rFonts w:eastAsia="Calibri" w:cs="Arial"/>
          <w:sz w:val="20"/>
          <w:szCs w:val="20"/>
        </w:rPr>
        <w:t xml:space="preserve">6, 534. </w:t>
      </w:r>
      <w:hyperlink r:id="rId144" w:history="1">
        <w:r w:rsidRPr="00767A81">
          <w:rPr>
            <w:rStyle w:val="Hyperlink"/>
            <w:rFonts w:eastAsia="Calibri" w:cs="Arial"/>
            <w:sz w:val="20"/>
            <w:szCs w:val="20"/>
          </w:rPr>
          <w:t>https://doi.org/10.1038/s43247-025-02467-y</w:t>
        </w:r>
      </w:hyperlink>
    </w:p>
    <w:p w14:paraId="6829F72A" w14:textId="77777777" w:rsidR="0034769E" w:rsidRPr="00767A81" w:rsidRDefault="0034769E" w:rsidP="0042262E">
      <w:pPr>
        <w:pStyle w:val="ListParagraph"/>
        <w:numPr>
          <w:ilvl w:val="0"/>
          <w:numId w:val="20"/>
        </w:numPr>
        <w:spacing w:after="40" w:line="240" w:lineRule="auto"/>
        <w:ind w:left="714" w:hanging="357"/>
        <w:contextualSpacing w:val="0"/>
        <w:jc w:val="both"/>
        <w:rPr>
          <w:rFonts w:eastAsia="Calibri" w:cs="Arial"/>
          <w:sz w:val="20"/>
          <w:szCs w:val="20"/>
        </w:rPr>
      </w:pPr>
      <w:r w:rsidRPr="00767A81">
        <w:rPr>
          <w:rFonts w:eastAsia="Calibri" w:cs="Arial"/>
          <w:sz w:val="20"/>
          <w:szCs w:val="20"/>
        </w:rPr>
        <w:t>UNEP/CMS, Eds. 2025. Central Asian Mammals Migration and Linear Infrastructure Atlas. CMS Technical Series No. 41. Bonn, Germany. Available at: https://www.cms.int/cami/es/node/26514</w:t>
      </w:r>
    </w:p>
    <w:p w14:paraId="2CFC04AA" w14:textId="77777777" w:rsidR="0034769E" w:rsidRPr="00767A81" w:rsidRDefault="0034769E" w:rsidP="0042262E">
      <w:pPr>
        <w:pStyle w:val="ListParagraph"/>
        <w:numPr>
          <w:ilvl w:val="0"/>
          <w:numId w:val="20"/>
        </w:numPr>
        <w:spacing w:after="40" w:line="240" w:lineRule="auto"/>
        <w:ind w:left="714" w:hanging="357"/>
        <w:contextualSpacing w:val="0"/>
        <w:jc w:val="both"/>
        <w:rPr>
          <w:rStyle w:val="Hyperlink"/>
          <w:rFonts w:eastAsia="Calibri" w:cs="Arial"/>
          <w:sz w:val="20"/>
          <w:szCs w:val="20"/>
        </w:rPr>
      </w:pPr>
      <w:r w:rsidRPr="00767A81">
        <w:rPr>
          <w:rFonts w:eastAsia="Calibri" w:cs="Arial"/>
          <w:sz w:val="20"/>
          <w:szCs w:val="20"/>
        </w:rPr>
        <w:t xml:space="preserve">Womersley </w:t>
      </w:r>
      <w:r w:rsidRPr="00767A81">
        <w:rPr>
          <w:rFonts w:eastAsia="Calibri" w:cs="Arial"/>
          <w:i/>
          <w:iCs/>
          <w:sz w:val="20"/>
          <w:szCs w:val="20"/>
        </w:rPr>
        <w:t>et al</w:t>
      </w:r>
      <w:r w:rsidRPr="00767A81">
        <w:rPr>
          <w:rFonts w:eastAsia="Calibri" w:cs="Arial"/>
          <w:sz w:val="20"/>
          <w:szCs w:val="20"/>
        </w:rPr>
        <w:t xml:space="preserve">. 2024. Identifying priority sites for whale shark ship collision management globally. </w:t>
      </w:r>
      <w:r w:rsidRPr="00767A81">
        <w:rPr>
          <w:rFonts w:eastAsia="Calibri" w:cs="Arial"/>
          <w:i/>
          <w:iCs/>
          <w:sz w:val="20"/>
          <w:szCs w:val="20"/>
        </w:rPr>
        <w:t xml:space="preserve">Sci. Tot. Env. </w:t>
      </w:r>
      <w:r w:rsidRPr="00767A81">
        <w:rPr>
          <w:rFonts w:eastAsia="Calibri" w:cs="Arial"/>
          <w:sz w:val="20"/>
          <w:szCs w:val="20"/>
        </w:rPr>
        <w:t xml:space="preserve">934, 172776. </w:t>
      </w:r>
      <w:hyperlink r:id="rId145" w:history="1">
        <w:r w:rsidRPr="00767A81">
          <w:rPr>
            <w:rStyle w:val="Hyperlink"/>
            <w:rFonts w:eastAsia="Calibri" w:cs="Arial"/>
            <w:sz w:val="20"/>
            <w:szCs w:val="20"/>
          </w:rPr>
          <w:t>https://doi.org/10.1016/j.scitotenv.2024.172776</w:t>
        </w:r>
      </w:hyperlink>
    </w:p>
    <w:p w14:paraId="5B4BB1A4" w14:textId="77777777" w:rsidR="0034769E" w:rsidRPr="00767A81" w:rsidRDefault="0034769E" w:rsidP="0042262E">
      <w:pPr>
        <w:pStyle w:val="ListParagraph"/>
        <w:numPr>
          <w:ilvl w:val="0"/>
          <w:numId w:val="20"/>
        </w:numPr>
        <w:spacing w:after="40" w:line="240" w:lineRule="auto"/>
        <w:ind w:left="714" w:hanging="357"/>
        <w:contextualSpacing w:val="0"/>
        <w:jc w:val="both"/>
        <w:rPr>
          <w:rFonts w:eastAsia="Calibri" w:cs="Arial"/>
          <w:sz w:val="20"/>
          <w:szCs w:val="20"/>
        </w:rPr>
      </w:pPr>
      <w:r w:rsidRPr="00767A81">
        <w:rPr>
          <w:rStyle w:val="Hyperlink"/>
          <w:rFonts w:eastAsia="Calibri" w:cs="Arial"/>
          <w:color w:val="000000" w:themeColor="text1"/>
          <w:sz w:val="20"/>
          <w:szCs w:val="20"/>
          <w:u w:val="none"/>
          <w:lang w:val="fr-FR"/>
        </w:rPr>
        <w:t xml:space="preserve">Clark, B. L. </w:t>
      </w:r>
      <w:r w:rsidRPr="00767A81">
        <w:rPr>
          <w:rStyle w:val="Hyperlink"/>
          <w:rFonts w:eastAsia="Calibri" w:cs="Arial"/>
          <w:i/>
          <w:color w:val="000000" w:themeColor="text1"/>
          <w:sz w:val="20"/>
          <w:szCs w:val="20"/>
          <w:u w:val="none"/>
          <w:lang w:val="fr-FR"/>
        </w:rPr>
        <w:t>et al</w:t>
      </w:r>
      <w:r w:rsidRPr="00767A81">
        <w:rPr>
          <w:rStyle w:val="Hyperlink"/>
          <w:rFonts w:eastAsia="Calibri" w:cs="Arial"/>
          <w:color w:val="000000" w:themeColor="text1"/>
          <w:sz w:val="20"/>
          <w:szCs w:val="20"/>
          <w:u w:val="none"/>
          <w:lang w:val="fr-FR"/>
        </w:rPr>
        <w:t xml:space="preserve">. 2023. </w:t>
      </w:r>
      <w:r w:rsidRPr="00767A81">
        <w:rPr>
          <w:rStyle w:val="Hyperlink"/>
          <w:rFonts w:eastAsia="Calibri" w:cs="Arial"/>
          <w:color w:val="000000" w:themeColor="text1"/>
          <w:sz w:val="20"/>
          <w:szCs w:val="20"/>
          <w:u w:val="none"/>
        </w:rPr>
        <w:t xml:space="preserve">Global assessment of marine plastic exposure risk for oceanic birds. </w:t>
      </w:r>
      <w:r w:rsidRPr="00767A81">
        <w:rPr>
          <w:rStyle w:val="Hyperlink"/>
          <w:rFonts w:eastAsia="Calibri" w:cs="Arial"/>
          <w:i/>
          <w:color w:val="000000" w:themeColor="text1"/>
          <w:sz w:val="20"/>
          <w:szCs w:val="20"/>
          <w:u w:val="none"/>
        </w:rPr>
        <w:t xml:space="preserve">Nat. Commun. </w:t>
      </w:r>
      <w:r w:rsidRPr="00767A81">
        <w:rPr>
          <w:rStyle w:val="Hyperlink"/>
          <w:rFonts w:eastAsia="Calibri" w:cs="Arial"/>
          <w:color w:val="000000" w:themeColor="text1"/>
          <w:sz w:val="20"/>
          <w:szCs w:val="20"/>
          <w:u w:val="none"/>
        </w:rPr>
        <w:t>13, 3665. https://doi.org/10.1038/s41467-023-38900-z</w:t>
      </w:r>
    </w:p>
    <w:p w14:paraId="01EAD027" w14:textId="77777777" w:rsidR="0034769E" w:rsidRPr="00767A81" w:rsidRDefault="0034769E" w:rsidP="0042262E">
      <w:pPr>
        <w:pStyle w:val="ListParagraph"/>
        <w:numPr>
          <w:ilvl w:val="0"/>
          <w:numId w:val="20"/>
        </w:numPr>
        <w:spacing w:after="40" w:line="240" w:lineRule="auto"/>
        <w:ind w:left="714" w:hanging="357"/>
        <w:contextualSpacing w:val="0"/>
        <w:jc w:val="both"/>
        <w:rPr>
          <w:rFonts w:eastAsia="Calibri" w:cs="Arial"/>
          <w:sz w:val="20"/>
          <w:szCs w:val="20"/>
        </w:rPr>
      </w:pPr>
      <w:r w:rsidRPr="00767A81">
        <w:rPr>
          <w:rFonts w:eastAsia="Calibri" w:cs="Arial"/>
          <w:sz w:val="20"/>
          <w:szCs w:val="20"/>
        </w:rPr>
        <w:t xml:space="preserve">Beal, M. </w:t>
      </w:r>
      <w:r w:rsidRPr="00767A81">
        <w:rPr>
          <w:rFonts w:eastAsia="Calibri" w:cs="Arial"/>
          <w:i/>
          <w:iCs/>
          <w:sz w:val="20"/>
          <w:szCs w:val="20"/>
        </w:rPr>
        <w:t>et al</w:t>
      </w:r>
      <w:r w:rsidRPr="00767A81">
        <w:rPr>
          <w:rFonts w:eastAsia="Calibri" w:cs="Arial"/>
          <w:sz w:val="20"/>
          <w:szCs w:val="20"/>
        </w:rPr>
        <w:t xml:space="preserve">. 2021. Global political responsibility for the conservation of albatrosses and large petrels. </w:t>
      </w:r>
      <w:r w:rsidRPr="00767A81">
        <w:rPr>
          <w:rFonts w:eastAsia="Calibri" w:cs="Arial"/>
          <w:i/>
          <w:iCs/>
          <w:sz w:val="20"/>
          <w:szCs w:val="20"/>
        </w:rPr>
        <w:t>Sci. Adv.</w:t>
      </w:r>
      <w:r w:rsidRPr="00767A81">
        <w:rPr>
          <w:rFonts w:eastAsia="Calibri" w:cs="Arial"/>
          <w:sz w:val="20"/>
          <w:szCs w:val="20"/>
        </w:rPr>
        <w:t xml:space="preserve"> 7(10), eabd7225. </w:t>
      </w:r>
      <w:hyperlink r:id="rId146" w:history="1">
        <w:r w:rsidRPr="00767A81">
          <w:rPr>
            <w:rStyle w:val="Hyperlink"/>
            <w:rFonts w:eastAsia="Calibri" w:cs="Arial"/>
            <w:sz w:val="20"/>
            <w:szCs w:val="20"/>
          </w:rPr>
          <w:t>https://doi.org/10.1126/sciadv.abd7225</w:t>
        </w:r>
      </w:hyperlink>
    </w:p>
    <w:p w14:paraId="2840070A" w14:textId="77777777" w:rsidR="0034769E" w:rsidRPr="00767A81" w:rsidRDefault="0034769E" w:rsidP="0042262E">
      <w:pPr>
        <w:pStyle w:val="ListParagraph"/>
        <w:numPr>
          <w:ilvl w:val="0"/>
          <w:numId w:val="20"/>
        </w:numPr>
        <w:spacing w:after="40" w:line="240" w:lineRule="auto"/>
        <w:ind w:left="714" w:hanging="357"/>
        <w:contextualSpacing w:val="0"/>
        <w:jc w:val="both"/>
        <w:rPr>
          <w:rFonts w:eastAsia="Calibri" w:cs="Arial"/>
          <w:sz w:val="20"/>
          <w:szCs w:val="20"/>
        </w:rPr>
      </w:pPr>
      <w:bookmarkStart w:id="11" w:name="_Hlk210915273"/>
      <w:r w:rsidRPr="00767A81">
        <w:rPr>
          <w:rFonts w:eastAsia="Calibri" w:cs="Arial"/>
          <w:sz w:val="20"/>
          <w:szCs w:val="20"/>
          <w:lang w:val="fr-FR"/>
        </w:rPr>
        <w:t xml:space="preserve">Guilherme, J. L. </w:t>
      </w:r>
      <w:r w:rsidRPr="00767A81">
        <w:rPr>
          <w:rFonts w:eastAsia="Calibri" w:cs="Arial"/>
          <w:i/>
          <w:sz w:val="20"/>
          <w:szCs w:val="20"/>
          <w:lang w:val="fr-FR"/>
        </w:rPr>
        <w:t>et al.</w:t>
      </w:r>
      <w:r w:rsidRPr="00767A81">
        <w:rPr>
          <w:rFonts w:eastAsia="Calibri" w:cs="Arial"/>
          <w:sz w:val="20"/>
          <w:szCs w:val="20"/>
          <w:lang w:val="fr-FR"/>
        </w:rPr>
        <w:t xml:space="preserve"> 2023. </w:t>
      </w:r>
      <w:r w:rsidRPr="00767A81">
        <w:rPr>
          <w:rFonts w:eastAsia="Calibri" w:cs="Arial"/>
          <w:sz w:val="20"/>
          <w:szCs w:val="20"/>
        </w:rPr>
        <w:t xml:space="preserve">Connectivity between countries established by landbirds and raptors migrating along the African-Eurasian flyway. </w:t>
      </w:r>
      <w:r w:rsidRPr="00767A81">
        <w:rPr>
          <w:rFonts w:eastAsia="Calibri" w:cs="Arial"/>
          <w:i/>
          <w:iCs/>
          <w:sz w:val="20"/>
          <w:szCs w:val="20"/>
        </w:rPr>
        <w:t>Cons. Biol</w:t>
      </w:r>
      <w:r w:rsidRPr="00767A81">
        <w:rPr>
          <w:rFonts w:eastAsia="Calibri" w:cs="Arial"/>
          <w:sz w:val="20"/>
          <w:szCs w:val="20"/>
        </w:rPr>
        <w:t xml:space="preserve">. 37, e14002. </w:t>
      </w:r>
      <w:hyperlink r:id="rId147" w:history="1">
        <w:r w:rsidRPr="00767A81">
          <w:rPr>
            <w:rStyle w:val="Hyperlink"/>
            <w:rFonts w:eastAsia="Calibri" w:cs="Arial"/>
            <w:sz w:val="20"/>
            <w:szCs w:val="20"/>
          </w:rPr>
          <w:t>https://doi.org/10.1111/cobi.14002</w:t>
        </w:r>
      </w:hyperlink>
    </w:p>
    <w:bookmarkEnd w:id="11"/>
    <w:p w14:paraId="3B5ADE2E" w14:textId="77777777" w:rsidR="0034769E" w:rsidRPr="00767A81" w:rsidRDefault="0034769E" w:rsidP="0042262E">
      <w:pPr>
        <w:pStyle w:val="ListParagraph"/>
        <w:numPr>
          <w:ilvl w:val="0"/>
          <w:numId w:val="20"/>
        </w:numPr>
        <w:spacing w:after="40" w:line="240" w:lineRule="auto"/>
        <w:ind w:left="714" w:hanging="357"/>
        <w:contextualSpacing w:val="0"/>
        <w:jc w:val="both"/>
        <w:rPr>
          <w:rFonts w:eastAsia="Calibri" w:cs="Arial"/>
          <w:sz w:val="20"/>
          <w:szCs w:val="20"/>
        </w:rPr>
      </w:pPr>
      <w:r w:rsidRPr="00767A81">
        <w:rPr>
          <w:rFonts w:eastAsia="Calibri" w:cs="Arial"/>
          <w:sz w:val="20"/>
          <w:szCs w:val="20"/>
        </w:rPr>
        <w:t xml:space="preserve">Beal, M. </w:t>
      </w:r>
      <w:r w:rsidRPr="00767A81">
        <w:rPr>
          <w:rFonts w:eastAsia="Calibri" w:cs="Arial"/>
          <w:i/>
          <w:iCs/>
          <w:sz w:val="20"/>
          <w:szCs w:val="20"/>
        </w:rPr>
        <w:t xml:space="preserve">et al. </w:t>
      </w:r>
      <w:r w:rsidRPr="00767A81">
        <w:rPr>
          <w:rFonts w:eastAsia="Calibri" w:cs="Arial"/>
          <w:sz w:val="20"/>
          <w:szCs w:val="20"/>
        </w:rPr>
        <w:t xml:space="preserve">2025. Site-level connectivity identified from multiple sources of movement data to inform conservation of a migratory bird. </w:t>
      </w:r>
      <w:r w:rsidRPr="00767A81">
        <w:rPr>
          <w:rFonts w:eastAsia="Calibri" w:cs="Arial"/>
          <w:i/>
          <w:iCs/>
          <w:sz w:val="20"/>
          <w:szCs w:val="20"/>
        </w:rPr>
        <w:t xml:space="preserve">J. Appl. Ecol. </w:t>
      </w:r>
      <w:r w:rsidRPr="00767A81">
        <w:rPr>
          <w:rFonts w:eastAsia="Calibri" w:cs="Arial"/>
          <w:sz w:val="20"/>
          <w:szCs w:val="20"/>
        </w:rPr>
        <w:t xml:space="preserve">62(2), 303-316. </w:t>
      </w:r>
      <w:hyperlink r:id="rId148" w:history="1">
        <w:r w:rsidRPr="00767A81">
          <w:rPr>
            <w:rStyle w:val="Hyperlink"/>
            <w:rFonts w:eastAsia="Calibri" w:cs="Arial"/>
            <w:sz w:val="20"/>
            <w:szCs w:val="20"/>
          </w:rPr>
          <w:t>https://doi.org/10.1111/1365-2664.14839</w:t>
        </w:r>
      </w:hyperlink>
    </w:p>
    <w:p w14:paraId="280A697F" w14:textId="77777777" w:rsidR="0034769E" w:rsidRPr="00767A81" w:rsidRDefault="0034769E" w:rsidP="0042262E">
      <w:pPr>
        <w:pStyle w:val="ListParagraph"/>
        <w:numPr>
          <w:ilvl w:val="0"/>
          <w:numId w:val="20"/>
        </w:numPr>
        <w:spacing w:after="40" w:line="240" w:lineRule="auto"/>
        <w:ind w:left="714" w:hanging="357"/>
        <w:contextualSpacing w:val="0"/>
        <w:jc w:val="both"/>
        <w:rPr>
          <w:rFonts w:eastAsia="Calibri" w:cs="Arial"/>
          <w:sz w:val="20"/>
          <w:szCs w:val="20"/>
        </w:rPr>
      </w:pPr>
      <w:r w:rsidRPr="00767A81">
        <w:rPr>
          <w:rFonts w:eastAsia="Calibri" w:cs="Arial"/>
          <w:sz w:val="20"/>
          <w:szCs w:val="20"/>
        </w:rPr>
        <w:lastRenderedPageBreak/>
        <w:t xml:space="preserve">Bentley, L. K. </w:t>
      </w:r>
      <w:r w:rsidRPr="00767A81">
        <w:rPr>
          <w:rFonts w:eastAsia="Calibri" w:cs="Arial"/>
          <w:i/>
          <w:iCs/>
          <w:sz w:val="20"/>
          <w:szCs w:val="20"/>
        </w:rPr>
        <w:t>et al</w:t>
      </w:r>
      <w:r w:rsidRPr="00767A81">
        <w:rPr>
          <w:rFonts w:eastAsia="Calibri" w:cs="Arial"/>
          <w:sz w:val="20"/>
          <w:szCs w:val="20"/>
        </w:rPr>
        <w:t xml:space="preserve">. 2025. Marine </w:t>
      </w:r>
      <w:proofErr w:type="spellStart"/>
      <w:r w:rsidRPr="00767A81">
        <w:rPr>
          <w:rFonts w:eastAsia="Calibri" w:cs="Arial"/>
          <w:sz w:val="20"/>
          <w:szCs w:val="20"/>
        </w:rPr>
        <w:t>megavertebrate</w:t>
      </w:r>
      <w:proofErr w:type="spellEnd"/>
      <w:r w:rsidRPr="00767A81">
        <w:rPr>
          <w:rFonts w:eastAsia="Calibri" w:cs="Arial"/>
          <w:sz w:val="20"/>
          <w:szCs w:val="20"/>
        </w:rPr>
        <w:t xml:space="preserve"> migrations connect the global ocean. </w:t>
      </w:r>
      <w:r w:rsidRPr="00767A81">
        <w:rPr>
          <w:rFonts w:eastAsia="Calibri" w:cs="Arial"/>
          <w:i/>
          <w:iCs/>
          <w:sz w:val="20"/>
          <w:szCs w:val="20"/>
        </w:rPr>
        <w:t>Nat. Commun.</w:t>
      </w:r>
      <w:r w:rsidRPr="00767A81">
        <w:rPr>
          <w:rFonts w:eastAsia="Calibri" w:cs="Arial"/>
          <w:sz w:val="20"/>
          <w:szCs w:val="20"/>
        </w:rPr>
        <w:t xml:space="preserve"> 16, 4089. </w:t>
      </w:r>
      <w:hyperlink r:id="rId149" w:history="1">
        <w:r w:rsidRPr="00767A81">
          <w:rPr>
            <w:rStyle w:val="Hyperlink"/>
            <w:rFonts w:eastAsia="Calibri" w:cs="Arial"/>
            <w:sz w:val="20"/>
            <w:szCs w:val="20"/>
          </w:rPr>
          <w:t>https://doi.org/10.1038/s41467-025-59271-7</w:t>
        </w:r>
      </w:hyperlink>
    </w:p>
    <w:p w14:paraId="327DFE5C" w14:textId="77777777" w:rsidR="0034769E" w:rsidRPr="00767A81" w:rsidRDefault="0034769E" w:rsidP="0042262E">
      <w:pPr>
        <w:pStyle w:val="ListParagraph"/>
        <w:numPr>
          <w:ilvl w:val="0"/>
          <w:numId w:val="20"/>
        </w:numPr>
        <w:spacing w:after="40" w:line="240" w:lineRule="auto"/>
        <w:ind w:left="714" w:hanging="357"/>
        <w:contextualSpacing w:val="0"/>
        <w:jc w:val="both"/>
        <w:rPr>
          <w:rFonts w:eastAsia="Calibri" w:cs="Arial"/>
          <w:sz w:val="20"/>
          <w:szCs w:val="20"/>
        </w:rPr>
      </w:pPr>
      <w:proofErr w:type="spellStart"/>
      <w:r w:rsidRPr="0062211C">
        <w:rPr>
          <w:rFonts w:eastAsia="Calibri" w:cs="Arial"/>
          <w:sz w:val="20"/>
          <w:szCs w:val="20"/>
          <w:lang w:val="fr-FR"/>
        </w:rPr>
        <w:t>Morten</w:t>
      </w:r>
      <w:proofErr w:type="spellEnd"/>
      <w:r w:rsidRPr="0062211C">
        <w:rPr>
          <w:rFonts w:eastAsia="Calibri" w:cs="Arial"/>
          <w:sz w:val="20"/>
          <w:szCs w:val="20"/>
          <w:lang w:val="fr-FR"/>
        </w:rPr>
        <w:t xml:space="preserve">, J. M. </w:t>
      </w:r>
      <w:r w:rsidRPr="0062211C">
        <w:rPr>
          <w:rFonts w:eastAsia="Calibri" w:cs="Arial"/>
          <w:i/>
          <w:sz w:val="20"/>
          <w:szCs w:val="20"/>
          <w:lang w:val="fr-FR"/>
        </w:rPr>
        <w:t>et al</w:t>
      </w:r>
      <w:r w:rsidRPr="0062211C">
        <w:rPr>
          <w:rFonts w:eastAsia="Calibri" w:cs="Arial"/>
          <w:sz w:val="20"/>
          <w:szCs w:val="20"/>
          <w:lang w:val="fr-FR"/>
        </w:rPr>
        <w:t xml:space="preserve">. 2025. </w:t>
      </w:r>
      <w:r w:rsidRPr="00767A81">
        <w:rPr>
          <w:rFonts w:eastAsia="Calibri" w:cs="Arial"/>
          <w:sz w:val="20"/>
          <w:szCs w:val="20"/>
        </w:rPr>
        <w:t xml:space="preserve">Global marine flyways identified for long-distance migrating seabirds from tracking data. </w:t>
      </w:r>
      <w:r w:rsidRPr="00767A81">
        <w:rPr>
          <w:rFonts w:eastAsia="Calibri" w:cs="Arial"/>
          <w:i/>
          <w:iCs/>
          <w:sz w:val="20"/>
          <w:szCs w:val="20"/>
        </w:rPr>
        <w:t xml:space="preserve">Glob. Ecol. </w:t>
      </w:r>
      <w:proofErr w:type="spellStart"/>
      <w:r w:rsidRPr="00767A81">
        <w:rPr>
          <w:rFonts w:eastAsia="Calibri" w:cs="Arial"/>
          <w:i/>
          <w:iCs/>
          <w:sz w:val="20"/>
          <w:szCs w:val="20"/>
        </w:rPr>
        <w:t>Biogeog</w:t>
      </w:r>
      <w:proofErr w:type="spellEnd"/>
      <w:r w:rsidRPr="00767A81">
        <w:rPr>
          <w:rFonts w:eastAsia="Calibri" w:cs="Arial"/>
          <w:i/>
          <w:iCs/>
          <w:sz w:val="20"/>
          <w:szCs w:val="20"/>
        </w:rPr>
        <w:t xml:space="preserve">. </w:t>
      </w:r>
      <w:r w:rsidRPr="00767A81">
        <w:rPr>
          <w:rFonts w:eastAsia="Calibri" w:cs="Arial"/>
          <w:sz w:val="20"/>
          <w:szCs w:val="20"/>
        </w:rPr>
        <w:t>34(2), e70004.</w:t>
      </w:r>
      <w:r w:rsidRPr="00767A81">
        <w:rPr>
          <w:rFonts w:eastAsia="Calibri" w:cs="Arial"/>
          <w:i/>
          <w:iCs/>
          <w:sz w:val="20"/>
          <w:szCs w:val="20"/>
        </w:rPr>
        <w:t xml:space="preserve"> </w:t>
      </w:r>
      <w:hyperlink r:id="rId150" w:history="1">
        <w:r w:rsidRPr="00767A81">
          <w:rPr>
            <w:rStyle w:val="Hyperlink"/>
            <w:rFonts w:eastAsia="Calibri" w:cs="Arial"/>
            <w:sz w:val="20"/>
            <w:szCs w:val="20"/>
          </w:rPr>
          <w:t>https://doi.org/10.1111/geb.70004</w:t>
        </w:r>
      </w:hyperlink>
    </w:p>
    <w:p w14:paraId="58CD53A6" w14:textId="1E01589A" w:rsidR="00831DC2" w:rsidRPr="009F031A" w:rsidRDefault="00831DC2" w:rsidP="00DD07FD">
      <w:pPr>
        <w:pStyle w:val="Secondnumbering"/>
        <w:numPr>
          <w:ilvl w:val="0"/>
          <w:numId w:val="0"/>
        </w:numPr>
        <w:rPr>
          <w:rFonts w:cs="Arial"/>
        </w:rPr>
      </w:pPr>
    </w:p>
    <w:sectPr w:rsidR="00831DC2" w:rsidRPr="009F031A" w:rsidSect="004831BB">
      <w:headerReference w:type="even" r:id="rId151"/>
      <w:headerReference w:type="first" r:id="rId152"/>
      <w:pgSz w:w="11906" w:h="16838" w:code="9"/>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72FC595" w14:textId="77777777" w:rsidR="0090729B" w:rsidRDefault="0090729B" w:rsidP="002E0DE9">
      <w:pPr>
        <w:spacing w:after="0" w:line="240" w:lineRule="auto"/>
      </w:pPr>
      <w:r>
        <w:separator/>
      </w:r>
    </w:p>
  </w:endnote>
  <w:endnote w:type="continuationSeparator" w:id="0">
    <w:p w14:paraId="53A5813F" w14:textId="77777777" w:rsidR="0090729B" w:rsidRDefault="0090729B" w:rsidP="002E0DE9">
      <w:pPr>
        <w:spacing w:after="0" w:line="240" w:lineRule="auto"/>
      </w:pPr>
      <w:r>
        <w:continuationSeparator/>
      </w:r>
    </w:p>
  </w:endnote>
  <w:endnote w:type="continuationNotice" w:id="1">
    <w:p w14:paraId="60A2F741" w14:textId="77777777" w:rsidR="0090729B" w:rsidRDefault="0090729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boto">
    <w:altName w:val="Arial"/>
    <w:charset w:val="00"/>
    <w:family w:val="auto"/>
    <w:pitch w:val="variable"/>
    <w:sig w:usb0="E0000AFF" w:usb1="5000217F" w:usb2="00000021"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ato">
    <w:charset w:val="00"/>
    <w:family w:val="swiss"/>
    <w:pitch w:val="variable"/>
    <w:sig w:usb0="E10002FF" w:usb1="5000ECFF" w:usb2="00000021" w:usb3="00000000" w:csb0="0000019F"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DBB468" w14:textId="659CB2D3" w:rsidR="002E0DE9" w:rsidRPr="00D95944" w:rsidRDefault="002E0DE9">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99809244"/>
      <w:docPartObj>
        <w:docPartGallery w:val="Page Numbers (Bottom of Page)"/>
        <w:docPartUnique/>
      </w:docPartObj>
    </w:sdtPr>
    <w:sdtEndPr/>
    <w:sdtContent>
      <w:p w14:paraId="30584002" w14:textId="694D49BD" w:rsidR="00114D21" w:rsidRDefault="007241F3" w:rsidP="00D52DD0">
        <w:pPr>
          <w:pStyle w:val="Footer"/>
          <w:jc w:val="center"/>
        </w:pPr>
        <w:r w:rsidRPr="00D95944">
          <w:rPr>
            <w:rFonts w:ascii="Roboto" w:hAnsi="Roboto"/>
            <w:sz w:val="18"/>
            <w:szCs w:val="18"/>
          </w:rPr>
          <w:fldChar w:fldCharType="begin"/>
        </w:r>
        <w:r w:rsidRPr="00D95944">
          <w:rPr>
            <w:rFonts w:ascii="Roboto" w:hAnsi="Roboto"/>
            <w:sz w:val="18"/>
            <w:szCs w:val="18"/>
          </w:rPr>
          <w:instrText>PAGE   \* MERGEFORMAT</w:instrText>
        </w:r>
        <w:r w:rsidRPr="00D95944">
          <w:rPr>
            <w:rFonts w:ascii="Roboto" w:hAnsi="Roboto"/>
            <w:sz w:val="18"/>
            <w:szCs w:val="18"/>
          </w:rPr>
          <w:fldChar w:fldCharType="separate"/>
        </w:r>
        <w:r w:rsidRPr="00D95944">
          <w:rPr>
            <w:rFonts w:ascii="Roboto" w:hAnsi="Roboto"/>
            <w:sz w:val="18"/>
            <w:szCs w:val="18"/>
          </w:rPr>
          <w:t>2</w:t>
        </w:r>
        <w:r w:rsidRPr="00D95944">
          <w:rPr>
            <w:rFonts w:ascii="Roboto" w:hAnsi="Roboto"/>
            <w:sz w:val="18"/>
            <w:szCs w:val="18"/>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BBF582" w14:textId="246407B6" w:rsidR="00114D21" w:rsidRPr="003A3CD1" w:rsidRDefault="00114D21" w:rsidP="005479CC">
    <w:pPr>
      <w:pStyle w:val="Footer"/>
      <w:jc w:val="center"/>
      <w:rPr>
        <w:rFonts w:ascii="Roboto" w:hAnsi="Roboto"/>
        <w:sz w:val="18"/>
        <w:szCs w:val="18"/>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22950247"/>
      <w:docPartObj>
        <w:docPartGallery w:val="Page Numbers (Bottom of Page)"/>
        <w:docPartUnique/>
      </w:docPartObj>
    </w:sdtPr>
    <w:sdtEndPr/>
    <w:sdtContent>
      <w:p w14:paraId="505A9381" w14:textId="70AB255F" w:rsidR="00F61D4D" w:rsidRDefault="00311817" w:rsidP="00311817">
        <w:pPr>
          <w:pStyle w:val="Footer"/>
          <w:jc w:val="center"/>
        </w:pPr>
        <w:r w:rsidRPr="00311817">
          <w:rPr>
            <w:rFonts w:ascii="Roboto" w:hAnsi="Roboto"/>
            <w:sz w:val="18"/>
            <w:szCs w:val="18"/>
          </w:rPr>
          <w:fldChar w:fldCharType="begin"/>
        </w:r>
        <w:r w:rsidRPr="00311817">
          <w:rPr>
            <w:rFonts w:ascii="Roboto" w:hAnsi="Roboto"/>
            <w:sz w:val="18"/>
            <w:szCs w:val="18"/>
          </w:rPr>
          <w:instrText>PAGE   \* MERGEFORMAT</w:instrText>
        </w:r>
        <w:r w:rsidRPr="00311817">
          <w:rPr>
            <w:rFonts w:ascii="Roboto" w:hAnsi="Roboto"/>
            <w:sz w:val="18"/>
            <w:szCs w:val="18"/>
          </w:rPr>
          <w:fldChar w:fldCharType="separate"/>
        </w:r>
        <w:r w:rsidRPr="00311817">
          <w:rPr>
            <w:rFonts w:ascii="Roboto" w:hAnsi="Roboto"/>
            <w:sz w:val="18"/>
            <w:szCs w:val="18"/>
          </w:rPr>
          <w:t>2</w:t>
        </w:r>
        <w:r w:rsidRPr="00311817">
          <w:rPr>
            <w:rFonts w:ascii="Roboto" w:hAnsi="Roboto"/>
            <w:sz w:val="18"/>
            <w:szCs w:val="1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8F1272F" w14:textId="77777777" w:rsidR="0090729B" w:rsidRDefault="0090729B" w:rsidP="002E0DE9">
      <w:pPr>
        <w:spacing w:after="0" w:line="240" w:lineRule="auto"/>
      </w:pPr>
      <w:r>
        <w:separator/>
      </w:r>
    </w:p>
  </w:footnote>
  <w:footnote w:type="continuationSeparator" w:id="0">
    <w:p w14:paraId="02C257F1" w14:textId="77777777" w:rsidR="0090729B" w:rsidRDefault="0090729B" w:rsidP="002E0DE9">
      <w:pPr>
        <w:spacing w:after="0" w:line="240" w:lineRule="auto"/>
      </w:pPr>
      <w:r>
        <w:continuationSeparator/>
      </w:r>
    </w:p>
  </w:footnote>
  <w:footnote w:type="continuationNotice" w:id="1">
    <w:p w14:paraId="479B85FC" w14:textId="77777777" w:rsidR="0090729B" w:rsidRDefault="0090729B">
      <w:pPr>
        <w:spacing w:after="0" w:line="240" w:lineRule="auto"/>
      </w:pPr>
    </w:p>
  </w:footnote>
  <w:footnote w:id="2">
    <w:p w14:paraId="232ACFD7" w14:textId="77777777" w:rsidR="00C82977" w:rsidRPr="00C15A7C" w:rsidRDefault="00C82977" w:rsidP="00C15A7C">
      <w:pPr>
        <w:pStyle w:val="FootnoteText"/>
        <w:jc w:val="both"/>
        <w:rPr>
          <w:rFonts w:cs="Arial"/>
          <w:sz w:val="16"/>
          <w:szCs w:val="16"/>
        </w:rPr>
      </w:pPr>
      <w:r w:rsidRPr="00C15A7C">
        <w:rPr>
          <w:rStyle w:val="FootnoteReference"/>
          <w:rFonts w:cs="Arial"/>
          <w:sz w:val="16"/>
          <w:szCs w:val="16"/>
        </w:rPr>
        <w:footnoteRef/>
      </w:r>
      <w:r w:rsidRPr="00C15A7C">
        <w:rPr>
          <w:rFonts w:cs="Arial"/>
          <w:sz w:val="16"/>
          <w:szCs w:val="16"/>
        </w:rPr>
        <w:t xml:space="preserve"> This report uses version 2025-1 of the IUCN Red List.</w:t>
      </w:r>
    </w:p>
  </w:footnote>
  <w:footnote w:id="3">
    <w:p w14:paraId="3C742F71" w14:textId="77777777" w:rsidR="00C82977" w:rsidRPr="00C15A7C" w:rsidRDefault="00C82977" w:rsidP="00C15A7C">
      <w:pPr>
        <w:pStyle w:val="FootnoteText"/>
        <w:jc w:val="both"/>
        <w:rPr>
          <w:rFonts w:cs="Arial"/>
          <w:sz w:val="16"/>
          <w:szCs w:val="16"/>
        </w:rPr>
      </w:pPr>
      <w:r w:rsidRPr="00C15A7C">
        <w:rPr>
          <w:rStyle w:val="FootnoteReference"/>
          <w:rFonts w:cs="Arial"/>
          <w:sz w:val="16"/>
          <w:szCs w:val="16"/>
        </w:rPr>
        <w:footnoteRef/>
      </w:r>
      <w:r w:rsidRPr="00C15A7C">
        <w:rPr>
          <w:rFonts w:cs="Arial"/>
          <w:sz w:val="16"/>
          <w:szCs w:val="16"/>
        </w:rPr>
        <w:t xml:space="preserve"> Consistent with the first </w:t>
      </w:r>
      <w:r w:rsidRPr="00C15A7C">
        <w:rPr>
          <w:rFonts w:cs="Arial"/>
          <w:i/>
          <w:iCs/>
          <w:sz w:val="16"/>
          <w:szCs w:val="16"/>
        </w:rPr>
        <w:t>State of the World’s Migratory Species</w:t>
      </w:r>
      <w:r w:rsidRPr="00C15A7C">
        <w:rPr>
          <w:rFonts w:cs="Arial"/>
          <w:sz w:val="16"/>
          <w:szCs w:val="16"/>
        </w:rPr>
        <w:t xml:space="preserve">, CMS-listed species where the parent species is also CMS-listed species were excluded from the analysis, to avoid double counting (five CMS-listed subspecies were excluded in this way: </w:t>
      </w:r>
      <w:r w:rsidRPr="00C15A7C">
        <w:rPr>
          <w:rFonts w:cs="Arial"/>
          <w:i/>
          <w:iCs/>
          <w:sz w:val="16"/>
          <w:szCs w:val="16"/>
        </w:rPr>
        <w:t>Calidris canutus rufa</w:t>
      </w:r>
      <w:r w:rsidRPr="00C15A7C">
        <w:rPr>
          <w:rFonts w:cs="Arial"/>
          <w:sz w:val="16"/>
          <w:szCs w:val="16"/>
        </w:rPr>
        <w:t xml:space="preserve">, </w:t>
      </w:r>
      <w:r w:rsidRPr="00C15A7C">
        <w:rPr>
          <w:rFonts w:cs="Arial"/>
          <w:i/>
          <w:iCs/>
          <w:sz w:val="16"/>
          <w:szCs w:val="16"/>
        </w:rPr>
        <w:t>Gypaetus barbatus meridionalis</w:t>
      </w:r>
      <w:r w:rsidRPr="00C15A7C">
        <w:rPr>
          <w:rFonts w:cs="Arial"/>
          <w:sz w:val="16"/>
          <w:szCs w:val="16"/>
        </w:rPr>
        <w:t xml:space="preserve">, </w:t>
      </w:r>
      <w:r w:rsidRPr="00C15A7C">
        <w:rPr>
          <w:rFonts w:cs="Arial"/>
          <w:i/>
          <w:iCs/>
          <w:sz w:val="16"/>
          <w:szCs w:val="16"/>
        </w:rPr>
        <w:t>Lynx lynx balcanicus</w:t>
      </w:r>
      <w:r w:rsidRPr="00C15A7C">
        <w:rPr>
          <w:rFonts w:cs="Arial"/>
          <w:sz w:val="16"/>
          <w:szCs w:val="16"/>
        </w:rPr>
        <w:t>,</w:t>
      </w:r>
      <w:r w:rsidRPr="00C15A7C">
        <w:rPr>
          <w:rFonts w:cs="Arial"/>
          <w:i/>
          <w:iCs/>
          <w:sz w:val="16"/>
          <w:szCs w:val="16"/>
        </w:rPr>
        <w:t xml:space="preserve"> Tursiops truncatus gephyreus</w:t>
      </w:r>
      <w:r w:rsidRPr="00C15A7C">
        <w:rPr>
          <w:rFonts w:cs="Arial"/>
          <w:sz w:val="16"/>
          <w:szCs w:val="16"/>
        </w:rPr>
        <w:t xml:space="preserve"> and</w:t>
      </w:r>
      <w:r w:rsidRPr="00C15A7C">
        <w:rPr>
          <w:rFonts w:cs="Arial"/>
          <w:i/>
          <w:iCs/>
          <w:sz w:val="16"/>
          <w:szCs w:val="16"/>
        </w:rPr>
        <w:t xml:space="preserve"> Tursiops truncatus ponticus</w:t>
      </w:r>
      <w:r w:rsidRPr="00C15A7C">
        <w:rPr>
          <w:rFonts w:cs="Arial"/>
          <w:sz w:val="16"/>
          <w:szCs w:val="16"/>
        </w:rPr>
        <w:t>).</w:t>
      </w:r>
    </w:p>
  </w:footnote>
  <w:footnote w:id="4">
    <w:p w14:paraId="504CCEB4" w14:textId="77777777" w:rsidR="002D72AD" w:rsidRPr="00C15A7C" w:rsidRDefault="002D72AD" w:rsidP="00C15A7C">
      <w:pPr>
        <w:pStyle w:val="FootnoteText"/>
        <w:jc w:val="both"/>
        <w:rPr>
          <w:rFonts w:cs="Arial"/>
          <w:sz w:val="16"/>
          <w:szCs w:val="16"/>
        </w:rPr>
      </w:pPr>
      <w:r w:rsidRPr="00C15A7C">
        <w:rPr>
          <w:rStyle w:val="FootnoteReference"/>
          <w:rFonts w:cs="Arial"/>
          <w:sz w:val="16"/>
          <w:szCs w:val="16"/>
        </w:rPr>
        <w:footnoteRef/>
      </w:r>
      <w:r w:rsidRPr="00C15A7C">
        <w:rPr>
          <w:rFonts w:cs="Arial"/>
          <w:sz w:val="16"/>
          <w:szCs w:val="16"/>
        </w:rPr>
        <w:t xml:space="preserve"> Data from subspecies, subpopulation and regional assessments were used for taxa where only a subspecies or population of a species is listed in the CMS Appendices, excluding any assessments labelled as ‘needs updating’ and where a more recent species-level assessment was available. Non-global assessments were used for thirty-seven species in total, including for twenty-eight bat species for which the CMS listing applies to European populations only. Relevant regional assessments for these species only became available after 2022.</w:t>
      </w:r>
    </w:p>
  </w:footnote>
  <w:footnote w:id="5">
    <w:p w14:paraId="2DA2A243" w14:textId="77777777" w:rsidR="002D72AD" w:rsidRPr="00C15A7C" w:rsidRDefault="002D72AD" w:rsidP="00C15A7C">
      <w:pPr>
        <w:pStyle w:val="FootnoteText"/>
        <w:jc w:val="both"/>
        <w:rPr>
          <w:rFonts w:cs="Arial"/>
          <w:sz w:val="16"/>
          <w:szCs w:val="16"/>
        </w:rPr>
      </w:pPr>
      <w:r w:rsidRPr="00C15A7C">
        <w:rPr>
          <w:rStyle w:val="FootnoteReference"/>
          <w:rFonts w:cs="Arial"/>
          <w:sz w:val="16"/>
          <w:szCs w:val="16"/>
        </w:rPr>
        <w:footnoteRef/>
      </w:r>
      <w:r w:rsidRPr="00C15A7C">
        <w:rPr>
          <w:rFonts w:cs="Arial"/>
          <w:sz w:val="16"/>
          <w:szCs w:val="16"/>
        </w:rPr>
        <w:t xml:space="preserve"> One species (</w:t>
      </w:r>
      <w:r w:rsidRPr="00C15A7C">
        <w:rPr>
          <w:rFonts w:cs="Arial"/>
          <w:i/>
          <w:iCs/>
          <w:sz w:val="16"/>
          <w:szCs w:val="16"/>
        </w:rPr>
        <w:t>Charadrius dealbatus</w:t>
      </w:r>
      <w:r w:rsidRPr="00C15A7C">
        <w:rPr>
          <w:rFonts w:cs="Arial"/>
          <w:sz w:val="16"/>
          <w:szCs w:val="16"/>
        </w:rPr>
        <w:t>, White-faced Plover)</w:t>
      </w:r>
      <w:r w:rsidRPr="00C15A7C">
        <w:rPr>
          <w:rFonts w:cs="Arial"/>
          <w:i/>
          <w:iCs/>
          <w:sz w:val="16"/>
          <w:szCs w:val="16"/>
        </w:rPr>
        <w:t xml:space="preserve"> </w:t>
      </w:r>
      <w:r w:rsidRPr="00C15A7C">
        <w:rPr>
          <w:rFonts w:cs="Arial"/>
          <w:sz w:val="16"/>
          <w:szCs w:val="16"/>
        </w:rPr>
        <w:t>moved from Data Deficient to Least Concern.</w:t>
      </w:r>
    </w:p>
  </w:footnote>
  <w:footnote w:id="6">
    <w:p w14:paraId="5337BA22" w14:textId="77777777" w:rsidR="002D72AD" w:rsidRPr="00C15A7C" w:rsidRDefault="002D72AD" w:rsidP="00C15A7C">
      <w:pPr>
        <w:pStyle w:val="FootnoteText"/>
        <w:jc w:val="both"/>
        <w:rPr>
          <w:rFonts w:cs="Arial"/>
          <w:sz w:val="16"/>
          <w:szCs w:val="16"/>
        </w:rPr>
      </w:pPr>
      <w:r w:rsidRPr="00C15A7C">
        <w:rPr>
          <w:rStyle w:val="FootnoteReference"/>
          <w:rFonts w:cs="Arial"/>
          <w:sz w:val="16"/>
          <w:szCs w:val="16"/>
        </w:rPr>
        <w:footnoteRef/>
      </w:r>
      <w:r w:rsidRPr="00C15A7C">
        <w:rPr>
          <w:rFonts w:cs="Arial"/>
          <w:sz w:val="16"/>
          <w:szCs w:val="16"/>
        </w:rPr>
        <w:t xml:space="preserve"> Globally threatened species are those that have been categorized as Critically Endangered, Endangered or Vulnerable.</w:t>
      </w:r>
    </w:p>
  </w:footnote>
  <w:footnote w:id="7">
    <w:p w14:paraId="1BEC835E" w14:textId="77777777" w:rsidR="002D72AD" w:rsidRPr="00C15A7C" w:rsidRDefault="002D72AD" w:rsidP="00C15A7C">
      <w:pPr>
        <w:pStyle w:val="FootnoteText"/>
        <w:jc w:val="both"/>
        <w:rPr>
          <w:rFonts w:cs="Arial"/>
          <w:sz w:val="16"/>
          <w:szCs w:val="16"/>
        </w:rPr>
      </w:pPr>
      <w:r w:rsidRPr="00C15A7C">
        <w:rPr>
          <w:rStyle w:val="FootnoteReference"/>
          <w:rFonts w:cs="Arial"/>
          <w:sz w:val="16"/>
          <w:szCs w:val="16"/>
        </w:rPr>
        <w:footnoteRef/>
      </w:r>
      <w:r w:rsidRPr="00C15A7C">
        <w:rPr>
          <w:rFonts w:cs="Arial"/>
          <w:sz w:val="16"/>
          <w:szCs w:val="16"/>
        </w:rPr>
        <w:t xml:space="preserve"> Similar to the approach taken in the first </w:t>
      </w:r>
      <w:r w:rsidRPr="00C15A7C">
        <w:rPr>
          <w:rFonts w:cs="Arial"/>
          <w:i/>
          <w:iCs/>
          <w:sz w:val="16"/>
          <w:szCs w:val="16"/>
        </w:rPr>
        <w:t>State of the World’s Migratory Species</w:t>
      </w:r>
      <w:r w:rsidRPr="00C15A7C">
        <w:rPr>
          <w:rFonts w:cs="Arial"/>
          <w:sz w:val="16"/>
          <w:szCs w:val="16"/>
        </w:rPr>
        <w:t>, the number of bird species included under higher-level listings was based on a disaggregation following the CMS standard taxonomic reference. Only those birds assessed by the CMS COP-appointed co-Councillor for Birds as meeting the CMS movement criteria regardless of conservation status were included.</w:t>
      </w:r>
    </w:p>
  </w:footnote>
  <w:footnote w:id="8">
    <w:p w14:paraId="5B787EE5" w14:textId="77777777" w:rsidR="002D72AD" w:rsidRPr="0024268D" w:rsidRDefault="002D72AD" w:rsidP="002D72AD">
      <w:pPr>
        <w:pStyle w:val="FootnoteText"/>
        <w:rPr>
          <w:rFonts w:cs="Arial"/>
          <w:sz w:val="16"/>
          <w:szCs w:val="16"/>
        </w:rPr>
      </w:pPr>
      <w:r w:rsidRPr="0024268D">
        <w:rPr>
          <w:rStyle w:val="FootnoteReference"/>
          <w:rFonts w:cs="Arial"/>
          <w:sz w:val="16"/>
          <w:szCs w:val="16"/>
        </w:rPr>
        <w:footnoteRef/>
      </w:r>
      <w:r w:rsidRPr="0024268D">
        <w:rPr>
          <w:rFonts w:cs="Arial"/>
          <w:sz w:val="16"/>
          <w:szCs w:val="16"/>
        </w:rPr>
        <w:t xml:space="preserve"> At COP14, fourteen proposals to amend the CMS Appendices were adopted. </w:t>
      </w:r>
    </w:p>
  </w:footnote>
  <w:footnote w:id="9">
    <w:p w14:paraId="38A8F78D" w14:textId="77777777" w:rsidR="002D72AD" w:rsidRPr="00943DBF" w:rsidRDefault="002D72AD" w:rsidP="002D72AD">
      <w:pPr>
        <w:pStyle w:val="FootnoteText"/>
        <w:rPr>
          <w:rFonts w:cs="Arial"/>
          <w:sz w:val="16"/>
          <w:szCs w:val="16"/>
        </w:rPr>
      </w:pPr>
      <w:r w:rsidRPr="00943DBF">
        <w:rPr>
          <w:rStyle w:val="FootnoteReference"/>
          <w:rFonts w:cs="Arial"/>
          <w:sz w:val="16"/>
          <w:szCs w:val="16"/>
        </w:rPr>
        <w:footnoteRef/>
      </w:r>
      <w:r w:rsidRPr="00943DBF">
        <w:rPr>
          <w:rFonts w:cs="Arial"/>
          <w:sz w:val="16"/>
          <w:szCs w:val="16"/>
        </w:rPr>
        <w:t xml:space="preserve"> Literature published after late 2023 was published too late for inclusion in the first </w:t>
      </w:r>
      <w:r w:rsidRPr="00943DBF">
        <w:rPr>
          <w:rFonts w:cs="Arial"/>
          <w:i/>
          <w:iCs/>
          <w:sz w:val="16"/>
          <w:szCs w:val="16"/>
        </w:rPr>
        <w:t>State of the World’s Migratory Species</w:t>
      </w:r>
      <w:r w:rsidRPr="00943DBF">
        <w:rPr>
          <w:rFonts w:cs="Arial"/>
          <w:sz w:val="16"/>
          <w:szCs w:val="16"/>
        </w:rPr>
        <w:t>.</w:t>
      </w:r>
    </w:p>
  </w:footnote>
  <w:footnote w:id="10">
    <w:p w14:paraId="452DA654" w14:textId="77777777" w:rsidR="002D72AD" w:rsidRPr="00943DBF" w:rsidRDefault="002D72AD" w:rsidP="002D72AD">
      <w:pPr>
        <w:pStyle w:val="FootnoteText"/>
        <w:rPr>
          <w:rFonts w:cs="Arial"/>
          <w:sz w:val="16"/>
          <w:szCs w:val="16"/>
        </w:rPr>
      </w:pPr>
      <w:r w:rsidRPr="00943DBF">
        <w:rPr>
          <w:rStyle w:val="FootnoteReference"/>
          <w:rFonts w:cs="Arial"/>
          <w:sz w:val="16"/>
          <w:szCs w:val="16"/>
        </w:rPr>
        <w:footnoteRef/>
      </w:r>
      <w:r w:rsidRPr="00943DBF">
        <w:rPr>
          <w:rFonts w:cs="Arial"/>
          <w:sz w:val="16"/>
          <w:szCs w:val="16"/>
        </w:rPr>
        <w:t xml:space="preserve"> Other recent literature has also been cited in order to provide additional context on the drivers of population change, where available (i.e. the reasons for recovery, or pressures that are recognized as causing declines).</w:t>
      </w:r>
    </w:p>
  </w:footnote>
  <w:footnote w:id="11">
    <w:p w14:paraId="0352B0A6" w14:textId="77777777" w:rsidR="002D72AD" w:rsidRPr="00C304D2" w:rsidRDefault="002D72AD" w:rsidP="00C304D2">
      <w:pPr>
        <w:pStyle w:val="FootnoteText"/>
        <w:jc w:val="both"/>
        <w:rPr>
          <w:rFonts w:cs="Arial"/>
          <w:sz w:val="16"/>
          <w:szCs w:val="16"/>
        </w:rPr>
      </w:pPr>
      <w:r w:rsidRPr="00C304D2">
        <w:rPr>
          <w:rStyle w:val="FootnoteReference"/>
          <w:rFonts w:cs="Arial"/>
          <w:sz w:val="16"/>
          <w:szCs w:val="16"/>
        </w:rPr>
        <w:footnoteRef/>
      </w:r>
      <w:r w:rsidRPr="00C304D2">
        <w:rPr>
          <w:rFonts w:cs="Arial"/>
          <w:sz w:val="16"/>
          <w:szCs w:val="16"/>
        </w:rPr>
        <w:t xml:space="preserve"> A range of other regional site networks are also relevant to CMS-listed species, including information on Internationally Important Raptor Sites gathered under the Raptors MOU (see Table 3, contained in Annex 3 of the </w:t>
      </w:r>
      <w:hyperlink r:id="rId1" w:history="1">
        <w:r w:rsidRPr="00C304D2">
          <w:rPr>
            <w:rStyle w:val="Hyperlink"/>
            <w:rFonts w:cs="Arial"/>
            <w:sz w:val="16"/>
            <w:szCs w:val="16"/>
          </w:rPr>
          <w:t>Raptors MOU</w:t>
        </w:r>
      </w:hyperlink>
      <w:r w:rsidRPr="00C304D2">
        <w:rPr>
          <w:rFonts w:cs="Arial"/>
          <w:sz w:val="16"/>
          <w:szCs w:val="16"/>
        </w:rPr>
        <w:t xml:space="preserve"> text), the AEWA Critical Sites network, the IOSEA Marine Turtles Site Network, the Western Hemisphere Shorebird Reserve Network, the East Asian-Australasian Flyway Partnership network of important sites and priority transboundary conservation units identified under the Central Asian Mammals Initiative (CAMI) (see </w:t>
      </w:r>
      <w:hyperlink r:id="rId2" w:history="1">
        <w:r w:rsidRPr="00C304D2">
          <w:rPr>
            <w:rStyle w:val="Hyperlink"/>
            <w:rFonts w:cs="Arial"/>
            <w:sz w:val="16"/>
            <w:szCs w:val="16"/>
          </w:rPr>
          <w:t>UNEP/CMS/CAMI-TW/Doc.3</w:t>
        </w:r>
      </w:hyperlink>
      <w:r w:rsidRPr="00C304D2">
        <w:rPr>
          <w:rFonts w:cs="Arial"/>
          <w:sz w:val="16"/>
          <w:szCs w:val="16"/>
        </w:rPr>
        <w:t xml:space="preserve">). </w:t>
      </w:r>
    </w:p>
  </w:footnote>
  <w:footnote w:id="12">
    <w:p w14:paraId="164F7266" w14:textId="77777777" w:rsidR="002D72AD" w:rsidRPr="003434EF" w:rsidRDefault="002D72AD" w:rsidP="003434EF">
      <w:pPr>
        <w:pStyle w:val="FootnoteText"/>
        <w:jc w:val="both"/>
        <w:rPr>
          <w:rFonts w:cs="Arial"/>
          <w:sz w:val="16"/>
          <w:szCs w:val="16"/>
        </w:rPr>
      </w:pPr>
      <w:r w:rsidRPr="003434EF">
        <w:rPr>
          <w:rStyle w:val="FootnoteReference"/>
          <w:rFonts w:cs="Arial"/>
          <w:sz w:val="16"/>
          <w:szCs w:val="16"/>
        </w:rPr>
        <w:footnoteRef/>
      </w:r>
      <w:r w:rsidRPr="003434EF">
        <w:rPr>
          <w:rFonts w:cs="Arial"/>
          <w:sz w:val="16"/>
          <w:szCs w:val="16"/>
        </w:rPr>
        <w:t xml:space="preserve"> Other current modules of the CMS Atlas of Migration include the </w:t>
      </w:r>
      <w:hyperlink r:id="rId3" w:history="1">
        <w:r w:rsidRPr="003434EF">
          <w:rPr>
            <w:rStyle w:val="Hyperlink"/>
            <w:rFonts w:cs="Arial"/>
            <w:sz w:val="16"/>
            <w:szCs w:val="16"/>
          </w:rPr>
          <w:t>Central Asian Mammals Migration and Linear Infrastructure (CAMI) Atlas</w:t>
        </w:r>
      </w:hyperlink>
      <w:r w:rsidRPr="003434EF">
        <w:rPr>
          <w:rFonts w:cs="Arial"/>
          <w:sz w:val="16"/>
          <w:szCs w:val="16"/>
        </w:rPr>
        <w:t xml:space="preserve">, the </w:t>
      </w:r>
      <w:hyperlink r:id="rId4" w:history="1">
        <w:r w:rsidRPr="003434EF">
          <w:rPr>
            <w:rStyle w:val="Hyperlink"/>
            <w:rFonts w:cs="Arial"/>
            <w:sz w:val="16"/>
            <w:szCs w:val="16"/>
          </w:rPr>
          <w:t>Eurasian African Bird Migration Atlas</w:t>
        </w:r>
      </w:hyperlink>
      <w:r w:rsidRPr="003434EF">
        <w:rPr>
          <w:rFonts w:cs="Arial"/>
          <w:sz w:val="16"/>
          <w:szCs w:val="16"/>
        </w:rPr>
        <w:t xml:space="preserve"> and the </w:t>
      </w:r>
      <w:hyperlink r:id="rId5" w:history="1">
        <w:r w:rsidRPr="003434EF">
          <w:rPr>
            <w:rStyle w:val="Hyperlink"/>
            <w:rFonts w:cs="Arial"/>
            <w:sz w:val="16"/>
            <w:szCs w:val="16"/>
          </w:rPr>
          <w:t>Marine Turtle Breeding and Migration Atlas</w:t>
        </w:r>
      </w:hyperlink>
      <w:r w:rsidRPr="003434EF">
        <w:rPr>
          <w:rFonts w:cs="Arial"/>
          <w:sz w:val="16"/>
          <w:szCs w:val="16"/>
        </w:rPr>
        <w:t xml:space="preserve"> (“TurtleNet”).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A98CB" w14:textId="5395BF07" w:rsidR="002E0DE9" w:rsidRPr="002E0DE9" w:rsidRDefault="002E0DE9" w:rsidP="002E0DE9">
    <w:pPr>
      <w:pStyle w:val="Header"/>
      <w:pBdr>
        <w:bottom w:val="single" w:sz="4" w:space="1" w:color="auto"/>
      </w:pBdr>
      <w:rPr>
        <w:i/>
        <w:sz w:val="18"/>
        <w:szCs w:val="18"/>
      </w:rPr>
    </w:pPr>
    <w:r w:rsidRPr="002E0DE9">
      <w:rPr>
        <w:rFonts w:eastAsia="Times New Roman" w:cs="Arial"/>
        <w:i/>
        <w:sz w:val="18"/>
        <w:szCs w:val="18"/>
      </w:rPr>
      <w:t>UNEP/CMS/COP1</w:t>
    </w:r>
    <w:r w:rsidR="00160053">
      <w:rPr>
        <w:rFonts w:eastAsia="Times New Roman" w:cs="Arial"/>
        <w:i/>
        <w:sz w:val="18"/>
        <w:szCs w:val="18"/>
      </w:rPr>
      <w:t>5</w:t>
    </w:r>
    <w:r w:rsidRPr="002E0DE9">
      <w:rPr>
        <w:rFonts w:eastAsia="Times New Roman" w:cs="Arial"/>
        <w:i/>
        <w:sz w:val="18"/>
        <w:szCs w:val="18"/>
      </w:rPr>
      <w:t>/</w:t>
    </w:r>
    <w:r w:rsidR="005E738D">
      <w:rPr>
        <w:rFonts w:eastAsia="Times New Roman" w:cs="Arial"/>
        <w:i/>
        <w:sz w:val="18"/>
        <w:szCs w:val="18"/>
      </w:rPr>
      <w:t>Doc</w:t>
    </w:r>
    <w:r w:rsidR="001E05CA">
      <w:rPr>
        <w:rFonts w:eastAsia="Times New Roman" w:cs="Arial"/>
        <w:i/>
        <w:sz w:val="18"/>
        <w:szCs w:val="18"/>
      </w:rPr>
      <w:t>.</w:t>
    </w:r>
    <w:r w:rsidR="00160053">
      <w:rPr>
        <w:rFonts w:eastAsia="Times New Roman" w:cs="Arial"/>
        <w:i/>
        <w:sz w:val="18"/>
        <w:szCs w:val="18"/>
      </w:rPr>
      <w:t>20.</w:t>
    </w:r>
    <w:r w:rsidR="00160053" w:rsidRPr="00561EFF">
      <w:rPr>
        <w:rFonts w:eastAsia="Times New Roman" w:cs="Arial"/>
        <w:i/>
        <w:sz w:val="18"/>
        <w:szCs w:val="18"/>
      </w:rPr>
      <w:t>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A5ED5A" w14:textId="5FF6CAB9" w:rsidR="002D3CA5" w:rsidRPr="002E0DE9" w:rsidRDefault="002D3CA5" w:rsidP="00AE588C">
    <w:pPr>
      <w:pStyle w:val="Header"/>
      <w:pBdr>
        <w:bottom w:val="single" w:sz="4" w:space="1" w:color="auto"/>
      </w:pBdr>
      <w:jc w:val="right"/>
      <w:rPr>
        <w:i/>
        <w:sz w:val="18"/>
        <w:szCs w:val="18"/>
      </w:rPr>
    </w:pPr>
    <w:r w:rsidRPr="002E0DE9">
      <w:rPr>
        <w:rFonts w:eastAsia="Times New Roman" w:cs="Arial"/>
        <w:i/>
        <w:sz w:val="18"/>
        <w:szCs w:val="18"/>
      </w:rPr>
      <w:t>UNEP/CMS/COP1</w:t>
    </w:r>
    <w:r>
      <w:rPr>
        <w:rFonts w:eastAsia="Times New Roman" w:cs="Arial"/>
        <w:i/>
        <w:sz w:val="18"/>
        <w:szCs w:val="18"/>
      </w:rPr>
      <w:t>5</w:t>
    </w:r>
    <w:r w:rsidRPr="002E0DE9">
      <w:rPr>
        <w:rFonts w:eastAsia="Times New Roman" w:cs="Arial"/>
        <w:i/>
        <w:sz w:val="18"/>
        <w:szCs w:val="18"/>
      </w:rPr>
      <w:t>/</w:t>
    </w:r>
    <w:r w:rsidR="001658C3">
      <w:rPr>
        <w:rFonts w:eastAsia="Times New Roman" w:cs="Arial"/>
        <w:i/>
        <w:sz w:val="18"/>
        <w:szCs w:val="18"/>
      </w:rPr>
      <w:t>Doc</w:t>
    </w:r>
    <w:r>
      <w:rPr>
        <w:rFonts w:eastAsia="Times New Roman" w:cs="Arial"/>
        <w:i/>
        <w:sz w:val="18"/>
        <w:szCs w:val="18"/>
      </w:rPr>
      <w:t>.2</w:t>
    </w:r>
    <w:r w:rsidRPr="00561EFF">
      <w:rPr>
        <w:rFonts w:eastAsia="Times New Roman" w:cs="Arial"/>
        <w:i/>
        <w:sz w:val="18"/>
        <w:szCs w:val="18"/>
      </w:rPr>
      <w:t>0.2</w:t>
    </w:r>
  </w:p>
  <w:p w14:paraId="241419D3" w14:textId="144949EE" w:rsidR="002E0DE9" w:rsidRPr="002D3CA5" w:rsidRDefault="002E0DE9" w:rsidP="002D3CA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9DEAEE" w14:textId="060C549A" w:rsidR="00281B9F" w:rsidRPr="002E0DE9" w:rsidRDefault="00281B9F" w:rsidP="00281B9F">
    <w:pPr>
      <w:tabs>
        <w:tab w:val="center" w:pos="4680"/>
        <w:tab w:val="right" w:pos="9360"/>
      </w:tabs>
      <w:suppressAutoHyphens/>
      <w:autoSpaceDN w:val="0"/>
      <w:spacing w:after="0" w:line="240" w:lineRule="auto"/>
      <w:ind w:right="-547"/>
      <w:jc w:val="right"/>
      <w:textAlignment w:val="baseline"/>
      <w:rPr>
        <w:rFonts w:ascii="Calibri" w:eastAsia="Calibri" w:hAnsi="Calibri" w:cs="Times New Roman"/>
      </w:rPr>
    </w:pPr>
    <w:r w:rsidRPr="002E0DE9">
      <w:rPr>
        <w:rFonts w:ascii="Calibri" w:eastAsia="Calibri" w:hAnsi="Calibri" w:cs="Times New Roman"/>
        <w:noProof/>
      </w:rPr>
      <w:drawing>
        <wp:anchor distT="0" distB="0" distL="114300" distR="114300" simplePos="0" relativeHeight="251658241" behindDoc="1" locked="0" layoutInCell="1" allowOverlap="1" wp14:anchorId="4C23834C" wp14:editId="76F77AE4">
          <wp:simplePos x="0" y="0"/>
          <wp:positionH relativeFrom="column">
            <wp:posOffset>5608320</wp:posOffset>
          </wp:positionH>
          <wp:positionV relativeFrom="paragraph">
            <wp:posOffset>-88900</wp:posOffset>
          </wp:positionV>
          <wp:extent cx="541020" cy="259715"/>
          <wp:effectExtent l="0" t="0" r="0" b="6985"/>
          <wp:wrapTight wrapText="bothSides">
            <wp:wrapPolygon edited="0">
              <wp:start x="0" y="0"/>
              <wp:lineTo x="0" y="20597"/>
              <wp:lineTo x="20535" y="20597"/>
              <wp:lineTo x="20535" y="0"/>
              <wp:lineTo x="0" y="0"/>
            </wp:wrapPolygon>
          </wp:wrapTight>
          <wp:docPr id="1"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541020" cy="259715"/>
                  </a:xfrm>
                  <a:prstGeom prst="rect">
                    <a:avLst/>
                  </a:prstGeom>
                  <a:noFill/>
                  <a:ln>
                    <a:noFill/>
                    <a:prstDash/>
                  </a:ln>
                </pic:spPr>
              </pic:pic>
            </a:graphicData>
          </a:graphic>
        </wp:anchor>
      </w:drawing>
    </w:r>
    <w:r w:rsidRPr="002E0DE9">
      <w:rPr>
        <w:rFonts w:ascii="Calibri" w:eastAsia="Calibri" w:hAnsi="Calibri" w:cs="Times New Roman"/>
        <w:noProof/>
        <w:sz w:val="2"/>
        <w:szCs w:val="2"/>
      </w:rPr>
      <w:drawing>
        <wp:anchor distT="0" distB="0" distL="114300" distR="114300" simplePos="0" relativeHeight="251658240" behindDoc="0" locked="0" layoutInCell="1" allowOverlap="1" wp14:anchorId="49A1454B" wp14:editId="4A124991">
          <wp:simplePos x="0" y="0"/>
          <wp:positionH relativeFrom="column">
            <wp:posOffset>715645</wp:posOffset>
          </wp:positionH>
          <wp:positionV relativeFrom="paragraph">
            <wp:posOffset>-208915</wp:posOffset>
          </wp:positionV>
          <wp:extent cx="431165" cy="441325"/>
          <wp:effectExtent l="0" t="0" r="6983" b="0"/>
          <wp:wrapTight wrapText="bothSides">
            <wp:wrapPolygon edited="0">
              <wp:start x="0" y="0"/>
              <wp:lineTo x="0" y="20512"/>
              <wp:lineTo x="20995" y="20512"/>
              <wp:lineTo x="20995" y="0"/>
              <wp:lineTo x="0" y="0"/>
            </wp:wrapPolygon>
          </wp:wrapTight>
          <wp:docPr id="2" name="Picture 2"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2" name="Picture 2" descr="A picture containing text&#10;&#10;Description automatically generated"/>
                  <pic:cNvPicPr/>
                </pic:nvPicPr>
                <pic:blipFill>
                  <a:blip r:embed="rId2"/>
                  <a:srcRect l="2780" t="-1236" r="60236" b="48836"/>
                  <a:stretch>
                    <a:fillRect/>
                  </a:stretch>
                </pic:blipFill>
                <pic:spPr>
                  <a:xfrm>
                    <a:off x="0" y="0"/>
                    <a:ext cx="431165" cy="441325"/>
                  </a:xfrm>
                  <a:prstGeom prst="rect">
                    <a:avLst/>
                  </a:prstGeom>
                  <a:noFill/>
                  <a:ln>
                    <a:noFill/>
                    <a:prstDash/>
                  </a:ln>
                </pic:spPr>
              </pic:pic>
            </a:graphicData>
          </a:graphic>
        </wp:anchor>
      </w:drawing>
    </w:r>
    <w:r>
      <w:rPr>
        <w:noProof/>
      </w:rPr>
      <w:drawing>
        <wp:anchor distT="0" distB="0" distL="114300" distR="114300" simplePos="0" relativeHeight="251658242" behindDoc="0" locked="0" layoutInCell="1" allowOverlap="1" wp14:anchorId="6A4AA10C" wp14:editId="561A856E">
          <wp:simplePos x="0" y="0"/>
          <wp:positionH relativeFrom="column">
            <wp:posOffset>-63500</wp:posOffset>
          </wp:positionH>
          <wp:positionV relativeFrom="paragraph">
            <wp:posOffset>-241300</wp:posOffset>
          </wp:positionV>
          <wp:extent cx="641350" cy="641350"/>
          <wp:effectExtent l="0" t="0" r="6350" b="6350"/>
          <wp:wrapNone/>
          <wp:docPr id="8" name="Picture 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Logo&#10;&#10;Description automatically generated"/>
                  <pic:cNvPicPr>
                    <a:picLocks noChangeAspect="1" noChangeArrowheads="1"/>
                  </pic:cNvPicPr>
                </pic:nvPicPr>
                <pic:blipFill>
                  <a:blip r:embed="rId3">
                    <a:extLst>
                      <a:ext uri="{28A0092B-C50C-407E-A947-70E740481C1C}">
                        <a14:useLocalDpi xmlns:a14="http://schemas.microsoft.com/office/drawing/2010/main" val="0"/>
                      </a:ext>
                    </a:extLst>
                  </a:blip>
                  <a:stretch>
                    <a:fillRect/>
                  </a:stretch>
                </pic:blipFill>
                <pic:spPr bwMode="auto">
                  <a:xfrm>
                    <a:off x="0" y="0"/>
                    <a:ext cx="641350" cy="641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B08F8B" w14:textId="77777777" w:rsidR="002E0DE9" w:rsidRDefault="002E0DE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3A9573" w14:textId="503D4EA2" w:rsidR="006532D5" w:rsidRPr="006532D5" w:rsidRDefault="006532D5" w:rsidP="00AE588C">
    <w:pPr>
      <w:pStyle w:val="Header"/>
      <w:pBdr>
        <w:bottom w:val="single" w:sz="4" w:space="1" w:color="auto"/>
      </w:pBdr>
      <w:jc w:val="right"/>
      <w:rPr>
        <w:i/>
        <w:sz w:val="18"/>
        <w:szCs w:val="18"/>
        <w:lang w:val="fr-FR"/>
      </w:rPr>
    </w:pPr>
    <w:r w:rsidRPr="006532D5">
      <w:rPr>
        <w:rFonts w:eastAsia="Times New Roman" w:cs="Arial"/>
        <w:i/>
        <w:sz w:val="18"/>
        <w:szCs w:val="18"/>
        <w:lang w:val="fr-FR"/>
      </w:rPr>
      <w:t>UNEP/CMS/UNEP/CMS/COP15/Doc.20.2</w:t>
    </w:r>
  </w:p>
  <w:p w14:paraId="768411E6" w14:textId="77777777" w:rsidR="006532D5" w:rsidRPr="006532D5" w:rsidRDefault="006532D5" w:rsidP="002D3CA5">
    <w:pPr>
      <w:pStyle w:val="Header"/>
      <w:rPr>
        <w:lang w:val="fr-FR"/>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107959" w14:textId="63901374" w:rsidR="00DC79A2" w:rsidRPr="006532D5" w:rsidRDefault="00DC79A2" w:rsidP="00AE588C">
    <w:pPr>
      <w:pStyle w:val="Header"/>
      <w:pBdr>
        <w:bottom w:val="single" w:sz="4" w:space="1" w:color="auto"/>
      </w:pBdr>
      <w:jc w:val="right"/>
      <w:rPr>
        <w:i/>
        <w:sz w:val="18"/>
        <w:szCs w:val="18"/>
        <w:lang w:val="fr-FR"/>
      </w:rPr>
    </w:pPr>
    <w:r w:rsidRPr="006532D5">
      <w:rPr>
        <w:rFonts w:eastAsia="Times New Roman" w:cs="Arial"/>
        <w:i/>
        <w:sz w:val="18"/>
        <w:szCs w:val="18"/>
        <w:lang w:val="fr-FR"/>
      </w:rPr>
      <w:t>UNEP/CMS/COP15/Doc.20.2</w:t>
    </w:r>
  </w:p>
  <w:p w14:paraId="5A0C441D" w14:textId="77777777" w:rsidR="00DC79A2" w:rsidRPr="006532D5" w:rsidRDefault="00DC79A2" w:rsidP="002D3CA5">
    <w:pPr>
      <w:pStyle w:val="Header"/>
      <w:rPr>
        <w:lang w:val="fr-FR"/>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1BCCEE" w14:textId="455BBA0D" w:rsidR="002D3CA5" w:rsidRPr="002E0DE9" w:rsidRDefault="002D3CA5" w:rsidP="002D3CA5">
    <w:pPr>
      <w:pStyle w:val="Header"/>
      <w:pBdr>
        <w:bottom w:val="single" w:sz="4" w:space="1" w:color="auto"/>
      </w:pBdr>
      <w:rPr>
        <w:i/>
        <w:sz w:val="18"/>
        <w:szCs w:val="18"/>
      </w:rPr>
    </w:pPr>
    <w:r w:rsidRPr="002E0DE9">
      <w:rPr>
        <w:rFonts w:eastAsia="Times New Roman" w:cs="Arial"/>
        <w:i/>
        <w:sz w:val="18"/>
        <w:szCs w:val="18"/>
      </w:rPr>
      <w:t>UNEP/CMS/COP1</w:t>
    </w:r>
    <w:r>
      <w:rPr>
        <w:rFonts w:eastAsia="Times New Roman" w:cs="Arial"/>
        <w:i/>
        <w:sz w:val="18"/>
        <w:szCs w:val="18"/>
      </w:rPr>
      <w:t>5</w:t>
    </w:r>
    <w:r w:rsidRPr="002E0DE9">
      <w:rPr>
        <w:rFonts w:eastAsia="Times New Roman" w:cs="Arial"/>
        <w:i/>
        <w:sz w:val="18"/>
        <w:szCs w:val="18"/>
      </w:rPr>
      <w:t>/</w:t>
    </w:r>
    <w:r w:rsidR="00F82B18">
      <w:rPr>
        <w:rFonts w:eastAsia="Times New Roman" w:cs="Arial"/>
        <w:i/>
        <w:sz w:val="18"/>
        <w:szCs w:val="18"/>
      </w:rPr>
      <w:t>Doc</w:t>
    </w:r>
    <w:r>
      <w:rPr>
        <w:rFonts w:eastAsia="Times New Roman" w:cs="Arial"/>
        <w:i/>
        <w:sz w:val="18"/>
        <w:szCs w:val="18"/>
      </w:rPr>
      <w:t>.20.</w:t>
    </w:r>
    <w:r w:rsidRPr="00561EFF">
      <w:rPr>
        <w:rFonts w:eastAsia="Times New Roman" w:cs="Arial"/>
        <w:i/>
        <w:sz w:val="18"/>
        <w:szCs w:val="18"/>
      </w:rPr>
      <w:t>2</w:t>
    </w:r>
  </w:p>
  <w:p w14:paraId="66849521" w14:textId="77777777" w:rsidR="00371DE1" w:rsidRPr="00371DE1" w:rsidRDefault="00371DE1" w:rsidP="00371DE1">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B24ECB" w14:textId="5C721DCF" w:rsidR="00B134F5" w:rsidRPr="002E0DE9" w:rsidRDefault="00B134F5" w:rsidP="00561EFF">
    <w:pPr>
      <w:pStyle w:val="Header"/>
      <w:pBdr>
        <w:bottom w:val="single" w:sz="4" w:space="1" w:color="auto"/>
      </w:pBdr>
      <w:jc w:val="right"/>
      <w:rPr>
        <w:i/>
        <w:sz w:val="18"/>
        <w:szCs w:val="18"/>
      </w:rPr>
    </w:pPr>
    <w:r w:rsidRPr="002E0DE9">
      <w:rPr>
        <w:rFonts w:eastAsia="Times New Roman" w:cs="Arial"/>
        <w:i/>
        <w:sz w:val="18"/>
        <w:szCs w:val="18"/>
      </w:rPr>
      <w:t>UNEP/CMS/COP1</w:t>
    </w:r>
    <w:r>
      <w:rPr>
        <w:rFonts w:eastAsia="Times New Roman" w:cs="Arial"/>
        <w:i/>
        <w:sz w:val="18"/>
        <w:szCs w:val="18"/>
      </w:rPr>
      <w:t>5</w:t>
    </w:r>
    <w:r w:rsidRPr="002E0DE9">
      <w:rPr>
        <w:rFonts w:eastAsia="Times New Roman" w:cs="Arial"/>
        <w:i/>
        <w:sz w:val="18"/>
        <w:szCs w:val="18"/>
      </w:rPr>
      <w:t>/</w:t>
    </w:r>
    <w:r w:rsidR="00561EFF">
      <w:rPr>
        <w:rFonts w:eastAsia="Times New Roman" w:cs="Arial"/>
        <w:i/>
        <w:sz w:val="18"/>
        <w:szCs w:val="18"/>
      </w:rPr>
      <w:t>Doc</w:t>
    </w:r>
    <w:r>
      <w:rPr>
        <w:rFonts w:eastAsia="Times New Roman" w:cs="Arial"/>
        <w:i/>
        <w:sz w:val="18"/>
        <w:szCs w:val="18"/>
      </w:rPr>
      <w:t>.20.</w:t>
    </w:r>
    <w:r w:rsidRPr="00561EFF">
      <w:rPr>
        <w:rFonts w:eastAsia="Times New Roman" w:cs="Arial"/>
        <w:i/>
        <w:sz w:val="18"/>
        <w:szCs w:val="18"/>
      </w:rPr>
      <w:t>2</w:t>
    </w:r>
  </w:p>
  <w:p w14:paraId="222E2511" w14:textId="77777777" w:rsidR="00371DE1" w:rsidRPr="002E0DE9" w:rsidRDefault="00371DE1" w:rsidP="00661875">
    <w:pPr>
      <w:tabs>
        <w:tab w:val="center" w:pos="4680"/>
        <w:tab w:val="right" w:pos="9360"/>
      </w:tabs>
      <w:suppressAutoHyphens/>
      <w:autoSpaceDN w:val="0"/>
      <w:spacing w:after="0" w:line="240" w:lineRule="auto"/>
      <w:ind w:right="-547"/>
      <w:textAlignment w:val="baseline"/>
      <w:rPr>
        <w:rFonts w:ascii="Calibri" w:eastAsia="Calibri" w:hAnsi="Calibri" w:cs="Times New Roman"/>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9D0464"/>
    <w:multiLevelType w:val="hybridMultilevel"/>
    <w:tmpl w:val="EAB26096"/>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021F1F30"/>
    <w:multiLevelType w:val="hybridMultilevel"/>
    <w:tmpl w:val="373C58D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 w15:restartNumberingAfterBreak="0">
    <w:nsid w:val="06AD5028"/>
    <w:multiLevelType w:val="hybridMultilevel"/>
    <w:tmpl w:val="9FACF9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6C61124"/>
    <w:multiLevelType w:val="hybridMultilevel"/>
    <w:tmpl w:val="6B7AA99E"/>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 w15:restartNumberingAfterBreak="0">
    <w:nsid w:val="0A9245BE"/>
    <w:multiLevelType w:val="hybridMultilevel"/>
    <w:tmpl w:val="591A9FE8"/>
    <w:lvl w:ilvl="0" w:tplc="1F463DA8">
      <w:start w:val="1"/>
      <w:numFmt w:val="upperLetter"/>
      <w:pStyle w:val="FourthnumberingA"/>
      <w:lvlText w:val="%1."/>
      <w:lvlJc w:val="right"/>
      <w:pPr>
        <w:ind w:left="2705" w:hanging="360"/>
      </w:pPr>
      <w:rPr>
        <w:rFonts w:hint="default"/>
      </w:rPr>
    </w:lvl>
    <w:lvl w:ilvl="1" w:tplc="04090019" w:tentative="1">
      <w:start w:val="1"/>
      <w:numFmt w:val="lowerLetter"/>
      <w:lvlText w:val="%2."/>
      <w:lvlJc w:val="left"/>
      <w:pPr>
        <w:ind w:left="3425" w:hanging="360"/>
      </w:pPr>
    </w:lvl>
    <w:lvl w:ilvl="2" w:tplc="0409001B" w:tentative="1">
      <w:start w:val="1"/>
      <w:numFmt w:val="lowerRoman"/>
      <w:lvlText w:val="%3."/>
      <w:lvlJc w:val="right"/>
      <w:pPr>
        <w:ind w:left="4145" w:hanging="180"/>
      </w:pPr>
    </w:lvl>
    <w:lvl w:ilvl="3" w:tplc="0409000F" w:tentative="1">
      <w:start w:val="1"/>
      <w:numFmt w:val="decimal"/>
      <w:lvlText w:val="%4."/>
      <w:lvlJc w:val="left"/>
      <w:pPr>
        <w:ind w:left="4865" w:hanging="360"/>
      </w:pPr>
    </w:lvl>
    <w:lvl w:ilvl="4" w:tplc="04090019" w:tentative="1">
      <w:start w:val="1"/>
      <w:numFmt w:val="lowerLetter"/>
      <w:lvlText w:val="%5."/>
      <w:lvlJc w:val="left"/>
      <w:pPr>
        <w:ind w:left="5585" w:hanging="360"/>
      </w:pPr>
    </w:lvl>
    <w:lvl w:ilvl="5" w:tplc="0409001B" w:tentative="1">
      <w:start w:val="1"/>
      <w:numFmt w:val="lowerRoman"/>
      <w:lvlText w:val="%6."/>
      <w:lvlJc w:val="right"/>
      <w:pPr>
        <w:ind w:left="6305" w:hanging="180"/>
      </w:pPr>
    </w:lvl>
    <w:lvl w:ilvl="6" w:tplc="0409000F" w:tentative="1">
      <w:start w:val="1"/>
      <w:numFmt w:val="decimal"/>
      <w:lvlText w:val="%7."/>
      <w:lvlJc w:val="left"/>
      <w:pPr>
        <w:ind w:left="7025" w:hanging="360"/>
      </w:pPr>
    </w:lvl>
    <w:lvl w:ilvl="7" w:tplc="04090019" w:tentative="1">
      <w:start w:val="1"/>
      <w:numFmt w:val="lowerLetter"/>
      <w:lvlText w:val="%8."/>
      <w:lvlJc w:val="left"/>
      <w:pPr>
        <w:ind w:left="7745" w:hanging="360"/>
      </w:pPr>
    </w:lvl>
    <w:lvl w:ilvl="8" w:tplc="0409001B" w:tentative="1">
      <w:start w:val="1"/>
      <w:numFmt w:val="lowerRoman"/>
      <w:lvlText w:val="%9."/>
      <w:lvlJc w:val="right"/>
      <w:pPr>
        <w:ind w:left="8465" w:hanging="180"/>
      </w:pPr>
    </w:lvl>
  </w:abstractNum>
  <w:abstractNum w:abstractNumId="5" w15:restartNumberingAfterBreak="0">
    <w:nsid w:val="118B2228"/>
    <w:multiLevelType w:val="hybridMultilevel"/>
    <w:tmpl w:val="32A09E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54E72D7"/>
    <w:multiLevelType w:val="hybridMultilevel"/>
    <w:tmpl w:val="DCEE39E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1F8C724F"/>
    <w:multiLevelType w:val="hybridMultilevel"/>
    <w:tmpl w:val="56881B6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23D73297"/>
    <w:multiLevelType w:val="hybridMultilevel"/>
    <w:tmpl w:val="BE46135A"/>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9" w15:restartNumberingAfterBreak="0">
    <w:nsid w:val="23DA147F"/>
    <w:multiLevelType w:val="hybridMultilevel"/>
    <w:tmpl w:val="5C3602F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3DF48E4"/>
    <w:multiLevelType w:val="hybridMultilevel"/>
    <w:tmpl w:val="708C2EB6"/>
    <w:lvl w:ilvl="0" w:tplc="20000017">
      <w:start w:val="1"/>
      <w:numFmt w:val="lowerLetter"/>
      <w:pStyle w:val="Secondnumbering"/>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1" w15:restartNumberingAfterBreak="0">
    <w:nsid w:val="26356CE8"/>
    <w:multiLevelType w:val="hybridMultilevel"/>
    <w:tmpl w:val="8FFC21C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81E4C9B"/>
    <w:multiLevelType w:val="hybridMultilevel"/>
    <w:tmpl w:val="41583BD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 w15:restartNumberingAfterBreak="0">
    <w:nsid w:val="29167577"/>
    <w:multiLevelType w:val="hybridMultilevel"/>
    <w:tmpl w:val="884C3FE8"/>
    <w:lvl w:ilvl="0" w:tplc="F9BE89DC">
      <w:start w:val="1"/>
      <w:numFmt w:val="decimal"/>
      <w:lvlText w:val="%1)"/>
      <w:lvlJc w:val="left"/>
      <w:pPr>
        <w:ind w:left="720" w:hanging="360"/>
      </w:pPr>
      <w:rPr>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4" w15:restartNumberingAfterBreak="0">
    <w:nsid w:val="291B2E24"/>
    <w:multiLevelType w:val="hybridMultilevel"/>
    <w:tmpl w:val="414EA75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5" w15:restartNumberingAfterBreak="0">
    <w:nsid w:val="2BE93595"/>
    <w:multiLevelType w:val="hybridMultilevel"/>
    <w:tmpl w:val="95623B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D746BC4"/>
    <w:multiLevelType w:val="hybridMultilevel"/>
    <w:tmpl w:val="0FD0EE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DE619BB"/>
    <w:multiLevelType w:val="hybridMultilevel"/>
    <w:tmpl w:val="BDAC201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8" w15:restartNumberingAfterBreak="0">
    <w:nsid w:val="335C0E34"/>
    <w:multiLevelType w:val="hybridMultilevel"/>
    <w:tmpl w:val="67FCB8B8"/>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9" w15:restartNumberingAfterBreak="0">
    <w:nsid w:val="3B172AAF"/>
    <w:multiLevelType w:val="hybridMultilevel"/>
    <w:tmpl w:val="DCA8CAE2"/>
    <w:lvl w:ilvl="0" w:tplc="0809000F">
      <w:start w:val="3"/>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0" w15:restartNumberingAfterBreak="0">
    <w:nsid w:val="450809DC"/>
    <w:multiLevelType w:val="hybridMultilevel"/>
    <w:tmpl w:val="46429EAE"/>
    <w:lvl w:ilvl="0" w:tplc="C9DA6ADE">
      <w:numFmt w:val="bullet"/>
      <w:lvlText w:val="-"/>
      <w:lvlJc w:val="left"/>
      <w:pPr>
        <w:ind w:left="720" w:hanging="360"/>
      </w:pPr>
      <w:rPr>
        <w:rFonts w:ascii="Roboto" w:eastAsiaTheme="minorHAnsi" w:hAnsi="Roboto"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6753405"/>
    <w:multiLevelType w:val="hybridMultilevel"/>
    <w:tmpl w:val="AB38105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2" w15:restartNumberingAfterBreak="0">
    <w:nsid w:val="46F4340B"/>
    <w:multiLevelType w:val="hybridMultilevel"/>
    <w:tmpl w:val="9A1230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95A3C9D"/>
    <w:multiLevelType w:val="hybridMultilevel"/>
    <w:tmpl w:val="23500E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A2E7B57"/>
    <w:multiLevelType w:val="hybridMultilevel"/>
    <w:tmpl w:val="F5E4D72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5" w15:restartNumberingAfterBreak="0">
    <w:nsid w:val="5119777E"/>
    <w:multiLevelType w:val="hybridMultilevel"/>
    <w:tmpl w:val="428096D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16E20F5"/>
    <w:multiLevelType w:val="hybridMultilevel"/>
    <w:tmpl w:val="116839F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51A62060"/>
    <w:multiLevelType w:val="hybridMultilevel"/>
    <w:tmpl w:val="E45C30C4"/>
    <w:lvl w:ilvl="0" w:tplc="5046ED82">
      <w:start w:val="1"/>
      <w:numFmt w:val="lowerRoman"/>
      <w:pStyle w:val="Thirdnumberingi"/>
      <w:lvlText w:val="%1)."/>
      <w:lvlJc w:val="right"/>
      <w:pPr>
        <w:ind w:left="2001" w:hanging="360"/>
      </w:pPr>
      <w:rPr>
        <w:rFonts w:hint="default"/>
      </w:rPr>
    </w:lvl>
    <w:lvl w:ilvl="1" w:tplc="04090019" w:tentative="1">
      <w:start w:val="1"/>
      <w:numFmt w:val="lowerLetter"/>
      <w:lvlText w:val="%2."/>
      <w:lvlJc w:val="left"/>
      <w:pPr>
        <w:ind w:left="2721" w:hanging="360"/>
      </w:pPr>
    </w:lvl>
    <w:lvl w:ilvl="2" w:tplc="0409001B" w:tentative="1">
      <w:start w:val="1"/>
      <w:numFmt w:val="lowerRoman"/>
      <w:lvlText w:val="%3."/>
      <w:lvlJc w:val="right"/>
      <w:pPr>
        <w:ind w:left="3441" w:hanging="180"/>
      </w:pPr>
    </w:lvl>
    <w:lvl w:ilvl="3" w:tplc="0409000F" w:tentative="1">
      <w:start w:val="1"/>
      <w:numFmt w:val="decimal"/>
      <w:lvlText w:val="%4."/>
      <w:lvlJc w:val="left"/>
      <w:pPr>
        <w:ind w:left="4161" w:hanging="360"/>
      </w:pPr>
    </w:lvl>
    <w:lvl w:ilvl="4" w:tplc="04090019" w:tentative="1">
      <w:start w:val="1"/>
      <w:numFmt w:val="lowerLetter"/>
      <w:lvlText w:val="%5."/>
      <w:lvlJc w:val="left"/>
      <w:pPr>
        <w:ind w:left="4881" w:hanging="360"/>
      </w:pPr>
    </w:lvl>
    <w:lvl w:ilvl="5" w:tplc="0409001B" w:tentative="1">
      <w:start w:val="1"/>
      <w:numFmt w:val="lowerRoman"/>
      <w:lvlText w:val="%6."/>
      <w:lvlJc w:val="right"/>
      <w:pPr>
        <w:ind w:left="5601" w:hanging="180"/>
      </w:pPr>
    </w:lvl>
    <w:lvl w:ilvl="6" w:tplc="0409000F" w:tentative="1">
      <w:start w:val="1"/>
      <w:numFmt w:val="decimal"/>
      <w:lvlText w:val="%7."/>
      <w:lvlJc w:val="left"/>
      <w:pPr>
        <w:ind w:left="6321" w:hanging="360"/>
      </w:pPr>
    </w:lvl>
    <w:lvl w:ilvl="7" w:tplc="04090019" w:tentative="1">
      <w:start w:val="1"/>
      <w:numFmt w:val="lowerLetter"/>
      <w:lvlText w:val="%8."/>
      <w:lvlJc w:val="left"/>
      <w:pPr>
        <w:ind w:left="7041" w:hanging="360"/>
      </w:pPr>
    </w:lvl>
    <w:lvl w:ilvl="8" w:tplc="0409001B" w:tentative="1">
      <w:start w:val="1"/>
      <w:numFmt w:val="lowerRoman"/>
      <w:lvlText w:val="%9."/>
      <w:lvlJc w:val="right"/>
      <w:pPr>
        <w:ind w:left="7761" w:hanging="180"/>
      </w:pPr>
    </w:lvl>
  </w:abstractNum>
  <w:abstractNum w:abstractNumId="28" w15:restartNumberingAfterBreak="0">
    <w:nsid w:val="53ED5FCF"/>
    <w:multiLevelType w:val="hybridMultilevel"/>
    <w:tmpl w:val="A3183A28"/>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9" w15:restartNumberingAfterBreak="0">
    <w:nsid w:val="558212DC"/>
    <w:multiLevelType w:val="hybridMultilevel"/>
    <w:tmpl w:val="9796CBB0"/>
    <w:lvl w:ilvl="0" w:tplc="73BECFE8">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9E624EC"/>
    <w:multiLevelType w:val="hybridMultilevel"/>
    <w:tmpl w:val="687A94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2540026"/>
    <w:multiLevelType w:val="hybridMultilevel"/>
    <w:tmpl w:val="CD1E6D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2CA1D35"/>
    <w:multiLevelType w:val="hybridMultilevel"/>
    <w:tmpl w:val="83001E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4666FD0"/>
    <w:multiLevelType w:val="hybridMultilevel"/>
    <w:tmpl w:val="6374F74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4" w15:restartNumberingAfterBreak="0">
    <w:nsid w:val="69830AF4"/>
    <w:multiLevelType w:val="hybridMultilevel"/>
    <w:tmpl w:val="D46E3436"/>
    <w:lvl w:ilvl="0" w:tplc="ED2EB8DE">
      <w:numFmt w:val="bullet"/>
      <w:lvlText w:val="-"/>
      <w:lvlJc w:val="left"/>
      <w:pPr>
        <w:ind w:left="720" w:hanging="360"/>
      </w:pPr>
      <w:rPr>
        <w:rFonts w:ascii="Roboto" w:eastAsiaTheme="minorHAnsi" w:hAnsi="Roboto"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9BE7505"/>
    <w:multiLevelType w:val="hybridMultilevel"/>
    <w:tmpl w:val="A552CB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B3A6489"/>
    <w:multiLevelType w:val="hybridMultilevel"/>
    <w:tmpl w:val="5248074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7" w15:restartNumberingAfterBreak="0">
    <w:nsid w:val="6B5914B2"/>
    <w:multiLevelType w:val="hybridMultilevel"/>
    <w:tmpl w:val="42EA8332"/>
    <w:lvl w:ilvl="0" w:tplc="0809000F">
      <w:start w:val="3"/>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8" w15:restartNumberingAfterBreak="0">
    <w:nsid w:val="6BD46EAF"/>
    <w:multiLevelType w:val="hybridMultilevel"/>
    <w:tmpl w:val="A16C44CE"/>
    <w:lvl w:ilvl="0" w:tplc="8E1C72C0">
      <w:start w:val="1"/>
      <w:numFmt w:val="decimal"/>
      <w:lvlText w:val="%1)"/>
      <w:lvlJc w:val="left"/>
      <w:pPr>
        <w:ind w:left="720" w:hanging="360"/>
      </w:pPr>
      <w:rPr>
        <w:rFonts w:eastAsia="Calibri" w:cs="Times New Roman"/>
        <w:sz w:val="18"/>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9" w15:restartNumberingAfterBreak="0">
    <w:nsid w:val="6FB30392"/>
    <w:multiLevelType w:val="hybridMultilevel"/>
    <w:tmpl w:val="DB1A317A"/>
    <w:lvl w:ilvl="0" w:tplc="90442228">
      <w:start w:val="1"/>
      <w:numFmt w:val="decimal"/>
      <w:pStyle w:val="Firstnumbering"/>
      <w:lvlText w:val="%1."/>
      <w:lvlJc w:val="left"/>
      <w:pPr>
        <w:ind w:left="72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4DE3684"/>
    <w:multiLevelType w:val="hybridMultilevel"/>
    <w:tmpl w:val="4A1A5ED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1" w15:restartNumberingAfterBreak="0">
    <w:nsid w:val="782461CE"/>
    <w:multiLevelType w:val="hybridMultilevel"/>
    <w:tmpl w:val="EC24B8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741906446">
    <w:abstractNumId w:val="39"/>
  </w:num>
  <w:num w:numId="2" w16cid:durableId="308674728">
    <w:abstractNumId w:val="27"/>
  </w:num>
  <w:num w:numId="3" w16cid:durableId="1500343192">
    <w:abstractNumId w:val="4"/>
  </w:num>
  <w:num w:numId="4" w16cid:durableId="2309595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47017059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033460822">
    <w:abstractNumId w:val="1"/>
  </w:num>
  <w:num w:numId="7" w16cid:durableId="568812857">
    <w:abstractNumId w:val="7"/>
  </w:num>
  <w:num w:numId="8" w16cid:durableId="1084954740">
    <w:abstractNumId w:val="21"/>
  </w:num>
  <w:num w:numId="9" w16cid:durableId="578562995">
    <w:abstractNumId w:val="12"/>
  </w:num>
  <w:num w:numId="10" w16cid:durableId="510611933">
    <w:abstractNumId w:val="6"/>
  </w:num>
  <w:num w:numId="11" w16cid:durableId="1969778891">
    <w:abstractNumId w:val="33"/>
  </w:num>
  <w:num w:numId="12" w16cid:durableId="1735622382">
    <w:abstractNumId w:val="36"/>
  </w:num>
  <w:num w:numId="13" w16cid:durableId="368802610">
    <w:abstractNumId w:val="8"/>
  </w:num>
  <w:num w:numId="14" w16cid:durableId="596718351">
    <w:abstractNumId w:val="40"/>
  </w:num>
  <w:num w:numId="15" w16cid:durableId="2131971453">
    <w:abstractNumId w:val="1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905264189">
    <w:abstractNumId w:val="18"/>
  </w:num>
  <w:num w:numId="17" w16cid:durableId="1691180101">
    <w:abstractNumId w:val="28"/>
  </w:num>
  <w:num w:numId="18" w16cid:durableId="276985389">
    <w:abstractNumId w:val="13"/>
  </w:num>
  <w:num w:numId="19" w16cid:durableId="1138499962">
    <w:abstractNumId w:val="38"/>
  </w:num>
  <w:num w:numId="20" w16cid:durableId="168764834">
    <w:abstractNumId w:val="3"/>
  </w:num>
  <w:num w:numId="21" w16cid:durableId="216087894">
    <w:abstractNumId w:val="29"/>
  </w:num>
  <w:num w:numId="22" w16cid:durableId="561408521">
    <w:abstractNumId w:val="25"/>
  </w:num>
  <w:num w:numId="23" w16cid:durableId="124936018">
    <w:abstractNumId w:val="26"/>
  </w:num>
  <w:num w:numId="24" w16cid:durableId="2143845914">
    <w:abstractNumId w:val="0"/>
  </w:num>
  <w:num w:numId="25" w16cid:durableId="796220897">
    <w:abstractNumId w:val="30"/>
  </w:num>
  <w:num w:numId="26" w16cid:durableId="192160719">
    <w:abstractNumId w:val="2"/>
  </w:num>
  <w:num w:numId="27" w16cid:durableId="510145901">
    <w:abstractNumId w:val="32"/>
  </w:num>
  <w:num w:numId="28" w16cid:durableId="874930472">
    <w:abstractNumId w:val="41"/>
  </w:num>
  <w:num w:numId="29" w16cid:durableId="1575041006">
    <w:abstractNumId w:val="34"/>
  </w:num>
  <w:num w:numId="30" w16cid:durableId="806507220">
    <w:abstractNumId w:val="20"/>
  </w:num>
  <w:num w:numId="31" w16cid:durableId="1480685199">
    <w:abstractNumId w:val="16"/>
  </w:num>
  <w:num w:numId="32" w16cid:durableId="20127953">
    <w:abstractNumId w:val="37"/>
  </w:num>
  <w:num w:numId="33" w16cid:durableId="713584695">
    <w:abstractNumId w:val="15"/>
  </w:num>
  <w:num w:numId="34" w16cid:durableId="375276375">
    <w:abstractNumId w:val="5"/>
  </w:num>
  <w:num w:numId="35" w16cid:durableId="899562145">
    <w:abstractNumId w:val="35"/>
  </w:num>
  <w:num w:numId="36" w16cid:durableId="1791822840">
    <w:abstractNumId w:val="23"/>
  </w:num>
  <w:num w:numId="37" w16cid:durableId="1007367510">
    <w:abstractNumId w:val="31"/>
  </w:num>
  <w:num w:numId="38" w16cid:durableId="1973124776">
    <w:abstractNumId w:val="24"/>
  </w:num>
  <w:num w:numId="39" w16cid:durableId="39327542">
    <w:abstractNumId w:val="17"/>
  </w:num>
  <w:num w:numId="40" w16cid:durableId="1794323182">
    <w:abstractNumId w:val="14"/>
  </w:num>
  <w:num w:numId="41" w16cid:durableId="349339599">
    <w:abstractNumId w:val="19"/>
  </w:num>
  <w:num w:numId="42" w16cid:durableId="74670361">
    <w:abstractNumId w:val="22"/>
  </w:num>
  <w:num w:numId="43" w16cid:durableId="475605466">
    <w:abstractNumId w:val="11"/>
  </w:num>
  <w:num w:numId="44" w16cid:durableId="2097511059">
    <w:abstractNumId w:val="9"/>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397"/>
  <w:hyphenationZone w:val="425"/>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0DE9"/>
    <w:rsid w:val="000024C8"/>
    <w:rsid w:val="00004218"/>
    <w:rsid w:val="000044A4"/>
    <w:rsid w:val="00004AC6"/>
    <w:rsid w:val="00006301"/>
    <w:rsid w:val="00006C47"/>
    <w:rsid w:val="00007528"/>
    <w:rsid w:val="0001212C"/>
    <w:rsid w:val="00012192"/>
    <w:rsid w:val="00020C95"/>
    <w:rsid w:val="0002105A"/>
    <w:rsid w:val="00022107"/>
    <w:rsid w:val="0002210E"/>
    <w:rsid w:val="00022F03"/>
    <w:rsid w:val="000250CC"/>
    <w:rsid w:val="0002519B"/>
    <w:rsid w:val="00025CFF"/>
    <w:rsid w:val="00031F0B"/>
    <w:rsid w:val="00033569"/>
    <w:rsid w:val="00035BDC"/>
    <w:rsid w:val="00035CB2"/>
    <w:rsid w:val="00041776"/>
    <w:rsid w:val="00042704"/>
    <w:rsid w:val="00045A31"/>
    <w:rsid w:val="00045D6C"/>
    <w:rsid w:val="00047FA5"/>
    <w:rsid w:val="00052636"/>
    <w:rsid w:val="00056D98"/>
    <w:rsid w:val="000576D1"/>
    <w:rsid w:val="00067C15"/>
    <w:rsid w:val="0007004F"/>
    <w:rsid w:val="000724FB"/>
    <w:rsid w:val="00075B40"/>
    <w:rsid w:val="000762D2"/>
    <w:rsid w:val="000816DC"/>
    <w:rsid w:val="0008293C"/>
    <w:rsid w:val="00083752"/>
    <w:rsid w:val="00090D14"/>
    <w:rsid w:val="00094577"/>
    <w:rsid w:val="00094AB7"/>
    <w:rsid w:val="00094FA9"/>
    <w:rsid w:val="00096B62"/>
    <w:rsid w:val="00096E3D"/>
    <w:rsid w:val="000A0422"/>
    <w:rsid w:val="000A08BE"/>
    <w:rsid w:val="000A1981"/>
    <w:rsid w:val="000A4016"/>
    <w:rsid w:val="000A4C50"/>
    <w:rsid w:val="000A537E"/>
    <w:rsid w:val="000A5A1E"/>
    <w:rsid w:val="000A782B"/>
    <w:rsid w:val="000B1A95"/>
    <w:rsid w:val="000B47A8"/>
    <w:rsid w:val="000B50AD"/>
    <w:rsid w:val="000B676D"/>
    <w:rsid w:val="000B7CE6"/>
    <w:rsid w:val="000B7D58"/>
    <w:rsid w:val="000C0C6D"/>
    <w:rsid w:val="000C23BD"/>
    <w:rsid w:val="000C349E"/>
    <w:rsid w:val="000D318F"/>
    <w:rsid w:val="000D3F69"/>
    <w:rsid w:val="000E0325"/>
    <w:rsid w:val="000E465E"/>
    <w:rsid w:val="000E65DB"/>
    <w:rsid w:val="000E778D"/>
    <w:rsid w:val="000F1830"/>
    <w:rsid w:val="000F2FBE"/>
    <w:rsid w:val="000F38F5"/>
    <w:rsid w:val="000F6D54"/>
    <w:rsid w:val="00100A08"/>
    <w:rsid w:val="00100AF1"/>
    <w:rsid w:val="0010769B"/>
    <w:rsid w:val="00111987"/>
    <w:rsid w:val="00112D9A"/>
    <w:rsid w:val="00114D21"/>
    <w:rsid w:val="001169E6"/>
    <w:rsid w:val="00117747"/>
    <w:rsid w:val="00117E96"/>
    <w:rsid w:val="00120752"/>
    <w:rsid w:val="001227B5"/>
    <w:rsid w:val="00130DE1"/>
    <w:rsid w:val="001325FD"/>
    <w:rsid w:val="00133D7B"/>
    <w:rsid w:val="00133E0D"/>
    <w:rsid w:val="00134B58"/>
    <w:rsid w:val="00134CC3"/>
    <w:rsid w:val="001351B6"/>
    <w:rsid w:val="0013732D"/>
    <w:rsid w:val="001410BF"/>
    <w:rsid w:val="00145DCE"/>
    <w:rsid w:val="001463BB"/>
    <w:rsid w:val="0015003D"/>
    <w:rsid w:val="001508C7"/>
    <w:rsid w:val="00155833"/>
    <w:rsid w:val="00160053"/>
    <w:rsid w:val="00160C29"/>
    <w:rsid w:val="001639ED"/>
    <w:rsid w:val="001644D1"/>
    <w:rsid w:val="001658C3"/>
    <w:rsid w:val="0017266D"/>
    <w:rsid w:val="00180BD5"/>
    <w:rsid w:val="0018243E"/>
    <w:rsid w:val="00182591"/>
    <w:rsid w:val="00186760"/>
    <w:rsid w:val="00187723"/>
    <w:rsid w:val="001878D6"/>
    <w:rsid w:val="00187A72"/>
    <w:rsid w:val="001926F2"/>
    <w:rsid w:val="0019381B"/>
    <w:rsid w:val="0019594F"/>
    <w:rsid w:val="00196EE9"/>
    <w:rsid w:val="001A2ED9"/>
    <w:rsid w:val="001A3920"/>
    <w:rsid w:val="001A4152"/>
    <w:rsid w:val="001A5DEC"/>
    <w:rsid w:val="001A5F70"/>
    <w:rsid w:val="001A7527"/>
    <w:rsid w:val="001B219C"/>
    <w:rsid w:val="001B59BE"/>
    <w:rsid w:val="001C6D1C"/>
    <w:rsid w:val="001D143D"/>
    <w:rsid w:val="001D1BD1"/>
    <w:rsid w:val="001D3402"/>
    <w:rsid w:val="001D379B"/>
    <w:rsid w:val="001D4FD8"/>
    <w:rsid w:val="001D5019"/>
    <w:rsid w:val="001D53C7"/>
    <w:rsid w:val="001D5CBA"/>
    <w:rsid w:val="001D7FCE"/>
    <w:rsid w:val="001E0430"/>
    <w:rsid w:val="001E05CA"/>
    <w:rsid w:val="001E0741"/>
    <w:rsid w:val="001E1D74"/>
    <w:rsid w:val="001F1D53"/>
    <w:rsid w:val="001F2968"/>
    <w:rsid w:val="001F4F83"/>
    <w:rsid w:val="001F515B"/>
    <w:rsid w:val="001F5C18"/>
    <w:rsid w:val="00201DFA"/>
    <w:rsid w:val="002108C3"/>
    <w:rsid w:val="0021517B"/>
    <w:rsid w:val="00216146"/>
    <w:rsid w:val="00221119"/>
    <w:rsid w:val="00221B43"/>
    <w:rsid w:val="002227A2"/>
    <w:rsid w:val="002233A3"/>
    <w:rsid w:val="00223F44"/>
    <w:rsid w:val="00224365"/>
    <w:rsid w:val="00226B1D"/>
    <w:rsid w:val="00227DA1"/>
    <w:rsid w:val="00230B2A"/>
    <w:rsid w:val="002331B9"/>
    <w:rsid w:val="002343EF"/>
    <w:rsid w:val="002345B4"/>
    <w:rsid w:val="002364D3"/>
    <w:rsid w:val="0023673F"/>
    <w:rsid w:val="00240F90"/>
    <w:rsid w:val="0024268D"/>
    <w:rsid w:val="00243D8D"/>
    <w:rsid w:val="00243EAE"/>
    <w:rsid w:val="0025303B"/>
    <w:rsid w:val="002546AE"/>
    <w:rsid w:val="002550B9"/>
    <w:rsid w:val="00256AC8"/>
    <w:rsid w:val="00261624"/>
    <w:rsid w:val="0026181D"/>
    <w:rsid w:val="00261E77"/>
    <w:rsid w:val="00263B3D"/>
    <w:rsid w:val="00264EED"/>
    <w:rsid w:val="002652F3"/>
    <w:rsid w:val="00267C6B"/>
    <w:rsid w:val="002721EE"/>
    <w:rsid w:val="0027617B"/>
    <w:rsid w:val="00277633"/>
    <w:rsid w:val="00281B9F"/>
    <w:rsid w:val="00281BAF"/>
    <w:rsid w:val="0028319F"/>
    <w:rsid w:val="00285234"/>
    <w:rsid w:val="00286CCD"/>
    <w:rsid w:val="00286F9C"/>
    <w:rsid w:val="0029024B"/>
    <w:rsid w:val="00293122"/>
    <w:rsid w:val="002A012C"/>
    <w:rsid w:val="002A0A6B"/>
    <w:rsid w:val="002A1FD6"/>
    <w:rsid w:val="002A2D44"/>
    <w:rsid w:val="002A376D"/>
    <w:rsid w:val="002A440F"/>
    <w:rsid w:val="002A71FF"/>
    <w:rsid w:val="002A7F53"/>
    <w:rsid w:val="002B0E18"/>
    <w:rsid w:val="002B3496"/>
    <w:rsid w:val="002B7D09"/>
    <w:rsid w:val="002C1135"/>
    <w:rsid w:val="002C1E39"/>
    <w:rsid w:val="002C344B"/>
    <w:rsid w:val="002C3A39"/>
    <w:rsid w:val="002C6BD6"/>
    <w:rsid w:val="002D3CA5"/>
    <w:rsid w:val="002D3E4B"/>
    <w:rsid w:val="002D6582"/>
    <w:rsid w:val="002D72AD"/>
    <w:rsid w:val="002D7492"/>
    <w:rsid w:val="002D798A"/>
    <w:rsid w:val="002E0DE9"/>
    <w:rsid w:val="002E5872"/>
    <w:rsid w:val="002E5BE2"/>
    <w:rsid w:val="002E6A6C"/>
    <w:rsid w:val="002F0D55"/>
    <w:rsid w:val="002F19EB"/>
    <w:rsid w:val="002F3056"/>
    <w:rsid w:val="002F412F"/>
    <w:rsid w:val="002F5B06"/>
    <w:rsid w:val="00300412"/>
    <w:rsid w:val="0030410D"/>
    <w:rsid w:val="00304FA0"/>
    <w:rsid w:val="00305918"/>
    <w:rsid w:val="00305BA4"/>
    <w:rsid w:val="00307531"/>
    <w:rsid w:val="0030765A"/>
    <w:rsid w:val="003109DF"/>
    <w:rsid w:val="00310B43"/>
    <w:rsid w:val="00311817"/>
    <w:rsid w:val="00316E81"/>
    <w:rsid w:val="003204D6"/>
    <w:rsid w:val="00321FF8"/>
    <w:rsid w:val="00322248"/>
    <w:rsid w:val="003229AE"/>
    <w:rsid w:val="00324448"/>
    <w:rsid w:val="00324BBA"/>
    <w:rsid w:val="00326074"/>
    <w:rsid w:val="00326FE6"/>
    <w:rsid w:val="00327ACD"/>
    <w:rsid w:val="00331167"/>
    <w:rsid w:val="0033230B"/>
    <w:rsid w:val="00332A68"/>
    <w:rsid w:val="00332EA8"/>
    <w:rsid w:val="00334FC9"/>
    <w:rsid w:val="00335E2E"/>
    <w:rsid w:val="003363B0"/>
    <w:rsid w:val="0033652B"/>
    <w:rsid w:val="003378DA"/>
    <w:rsid w:val="00342921"/>
    <w:rsid w:val="003434A3"/>
    <w:rsid w:val="003434EF"/>
    <w:rsid w:val="00343715"/>
    <w:rsid w:val="00343D7D"/>
    <w:rsid w:val="00344195"/>
    <w:rsid w:val="003467BC"/>
    <w:rsid w:val="0034769E"/>
    <w:rsid w:val="003531B9"/>
    <w:rsid w:val="00353EE1"/>
    <w:rsid w:val="00354966"/>
    <w:rsid w:val="00356C4C"/>
    <w:rsid w:val="00360838"/>
    <w:rsid w:val="0036142D"/>
    <w:rsid w:val="003622DF"/>
    <w:rsid w:val="00362B87"/>
    <w:rsid w:val="0036496E"/>
    <w:rsid w:val="003654C7"/>
    <w:rsid w:val="00366140"/>
    <w:rsid w:val="00367CC3"/>
    <w:rsid w:val="00371DE1"/>
    <w:rsid w:val="00380652"/>
    <w:rsid w:val="00383651"/>
    <w:rsid w:val="00384563"/>
    <w:rsid w:val="00386A00"/>
    <w:rsid w:val="00392513"/>
    <w:rsid w:val="00394AFB"/>
    <w:rsid w:val="0039652B"/>
    <w:rsid w:val="003A017E"/>
    <w:rsid w:val="003A0555"/>
    <w:rsid w:val="003A2ED9"/>
    <w:rsid w:val="003A3CD1"/>
    <w:rsid w:val="003A5C59"/>
    <w:rsid w:val="003A6070"/>
    <w:rsid w:val="003A750B"/>
    <w:rsid w:val="003B13DB"/>
    <w:rsid w:val="003B210B"/>
    <w:rsid w:val="003B25AB"/>
    <w:rsid w:val="003B6574"/>
    <w:rsid w:val="003B7D17"/>
    <w:rsid w:val="003C041A"/>
    <w:rsid w:val="003C08E7"/>
    <w:rsid w:val="003C0FE2"/>
    <w:rsid w:val="003C131D"/>
    <w:rsid w:val="003C2606"/>
    <w:rsid w:val="003C7641"/>
    <w:rsid w:val="003C7FC2"/>
    <w:rsid w:val="003D22AB"/>
    <w:rsid w:val="003D2CA6"/>
    <w:rsid w:val="003D337A"/>
    <w:rsid w:val="003D387F"/>
    <w:rsid w:val="003D6226"/>
    <w:rsid w:val="003E0726"/>
    <w:rsid w:val="003E0F1E"/>
    <w:rsid w:val="003E62B3"/>
    <w:rsid w:val="003E7324"/>
    <w:rsid w:val="003E7DB2"/>
    <w:rsid w:val="003F0F62"/>
    <w:rsid w:val="003F6B67"/>
    <w:rsid w:val="0040049A"/>
    <w:rsid w:val="0040169D"/>
    <w:rsid w:val="004017A3"/>
    <w:rsid w:val="00410B40"/>
    <w:rsid w:val="00415E1A"/>
    <w:rsid w:val="00417239"/>
    <w:rsid w:val="0042262E"/>
    <w:rsid w:val="00425E88"/>
    <w:rsid w:val="00426731"/>
    <w:rsid w:val="00431AB7"/>
    <w:rsid w:val="00432503"/>
    <w:rsid w:val="004332DA"/>
    <w:rsid w:val="0044002B"/>
    <w:rsid w:val="00443448"/>
    <w:rsid w:val="00443751"/>
    <w:rsid w:val="0044560F"/>
    <w:rsid w:val="0044687F"/>
    <w:rsid w:val="0044745A"/>
    <w:rsid w:val="004521FB"/>
    <w:rsid w:val="00452C31"/>
    <w:rsid w:val="00452CF8"/>
    <w:rsid w:val="00453B71"/>
    <w:rsid w:val="0045548C"/>
    <w:rsid w:val="00456D2F"/>
    <w:rsid w:val="00462A14"/>
    <w:rsid w:val="00463731"/>
    <w:rsid w:val="0046394B"/>
    <w:rsid w:val="00465ED2"/>
    <w:rsid w:val="00467571"/>
    <w:rsid w:val="0047477C"/>
    <w:rsid w:val="0048118D"/>
    <w:rsid w:val="0048305E"/>
    <w:rsid w:val="004831BB"/>
    <w:rsid w:val="00483F04"/>
    <w:rsid w:val="00490495"/>
    <w:rsid w:val="00492194"/>
    <w:rsid w:val="00492D6F"/>
    <w:rsid w:val="004A21BC"/>
    <w:rsid w:val="004A3485"/>
    <w:rsid w:val="004A3915"/>
    <w:rsid w:val="004A6C98"/>
    <w:rsid w:val="004A6F5D"/>
    <w:rsid w:val="004B0FC5"/>
    <w:rsid w:val="004B1166"/>
    <w:rsid w:val="004B6FC5"/>
    <w:rsid w:val="004B7071"/>
    <w:rsid w:val="004C4B51"/>
    <w:rsid w:val="004D12BB"/>
    <w:rsid w:val="004D1EDC"/>
    <w:rsid w:val="004D2D5C"/>
    <w:rsid w:val="004D3829"/>
    <w:rsid w:val="004D3C90"/>
    <w:rsid w:val="004D5686"/>
    <w:rsid w:val="004E299B"/>
    <w:rsid w:val="004F1B5A"/>
    <w:rsid w:val="004F406A"/>
    <w:rsid w:val="004F4DFD"/>
    <w:rsid w:val="004F6FE9"/>
    <w:rsid w:val="005015AD"/>
    <w:rsid w:val="00502190"/>
    <w:rsid w:val="00504A23"/>
    <w:rsid w:val="00504AF1"/>
    <w:rsid w:val="00505052"/>
    <w:rsid w:val="00506254"/>
    <w:rsid w:val="00507669"/>
    <w:rsid w:val="005168DC"/>
    <w:rsid w:val="005214E3"/>
    <w:rsid w:val="005267DF"/>
    <w:rsid w:val="00526AB7"/>
    <w:rsid w:val="005309D1"/>
    <w:rsid w:val="00532AFF"/>
    <w:rsid w:val="005330F7"/>
    <w:rsid w:val="00537668"/>
    <w:rsid w:val="00540C89"/>
    <w:rsid w:val="00541D9E"/>
    <w:rsid w:val="0054456C"/>
    <w:rsid w:val="005453D5"/>
    <w:rsid w:val="0054696B"/>
    <w:rsid w:val="00547439"/>
    <w:rsid w:val="005479CC"/>
    <w:rsid w:val="005530D1"/>
    <w:rsid w:val="005560B0"/>
    <w:rsid w:val="00556E4C"/>
    <w:rsid w:val="00557D5E"/>
    <w:rsid w:val="00561EFF"/>
    <w:rsid w:val="00562348"/>
    <w:rsid w:val="00562A3C"/>
    <w:rsid w:val="00563598"/>
    <w:rsid w:val="00565814"/>
    <w:rsid w:val="00567B56"/>
    <w:rsid w:val="00571AE1"/>
    <w:rsid w:val="00571E6C"/>
    <w:rsid w:val="00573F94"/>
    <w:rsid w:val="00575A8A"/>
    <w:rsid w:val="00581FEF"/>
    <w:rsid w:val="00585182"/>
    <w:rsid w:val="00585ADA"/>
    <w:rsid w:val="00591632"/>
    <w:rsid w:val="00593D80"/>
    <w:rsid w:val="005A124C"/>
    <w:rsid w:val="005A1C26"/>
    <w:rsid w:val="005A2951"/>
    <w:rsid w:val="005A4CC2"/>
    <w:rsid w:val="005A7782"/>
    <w:rsid w:val="005B075A"/>
    <w:rsid w:val="005B419A"/>
    <w:rsid w:val="005B5815"/>
    <w:rsid w:val="005B5B46"/>
    <w:rsid w:val="005B6406"/>
    <w:rsid w:val="005B77B9"/>
    <w:rsid w:val="005C182B"/>
    <w:rsid w:val="005C18E1"/>
    <w:rsid w:val="005C1E35"/>
    <w:rsid w:val="005C200E"/>
    <w:rsid w:val="005C283A"/>
    <w:rsid w:val="005C4233"/>
    <w:rsid w:val="005C570B"/>
    <w:rsid w:val="005C6784"/>
    <w:rsid w:val="005D0BFA"/>
    <w:rsid w:val="005D1D51"/>
    <w:rsid w:val="005D2258"/>
    <w:rsid w:val="005D3326"/>
    <w:rsid w:val="005D345E"/>
    <w:rsid w:val="005D488F"/>
    <w:rsid w:val="005D50EE"/>
    <w:rsid w:val="005E17E6"/>
    <w:rsid w:val="005E1DAD"/>
    <w:rsid w:val="005E354B"/>
    <w:rsid w:val="005E5A53"/>
    <w:rsid w:val="005E738D"/>
    <w:rsid w:val="005F1F45"/>
    <w:rsid w:val="005F38D3"/>
    <w:rsid w:val="005F6F0F"/>
    <w:rsid w:val="006005F8"/>
    <w:rsid w:val="00600B90"/>
    <w:rsid w:val="00601847"/>
    <w:rsid w:val="00602E98"/>
    <w:rsid w:val="006033DA"/>
    <w:rsid w:val="006054D8"/>
    <w:rsid w:val="00605A70"/>
    <w:rsid w:val="006067A8"/>
    <w:rsid w:val="006071CB"/>
    <w:rsid w:val="006100C4"/>
    <w:rsid w:val="00610A17"/>
    <w:rsid w:val="006136F1"/>
    <w:rsid w:val="0061633A"/>
    <w:rsid w:val="0062211C"/>
    <w:rsid w:val="0063026B"/>
    <w:rsid w:val="00631BB0"/>
    <w:rsid w:val="00632355"/>
    <w:rsid w:val="00632AD2"/>
    <w:rsid w:val="00635587"/>
    <w:rsid w:val="00637019"/>
    <w:rsid w:val="00640E47"/>
    <w:rsid w:val="00652364"/>
    <w:rsid w:val="006532D5"/>
    <w:rsid w:val="006566E2"/>
    <w:rsid w:val="00656F39"/>
    <w:rsid w:val="0065793B"/>
    <w:rsid w:val="006603C2"/>
    <w:rsid w:val="00660A58"/>
    <w:rsid w:val="00661875"/>
    <w:rsid w:val="006624D6"/>
    <w:rsid w:val="00663F86"/>
    <w:rsid w:val="00665600"/>
    <w:rsid w:val="0066631F"/>
    <w:rsid w:val="006678D3"/>
    <w:rsid w:val="00670235"/>
    <w:rsid w:val="00672525"/>
    <w:rsid w:val="00676BBD"/>
    <w:rsid w:val="00681B6C"/>
    <w:rsid w:val="00682ECA"/>
    <w:rsid w:val="00685C10"/>
    <w:rsid w:val="00695AAD"/>
    <w:rsid w:val="00696257"/>
    <w:rsid w:val="0069797E"/>
    <w:rsid w:val="006A0651"/>
    <w:rsid w:val="006A0F38"/>
    <w:rsid w:val="006A137E"/>
    <w:rsid w:val="006A2CD9"/>
    <w:rsid w:val="006A32BF"/>
    <w:rsid w:val="006A5EA8"/>
    <w:rsid w:val="006B0B4A"/>
    <w:rsid w:val="006B1A68"/>
    <w:rsid w:val="006B75FA"/>
    <w:rsid w:val="006C0EC4"/>
    <w:rsid w:val="006C130B"/>
    <w:rsid w:val="006C2675"/>
    <w:rsid w:val="006C4352"/>
    <w:rsid w:val="006C4636"/>
    <w:rsid w:val="006C5998"/>
    <w:rsid w:val="006C7112"/>
    <w:rsid w:val="006D55C0"/>
    <w:rsid w:val="006D5D57"/>
    <w:rsid w:val="006D66B3"/>
    <w:rsid w:val="006E0CEF"/>
    <w:rsid w:val="006E192D"/>
    <w:rsid w:val="006E1B5F"/>
    <w:rsid w:val="006E4D4C"/>
    <w:rsid w:val="006E5314"/>
    <w:rsid w:val="006E5EA3"/>
    <w:rsid w:val="006F38D7"/>
    <w:rsid w:val="006F5169"/>
    <w:rsid w:val="007003AA"/>
    <w:rsid w:val="0070218E"/>
    <w:rsid w:val="00703A91"/>
    <w:rsid w:val="007043E8"/>
    <w:rsid w:val="00704731"/>
    <w:rsid w:val="00705D5C"/>
    <w:rsid w:val="00707F50"/>
    <w:rsid w:val="00710838"/>
    <w:rsid w:val="00710E16"/>
    <w:rsid w:val="00711A29"/>
    <w:rsid w:val="00711E2A"/>
    <w:rsid w:val="00713B8E"/>
    <w:rsid w:val="00716051"/>
    <w:rsid w:val="00716E2B"/>
    <w:rsid w:val="007211A0"/>
    <w:rsid w:val="00722559"/>
    <w:rsid w:val="007241F3"/>
    <w:rsid w:val="007267AD"/>
    <w:rsid w:val="0073325B"/>
    <w:rsid w:val="007433AD"/>
    <w:rsid w:val="007436A3"/>
    <w:rsid w:val="0074432A"/>
    <w:rsid w:val="00745272"/>
    <w:rsid w:val="0074634C"/>
    <w:rsid w:val="007475B9"/>
    <w:rsid w:val="00747CBE"/>
    <w:rsid w:val="00751EA7"/>
    <w:rsid w:val="00752B07"/>
    <w:rsid w:val="00756442"/>
    <w:rsid w:val="007572E4"/>
    <w:rsid w:val="00761481"/>
    <w:rsid w:val="00763D65"/>
    <w:rsid w:val="00766185"/>
    <w:rsid w:val="00767A81"/>
    <w:rsid w:val="00770AB3"/>
    <w:rsid w:val="007730B0"/>
    <w:rsid w:val="007763FC"/>
    <w:rsid w:val="007765A7"/>
    <w:rsid w:val="00777B9C"/>
    <w:rsid w:val="007823FD"/>
    <w:rsid w:val="00784917"/>
    <w:rsid w:val="00786115"/>
    <w:rsid w:val="00793043"/>
    <w:rsid w:val="00793387"/>
    <w:rsid w:val="007A2F3C"/>
    <w:rsid w:val="007A5939"/>
    <w:rsid w:val="007A61DB"/>
    <w:rsid w:val="007B1E13"/>
    <w:rsid w:val="007B2989"/>
    <w:rsid w:val="007B55D3"/>
    <w:rsid w:val="007B5E2B"/>
    <w:rsid w:val="007B64F1"/>
    <w:rsid w:val="007B7089"/>
    <w:rsid w:val="007B74EF"/>
    <w:rsid w:val="007B7D9F"/>
    <w:rsid w:val="007C0889"/>
    <w:rsid w:val="007C112E"/>
    <w:rsid w:val="007C3DFF"/>
    <w:rsid w:val="007C3E82"/>
    <w:rsid w:val="007C486C"/>
    <w:rsid w:val="007C565C"/>
    <w:rsid w:val="007C666D"/>
    <w:rsid w:val="007C7454"/>
    <w:rsid w:val="007D1011"/>
    <w:rsid w:val="007D77D9"/>
    <w:rsid w:val="007E1751"/>
    <w:rsid w:val="007E2B3E"/>
    <w:rsid w:val="007E2F77"/>
    <w:rsid w:val="007E491E"/>
    <w:rsid w:val="007E4F8A"/>
    <w:rsid w:val="007E595E"/>
    <w:rsid w:val="007E641E"/>
    <w:rsid w:val="007E77AE"/>
    <w:rsid w:val="007E7AD0"/>
    <w:rsid w:val="007F16AB"/>
    <w:rsid w:val="007F56FA"/>
    <w:rsid w:val="007F6662"/>
    <w:rsid w:val="00800ED8"/>
    <w:rsid w:val="00802A0C"/>
    <w:rsid w:val="008038B5"/>
    <w:rsid w:val="00803CE1"/>
    <w:rsid w:val="00804ADE"/>
    <w:rsid w:val="0080629B"/>
    <w:rsid w:val="00806431"/>
    <w:rsid w:val="008100AD"/>
    <w:rsid w:val="00810AE8"/>
    <w:rsid w:val="00811C0E"/>
    <w:rsid w:val="008156DF"/>
    <w:rsid w:val="008226C3"/>
    <w:rsid w:val="00822CC3"/>
    <w:rsid w:val="008249E2"/>
    <w:rsid w:val="00825C3A"/>
    <w:rsid w:val="00826747"/>
    <w:rsid w:val="00826D4A"/>
    <w:rsid w:val="00831057"/>
    <w:rsid w:val="00831DC2"/>
    <w:rsid w:val="00834B45"/>
    <w:rsid w:val="008355C0"/>
    <w:rsid w:val="0083603C"/>
    <w:rsid w:val="00836EE6"/>
    <w:rsid w:val="00841FF0"/>
    <w:rsid w:val="00843044"/>
    <w:rsid w:val="008449FC"/>
    <w:rsid w:val="00845558"/>
    <w:rsid w:val="00845BF2"/>
    <w:rsid w:val="00846F1C"/>
    <w:rsid w:val="00847984"/>
    <w:rsid w:val="00853577"/>
    <w:rsid w:val="00853D09"/>
    <w:rsid w:val="00854541"/>
    <w:rsid w:val="008547B0"/>
    <w:rsid w:val="0085526D"/>
    <w:rsid w:val="008574D5"/>
    <w:rsid w:val="00857850"/>
    <w:rsid w:val="008601C5"/>
    <w:rsid w:val="008605FD"/>
    <w:rsid w:val="00861A94"/>
    <w:rsid w:val="008624AD"/>
    <w:rsid w:val="008628F5"/>
    <w:rsid w:val="00863CF0"/>
    <w:rsid w:val="00870055"/>
    <w:rsid w:val="008737EA"/>
    <w:rsid w:val="00873A23"/>
    <w:rsid w:val="00877F0A"/>
    <w:rsid w:val="008809FF"/>
    <w:rsid w:val="00880A80"/>
    <w:rsid w:val="00880DC4"/>
    <w:rsid w:val="00885144"/>
    <w:rsid w:val="008867FD"/>
    <w:rsid w:val="00892A41"/>
    <w:rsid w:val="00893ED8"/>
    <w:rsid w:val="00897FFB"/>
    <w:rsid w:val="008A08DC"/>
    <w:rsid w:val="008A0C5D"/>
    <w:rsid w:val="008A1BD6"/>
    <w:rsid w:val="008A2730"/>
    <w:rsid w:val="008A5D05"/>
    <w:rsid w:val="008B0AC3"/>
    <w:rsid w:val="008B1154"/>
    <w:rsid w:val="008B18C5"/>
    <w:rsid w:val="008B1B57"/>
    <w:rsid w:val="008B2B09"/>
    <w:rsid w:val="008B4700"/>
    <w:rsid w:val="008C3429"/>
    <w:rsid w:val="008C3546"/>
    <w:rsid w:val="008D2632"/>
    <w:rsid w:val="008D5169"/>
    <w:rsid w:val="008D66E6"/>
    <w:rsid w:val="008D6D32"/>
    <w:rsid w:val="008D74FD"/>
    <w:rsid w:val="008E04E8"/>
    <w:rsid w:val="008E0C45"/>
    <w:rsid w:val="008E0D44"/>
    <w:rsid w:val="008E2AB2"/>
    <w:rsid w:val="008E5E46"/>
    <w:rsid w:val="008E692D"/>
    <w:rsid w:val="008E6FCF"/>
    <w:rsid w:val="008E73F4"/>
    <w:rsid w:val="008F176A"/>
    <w:rsid w:val="008F39D8"/>
    <w:rsid w:val="008F401D"/>
    <w:rsid w:val="009004F7"/>
    <w:rsid w:val="0090362D"/>
    <w:rsid w:val="00903D5B"/>
    <w:rsid w:val="0090648C"/>
    <w:rsid w:val="0090729B"/>
    <w:rsid w:val="00912393"/>
    <w:rsid w:val="009128C5"/>
    <w:rsid w:val="00913736"/>
    <w:rsid w:val="0092134E"/>
    <w:rsid w:val="00926087"/>
    <w:rsid w:val="00931143"/>
    <w:rsid w:val="00931FCA"/>
    <w:rsid w:val="00933A49"/>
    <w:rsid w:val="00936288"/>
    <w:rsid w:val="00937242"/>
    <w:rsid w:val="009415CD"/>
    <w:rsid w:val="00943DBF"/>
    <w:rsid w:val="00945679"/>
    <w:rsid w:val="009469B3"/>
    <w:rsid w:val="00947FE4"/>
    <w:rsid w:val="009502FD"/>
    <w:rsid w:val="009505ED"/>
    <w:rsid w:val="00952B0C"/>
    <w:rsid w:val="009555C6"/>
    <w:rsid w:val="009561DD"/>
    <w:rsid w:val="0096066B"/>
    <w:rsid w:val="00962A3D"/>
    <w:rsid w:val="00964C43"/>
    <w:rsid w:val="009654C0"/>
    <w:rsid w:val="00965D9F"/>
    <w:rsid w:val="00971B82"/>
    <w:rsid w:val="0097216C"/>
    <w:rsid w:val="00973EA0"/>
    <w:rsid w:val="00975EC3"/>
    <w:rsid w:val="00980B9B"/>
    <w:rsid w:val="00981C2B"/>
    <w:rsid w:val="009837E7"/>
    <w:rsid w:val="009863DD"/>
    <w:rsid w:val="00986991"/>
    <w:rsid w:val="0099140C"/>
    <w:rsid w:val="00993AB9"/>
    <w:rsid w:val="00997CE9"/>
    <w:rsid w:val="00997FEA"/>
    <w:rsid w:val="009A72B5"/>
    <w:rsid w:val="009A76F8"/>
    <w:rsid w:val="009B34FA"/>
    <w:rsid w:val="009B4731"/>
    <w:rsid w:val="009B4DE6"/>
    <w:rsid w:val="009B55A4"/>
    <w:rsid w:val="009B6318"/>
    <w:rsid w:val="009B6888"/>
    <w:rsid w:val="009C0262"/>
    <w:rsid w:val="009C1079"/>
    <w:rsid w:val="009C72FB"/>
    <w:rsid w:val="009D44B0"/>
    <w:rsid w:val="009D49BC"/>
    <w:rsid w:val="009D76A6"/>
    <w:rsid w:val="009E107F"/>
    <w:rsid w:val="009E4B76"/>
    <w:rsid w:val="009E7C39"/>
    <w:rsid w:val="009F031A"/>
    <w:rsid w:val="009F18D9"/>
    <w:rsid w:val="009F2C2F"/>
    <w:rsid w:val="009F3474"/>
    <w:rsid w:val="009F4CFF"/>
    <w:rsid w:val="00A05E3B"/>
    <w:rsid w:val="00A06C34"/>
    <w:rsid w:val="00A06E69"/>
    <w:rsid w:val="00A10BB0"/>
    <w:rsid w:val="00A14155"/>
    <w:rsid w:val="00A14E4A"/>
    <w:rsid w:val="00A21785"/>
    <w:rsid w:val="00A21813"/>
    <w:rsid w:val="00A22F7C"/>
    <w:rsid w:val="00A245D4"/>
    <w:rsid w:val="00A34291"/>
    <w:rsid w:val="00A44254"/>
    <w:rsid w:val="00A445BF"/>
    <w:rsid w:val="00A45EE9"/>
    <w:rsid w:val="00A471F0"/>
    <w:rsid w:val="00A54B1C"/>
    <w:rsid w:val="00A57CC0"/>
    <w:rsid w:val="00A65B14"/>
    <w:rsid w:val="00A66B59"/>
    <w:rsid w:val="00A7055A"/>
    <w:rsid w:val="00A723E8"/>
    <w:rsid w:val="00A76723"/>
    <w:rsid w:val="00A77275"/>
    <w:rsid w:val="00A836DB"/>
    <w:rsid w:val="00A86681"/>
    <w:rsid w:val="00A8684B"/>
    <w:rsid w:val="00A907D6"/>
    <w:rsid w:val="00A92EFB"/>
    <w:rsid w:val="00A97FBF"/>
    <w:rsid w:val="00AA0055"/>
    <w:rsid w:val="00AA15F5"/>
    <w:rsid w:val="00AA55CE"/>
    <w:rsid w:val="00AB4428"/>
    <w:rsid w:val="00AB5301"/>
    <w:rsid w:val="00AB5F72"/>
    <w:rsid w:val="00AB6F23"/>
    <w:rsid w:val="00AC1A0B"/>
    <w:rsid w:val="00AC55D0"/>
    <w:rsid w:val="00AD1B5E"/>
    <w:rsid w:val="00AD2DD6"/>
    <w:rsid w:val="00AD3799"/>
    <w:rsid w:val="00AD4D67"/>
    <w:rsid w:val="00AD73A9"/>
    <w:rsid w:val="00AE0933"/>
    <w:rsid w:val="00AE3FCD"/>
    <w:rsid w:val="00AE588C"/>
    <w:rsid w:val="00AE78BB"/>
    <w:rsid w:val="00AF00BF"/>
    <w:rsid w:val="00AF05D9"/>
    <w:rsid w:val="00AF33FF"/>
    <w:rsid w:val="00AF678E"/>
    <w:rsid w:val="00B0304F"/>
    <w:rsid w:val="00B03789"/>
    <w:rsid w:val="00B03BA3"/>
    <w:rsid w:val="00B04409"/>
    <w:rsid w:val="00B062E9"/>
    <w:rsid w:val="00B0758F"/>
    <w:rsid w:val="00B0768A"/>
    <w:rsid w:val="00B1115D"/>
    <w:rsid w:val="00B134F5"/>
    <w:rsid w:val="00B14A50"/>
    <w:rsid w:val="00B167F4"/>
    <w:rsid w:val="00B24318"/>
    <w:rsid w:val="00B31287"/>
    <w:rsid w:val="00B3196D"/>
    <w:rsid w:val="00B31CDB"/>
    <w:rsid w:val="00B333AB"/>
    <w:rsid w:val="00B343FD"/>
    <w:rsid w:val="00B34F60"/>
    <w:rsid w:val="00B3670B"/>
    <w:rsid w:val="00B36D75"/>
    <w:rsid w:val="00B36E8D"/>
    <w:rsid w:val="00B37A19"/>
    <w:rsid w:val="00B476C9"/>
    <w:rsid w:val="00B47E21"/>
    <w:rsid w:val="00B50644"/>
    <w:rsid w:val="00B507CA"/>
    <w:rsid w:val="00B5142A"/>
    <w:rsid w:val="00B53A52"/>
    <w:rsid w:val="00B53D81"/>
    <w:rsid w:val="00B57E93"/>
    <w:rsid w:val="00B63F06"/>
    <w:rsid w:val="00B6411A"/>
    <w:rsid w:val="00B66027"/>
    <w:rsid w:val="00B66AED"/>
    <w:rsid w:val="00B708FF"/>
    <w:rsid w:val="00B73AFE"/>
    <w:rsid w:val="00B80CDC"/>
    <w:rsid w:val="00B80D42"/>
    <w:rsid w:val="00B82A74"/>
    <w:rsid w:val="00B867A5"/>
    <w:rsid w:val="00B872EA"/>
    <w:rsid w:val="00B91262"/>
    <w:rsid w:val="00B94C7A"/>
    <w:rsid w:val="00B94CE5"/>
    <w:rsid w:val="00BA00D6"/>
    <w:rsid w:val="00BA120C"/>
    <w:rsid w:val="00BA21E4"/>
    <w:rsid w:val="00BB00DE"/>
    <w:rsid w:val="00BB1DC6"/>
    <w:rsid w:val="00BB2683"/>
    <w:rsid w:val="00BB4BDA"/>
    <w:rsid w:val="00BB5C08"/>
    <w:rsid w:val="00BB7C62"/>
    <w:rsid w:val="00BC1FF2"/>
    <w:rsid w:val="00BC2351"/>
    <w:rsid w:val="00BC2D18"/>
    <w:rsid w:val="00BD1C5C"/>
    <w:rsid w:val="00BD30CA"/>
    <w:rsid w:val="00BD57AA"/>
    <w:rsid w:val="00BD6E37"/>
    <w:rsid w:val="00BE0EA7"/>
    <w:rsid w:val="00BE27CF"/>
    <w:rsid w:val="00BE31F8"/>
    <w:rsid w:val="00BE50EF"/>
    <w:rsid w:val="00BE6F3B"/>
    <w:rsid w:val="00BE743D"/>
    <w:rsid w:val="00BF2F5A"/>
    <w:rsid w:val="00BF3159"/>
    <w:rsid w:val="00BF3266"/>
    <w:rsid w:val="00BF3A3D"/>
    <w:rsid w:val="00BF4444"/>
    <w:rsid w:val="00BF5DC8"/>
    <w:rsid w:val="00BF781D"/>
    <w:rsid w:val="00C007D1"/>
    <w:rsid w:val="00C019B5"/>
    <w:rsid w:val="00C043EE"/>
    <w:rsid w:val="00C04E1C"/>
    <w:rsid w:val="00C07606"/>
    <w:rsid w:val="00C07FF5"/>
    <w:rsid w:val="00C11964"/>
    <w:rsid w:val="00C15318"/>
    <w:rsid w:val="00C15971"/>
    <w:rsid w:val="00C15A7C"/>
    <w:rsid w:val="00C1747D"/>
    <w:rsid w:val="00C2025E"/>
    <w:rsid w:val="00C20A0C"/>
    <w:rsid w:val="00C22602"/>
    <w:rsid w:val="00C229C4"/>
    <w:rsid w:val="00C23FAD"/>
    <w:rsid w:val="00C24FD3"/>
    <w:rsid w:val="00C25E64"/>
    <w:rsid w:val="00C263AF"/>
    <w:rsid w:val="00C2719B"/>
    <w:rsid w:val="00C304D2"/>
    <w:rsid w:val="00C31F85"/>
    <w:rsid w:val="00C32E9C"/>
    <w:rsid w:val="00C342C2"/>
    <w:rsid w:val="00C34432"/>
    <w:rsid w:val="00C35A98"/>
    <w:rsid w:val="00C426EA"/>
    <w:rsid w:val="00C431F5"/>
    <w:rsid w:val="00C45914"/>
    <w:rsid w:val="00C508F9"/>
    <w:rsid w:val="00C51CAB"/>
    <w:rsid w:val="00C56661"/>
    <w:rsid w:val="00C60512"/>
    <w:rsid w:val="00C654C6"/>
    <w:rsid w:val="00C655C6"/>
    <w:rsid w:val="00C71D76"/>
    <w:rsid w:val="00C73185"/>
    <w:rsid w:val="00C82977"/>
    <w:rsid w:val="00C82AF0"/>
    <w:rsid w:val="00C83083"/>
    <w:rsid w:val="00C921DB"/>
    <w:rsid w:val="00C93C78"/>
    <w:rsid w:val="00C93CF5"/>
    <w:rsid w:val="00C94751"/>
    <w:rsid w:val="00C953B5"/>
    <w:rsid w:val="00C95592"/>
    <w:rsid w:val="00C97681"/>
    <w:rsid w:val="00CA2B5A"/>
    <w:rsid w:val="00CA674F"/>
    <w:rsid w:val="00CB4CDA"/>
    <w:rsid w:val="00CC1D06"/>
    <w:rsid w:val="00CC5ED5"/>
    <w:rsid w:val="00CC6797"/>
    <w:rsid w:val="00CD0D91"/>
    <w:rsid w:val="00CD3F7C"/>
    <w:rsid w:val="00CD49A3"/>
    <w:rsid w:val="00CD52D2"/>
    <w:rsid w:val="00CE0FDC"/>
    <w:rsid w:val="00CE2FD2"/>
    <w:rsid w:val="00CE6284"/>
    <w:rsid w:val="00CE6791"/>
    <w:rsid w:val="00CF16C6"/>
    <w:rsid w:val="00CF4B55"/>
    <w:rsid w:val="00CF6CA9"/>
    <w:rsid w:val="00D005F9"/>
    <w:rsid w:val="00D0065F"/>
    <w:rsid w:val="00D00F0F"/>
    <w:rsid w:val="00D0256B"/>
    <w:rsid w:val="00D12C77"/>
    <w:rsid w:val="00D13129"/>
    <w:rsid w:val="00D132B3"/>
    <w:rsid w:val="00D16E17"/>
    <w:rsid w:val="00D17054"/>
    <w:rsid w:val="00D1720D"/>
    <w:rsid w:val="00D3261F"/>
    <w:rsid w:val="00D33A2D"/>
    <w:rsid w:val="00D3519B"/>
    <w:rsid w:val="00D41485"/>
    <w:rsid w:val="00D4296B"/>
    <w:rsid w:val="00D45234"/>
    <w:rsid w:val="00D45B43"/>
    <w:rsid w:val="00D52689"/>
    <w:rsid w:val="00D52DD0"/>
    <w:rsid w:val="00D537E4"/>
    <w:rsid w:val="00D554BC"/>
    <w:rsid w:val="00D602A3"/>
    <w:rsid w:val="00D64062"/>
    <w:rsid w:val="00D90A32"/>
    <w:rsid w:val="00D90C58"/>
    <w:rsid w:val="00D93A10"/>
    <w:rsid w:val="00D95944"/>
    <w:rsid w:val="00DA146C"/>
    <w:rsid w:val="00DA4544"/>
    <w:rsid w:val="00DA5FDA"/>
    <w:rsid w:val="00DB03D7"/>
    <w:rsid w:val="00DB281E"/>
    <w:rsid w:val="00DB4AF3"/>
    <w:rsid w:val="00DC09AE"/>
    <w:rsid w:val="00DC2523"/>
    <w:rsid w:val="00DC3D0F"/>
    <w:rsid w:val="00DC4B9A"/>
    <w:rsid w:val="00DC79A2"/>
    <w:rsid w:val="00DD07FD"/>
    <w:rsid w:val="00DD17F4"/>
    <w:rsid w:val="00DD3E44"/>
    <w:rsid w:val="00DD6F10"/>
    <w:rsid w:val="00DE18FA"/>
    <w:rsid w:val="00DE1992"/>
    <w:rsid w:val="00DE1AD5"/>
    <w:rsid w:val="00DE247B"/>
    <w:rsid w:val="00DE2828"/>
    <w:rsid w:val="00DE46B1"/>
    <w:rsid w:val="00DE68FF"/>
    <w:rsid w:val="00DF024A"/>
    <w:rsid w:val="00DF595B"/>
    <w:rsid w:val="00DF6027"/>
    <w:rsid w:val="00DF6258"/>
    <w:rsid w:val="00DF7DE7"/>
    <w:rsid w:val="00E01F36"/>
    <w:rsid w:val="00E02A70"/>
    <w:rsid w:val="00E04F2D"/>
    <w:rsid w:val="00E05F27"/>
    <w:rsid w:val="00E06547"/>
    <w:rsid w:val="00E108E4"/>
    <w:rsid w:val="00E13865"/>
    <w:rsid w:val="00E140C4"/>
    <w:rsid w:val="00E14411"/>
    <w:rsid w:val="00E16BDD"/>
    <w:rsid w:val="00E2125D"/>
    <w:rsid w:val="00E234BF"/>
    <w:rsid w:val="00E34C1C"/>
    <w:rsid w:val="00E34E3A"/>
    <w:rsid w:val="00E36794"/>
    <w:rsid w:val="00E37A10"/>
    <w:rsid w:val="00E40B70"/>
    <w:rsid w:val="00E4386B"/>
    <w:rsid w:val="00E444D0"/>
    <w:rsid w:val="00E45607"/>
    <w:rsid w:val="00E47034"/>
    <w:rsid w:val="00E5188E"/>
    <w:rsid w:val="00E55CDD"/>
    <w:rsid w:val="00E6033E"/>
    <w:rsid w:val="00E6174D"/>
    <w:rsid w:val="00E6282A"/>
    <w:rsid w:val="00E63CAC"/>
    <w:rsid w:val="00E64BA1"/>
    <w:rsid w:val="00E66CB9"/>
    <w:rsid w:val="00E67C41"/>
    <w:rsid w:val="00E70813"/>
    <w:rsid w:val="00E7107B"/>
    <w:rsid w:val="00E7485B"/>
    <w:rsid w:val="00E76646"/>
    <w:rsid w:val="00E7787F"/>
    <w:rsid w:val="00E77A9E"/>
    <w:rsid w:val="00E82D24"/>
    <w:rsid w:val="00E86054"/>
    <w:rsid w:val="00E867A2"/>
    <w:rsid w:val="00E9146F"/>
    <w:rsid w:val="00E97F40"/>
    <w:rsid w:val="00EA1133"/>
    <w:rsid w:val="00EA154F"/>
    <w:rsid w:val="00EA2587"/>
    <w:rsid w:val="00EA297C"/>
    <w:rsid w:val="00EA36A3"/>
    <w:rsid w:val="00EA7126"/>
    <w:rsid w:val="00EA72D7"/>
    <w:rsid w:val="00EB730A"/>
    <w:rsid w:val="00EC0AB5"/>
    <w:rsid w:val="00EC23AE"/>
    <w:rsid w:val="00EC24DE"/>
    <w:rsid w:val="00EC32BB"/>
    <w:rsid w:val="00EC4F04"/>
    <w:rsid w:val="00EC6386"/>
    <w:rsid w:val="00EC67B5"/>
    <w:rsid w:val="00EC6EE1"/>
    <w:rsid w:val="00EC6F72"/>
    <w:rsid w:val="00ED0707"/>
    <w:rsid w:val="00ED08E4"/>
    <w:rsid w:val="00ED0994"/>
    <w:rsid w:val="00ED550E"/>
    <w:rsid w:val="00ED5A72"/>
    <w:rsid w:val="00ED5C91"/>
    <w:rsid w:val="00ED7CEE"/>
    <w:rsid w:val="00EE4363"/>
    <w:rsid w:val="00EE7D9B"/>
    <w:rsid w:val="00EF0BEB"/>
    <w:rsid w:val="00EF3B2D"/>
    <w:rsid w:val="00EF7153"/>
    <w:rsid w:val="00EF7FAF"/>
    <w:rsid w:val="00F04260"/>
    <w:rsid w:val="00F118AA"/>
    <w:rsid w:val="00F118DB"/>
    <w:rsid w:val="00F145AE"/>
    <w:rsid w:val="00F16DFA"/>
    <w:rsid w:val="00F17510"/>
    <w:rsid w:val="00F219AA"/>
    <w:rsid w:val="00F25E90"/>
    <w:rsid w:val="00F2747A"/>
    <w:rsid w:val="00F31CD8"/>
    <w:rsid w:val="00F33D7F"/>
    <w:rsid w:val="00F34C5D"/>
    <w:rsid w:val="00F358A5"/>
    <w:rsid w:val="00F42D67"/>
    <w:rsid w:val="00F437E8"/>
    <w:rsid w:val="00F44373"/>
    <w:rsid w:val="00F50569"/>
    <w:rsid w:val="00F55FF3"/>
    <w:rsid w:val="00F61D4D"/>
    <w:rsid w:val="00F6394D"/>
    <w:rsid w:val="00F70C29"/>
    <w:rsid w:val="00F72490"/>
    <w:rsid w:val="00F72C55"/>
    <w:rsid w:val="00F76D0D"/>
    <w:rsid w:val="00F77C25"/>
    <w:rsid w:val="00F77EC3"/>
    <w:rsid w:val="00F81B4A"/>
    <w:rsid w:val="00F82B18"/>
    <w:rsid w:val="00F833C5"/>
    <w:rsid w:val="00F838B6"/>
    <w:rsid w:val="00F86E8F"/>
    <w:rsid w:val="00F90F43"/>
    <w:rsid w:val="00F9305F"/>
    <w:rsid w:val="00F94C1D"/>
    <w:rsid w:val="00F96CF4"/>
    <w:rsid w:val="00FA11C8"/>
    <w:rsid w:val="00FA4815"/>
    <w:rsid w:val="00FA4A78"/>
    <w:rsid w:val="00FB1D1E"/>
    <w:rsid w:val="00FB1D73"/>
    <w:rsid w:val="00FB754B"/>
    <w:rsid w:val="00FC2283"/>
    <w:rsid w:val="00FC272C"/>
    <w:rsid w:val="00FC31A4"/>
    <w:rsid w:val="00FC391D"/>
    <w:rsid w:val="00FC6429"/>
    <w:rsid w:val="00FC79C9"/>
    <w:rsid w:val="00FD0A38"/>
    <w:rsid w:val="00FD1457"/>
    <w:rsid w:val="00FD1793"/>
    <w:rsid w:val="00FD2B7C"/>
    <w:rsid w:val="00FD32C2"/>
    <w:rsid w:val="00FD3734"/>
    <w:rsid w:val="00FD4EAD"/>
    <w:rsid w:val="00FD533B"/>
    <w:rsid w:val="00FD6E3E"/>
    <w:rsid w:val="00FE00E5"/>
    <w:rsid w:val="00FE3BF0"/>
    <w:rsid w:val="00FE42FC"/>
    <w:rsid w:val="00FE484F"/>
    <w:rsid w:val="00FE50BC"/>
    <w:rsid w:val="00FE5A0C"/>
    <w:rsid w:val="00FF095D"/>
    <w:rsid w:val="00FF2B96"/>
    <w:rsid w:val="00FF48B5"/>
    <w:rsid w:val="00FF4D84"/>
    <w:rsid w:val="00FF72DB"/>
    <w:rsid w:val="051539C0"/>
    <w:rsid w:val="0BF52A8B"/>
    <w:rsid w:val="0F0E472F"/>
    <w:rsid w:val="0FF7640F"/>
    <w:rsid w:val="149A3190"/>
    <w:rsid w:val="1C68F2DE"/>
    <w:rsid w:val="27CBDEDE"/>
    <w:rsid w:val="28CDD443"/>
    <w:rsid w:val="299C4AD3"/>
    <w:rsid w:val="3416049C"/>
    <w:rsid w:val="34ED6356"/>
    <w:rsid w:val="356EEF46"/>
    <w:rsid w:val="36FFA279"/>
    <w:rsid w:val="37797D32"/>
    <w:rsid w:val="3E03B54C"/>
    <w:rsid w:val="46097392"/>
    <w:rsid w:val="4A4EC0A9"/>
    <w:rsid w:val="4BCCA035"/>
    <w:rsid w:val="50D489C6"/>
    <w:rsid w:val="57D29872"/>
    <w:rsid w:val="580C7681"/>
    <w:rsid w:val="5CD30717"/>
    <w:rsid w:val="5E25A5E3"/>
    <w:rsid w:val="5FBD06A2"/>
    <w:rsid w:val="62837DBD"/>
    <w:rsid w:val="67A58FA3"/>
    <w:rsid w:val="6FD7C01F"/>
    <w:rsid w:val="751BB53A"/>
    <w:rsid w:val="7C655FE3"/>
    <w:rsid w:val="7E07EAE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137352A"/>
  <w15:chartTrackingRefBased/>
  <w15:docId w15:val="{D89BF267-8C58-42A5-8C29-3EA653AC4D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GB"/>
    </w:rPr>
  </w:style>
  <w:style w:type="paragraph" w:styleId="Heading1">
    <w:name w:val="heading 1"/>
    <w:basedOn w:val="Normal"/>
    <w:next w:val="Normal"/>
    <w:link w:val="Heading1Char"/>
    <w:uiPriority w:val="9"/>
    <w:qFormat/>
    <w:rsid w:val="002D72AD"/>
    <w:pPr>
      <w:keepNext/>
      <w:keepLines/>
      <w:spacing w:before="240" w:after="0"/>
      <w:outlineLvl w:val="0"/>
    </w:pPr>
    <w:rPr>
      <w:rFonts w:ascii="Calibri Light" w:eastAsia="Yu Gothic Light" w:hAnsi="Calibri Light" w:cs="Times New Roman"/>
      <w:color w:val="2F5496"/>
      <w:kern w:val="2"/>
      <w:sz w:val="32"/>
      <w:szCs w:val="32"/>
      <w14:ligatures w14:val="standardContextual"/>
    </w:rPr>
  </w:style>
  <w:style w:type="paragraph" w:styleId="Heading2">
    <w:name w:val="heading 2"/>
    <w:basedOn w:val="Normal"/>
    <w:next w:val="Normal"/>
    <w:link w:val="Heading2Char"/>
    <w:uiPriority w:val="9"/>
    <w:unhideWhenUsed/>
    <w:qFormat/>
    <w:rsid w:val="002D72AD"/>
    <w:pPr>
      <w:keepNext/>
      <w:keepLines/>
      <w:spacing w:before="40" w:after="0"/>
      <w:outlineLvl w:val="1"/>
    </w:pPr>
    <w:rPr>
      <w:rFonts w:ascii="Calibri Light" w:eastAsia="Yu Gothic Light" w:hAnsi="Calibri Light" w:cs="Times New Roman"/>
      <w:color w:val="2F5496"/>
      <w:kern w:val="2"/>
      <w:sz w:val="26"/>
      <w:szCs w:val="26"/>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E0DE9"/>
    <w:pPr>
      <w:tabs>
        <w:tab w:val="center" w:pos="4680"/>
        <w:tab w:val="right" w:pos="9360"/>
      </w:tabs>
      <w:spacing w:after="0" w:line="240" w:lineRule="auto"/>
    </w:pPr>
  </w:style>
  <w:style w:type="character" w:customStyle="1" w:styleId="HeaderChar">
    <w:name w:val="Header Char"/>
    <w:basedOn w:val="DefaultParagraphFont"/>
    <w:link w:val="Header"/>
    <w:uiPriority w:val="99"/>
    <w:rsid w:val="002E0DE9"/>
  </w:style>
  <w:style w:type="paragraph" w:styleId="Footer">
    <w:name w:val="footer"/>
    <w:basedOn w:val="Normal"/>
    <w:link w:val="FooterChar"/>
    <w:uiPriority w:val="99"/>
    <w:unhideWhenUsed/>
    <w:rsid w:val="002E0DE9"/>
    <w:pPr>
      <w:tabs>
        <w:tab w:val="center" w:pos="4680"/>
        <w:tab w:val="right" w:pos="9360"/>
      </w:tabs>
      <w:spacing w:after="0" w:line="240" w:lineRule="auto"/>
    </w:pPr>
  </w:style>
  <w:style w:type="character" w:customStyle="1" w:styleId="FooterChar">
    <w:name w:val="Footer Char"/>
    <w:basedOn w:val="DefaultParagraphFont"/>
    <w:link w:val="Footer"/>
    <w:uiPriority w:val="99"/>
    <w:rsid w:val="002E0DE9"/>
  </w:style>
  <w:style w:type="paragraph" w:styleId="BalloonText">
    <w:name w:val="Balloon Text"/>
    <w:basedOn w:val="Normal"/>
    <w:link w:val="BalloonTextChar"/>
    <w:uiPriority w:val="99"/>
    <w:semiHidden/>
    <w:unhideWhenUsed/>
    <w:rsid w:val="00EC6EE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C6EE1"/>
    <w:rPr>
      <w:rFonts w:ascii="Segoe UI" w:hAnsi="Segoe UI" w:cs="Segoe UI"/>
      <w:sz w:val="18"/>
      <w:szCs w:val="18"/>
    </w:rPr>
  </w:style>
  <w:style w:type="paragraph" w:styleId="ListParagraph">
    <w:name w:val="List Paragraph"/>
    <w:basedOn w:val="Normal"/>
    <w:link w:val="ListParagraphChar"/>
    <w:uiPriority w:val="34"/>
    <w:qFormat/>
    <w:rsid w:val="00DD3E44"/>
    <w:pPr>
      <w:ind w:left="720"/>
      <w:contextualSpacing/>
    </w:pPr>
  </w:style>
  <w:style w:type="paragraph" w:customStyle="1" w:styleId="Firstnumbering">
    <w:name w:val="First numbering"/>
    <w:basedOn w:val="ListParagraph"/>
    <w:link w:val="FirstnumberingChar"/>
    <w:qFormat/>
    <w:rsid w:val="008C3546"/>
    <w:pPr>
      <w:numPr>
        <w:numId w:val="1"/>
      </w:numPr>
      <w:spacing w:after="0" w:line="240" w:lineRule="auto"/>
      <w:ind w:left="567" w:hanging="567"/>
      <w:contextualSpacing w:val="0"/>
    </w:pPr>
  </w:style>
  <w:style w:type="paragraph" w:customStyle="1" w:styleId="Secondnumbering">
    <w:name w:val="Second numbering"/>
    <w:basedOn w:val="Firstnumbering"/>
    <w:link w:val="SecondnumberingChar"/>
    <w:qFormat/>
    <w:rsid w:val="00360838"/>
    <w:pPr>
      <w:numPr>
        <w:numId w:val="4"/>
      </w:numPr>
    </w:pPr>
  </w:style>
  <w:style w:type="character" w:customStyle="1" w:styleId="ListParagraphChar">
    <w:name w:val="List Paragraph Char"/>
    <w:basedOn w:val="DefaultParagraphFont"/>
    <w:link w:val="ListParagraph"/>
    <w:uiPriority w:val="34"/>
    <w:rsid w:val="008C3546"/>
    <w:rPr>
      <w:lang w:val="en-GB"/>
    </w:rPr>
  </w:style>
  <w:style w:type="character" w:customStyle="1" w:styleId="FirstnumberingChar">
    <w:name w:val="First numbering Char"/>
    <w:basedOn w:val="ListParagraphChar"/>
    <w:link w:val="Firstnumbering"/>
    <w:rsid w:val="008C3546"/>
    <w:rPr>
      <w:lang w:val="en-GB"/>
    </w:rPr>
  </w:style>
  <w:style w:type="paragraph" w:customStyle="1" w:styleId="Thirdnumberingi">
    <w:name w:val="Third numbering i)"/>
    <w:basedOn w:val="Secondnumbering"/>
    <w:link w:val="ThirdnumberingiChar"/>
    <w:qFormat/>
    <w:rsid w:val="00360838"/>
    <w:pPr>
      <w:numPr>
        <w:numId w:val="2"/>
      </w:numPr>
      <w:ind w:left="1701" w:hanging="283"/>
    </w:pPr>
  </w:style>
  <w:style w:type="character" w:customStyle="1" w:styleId="SecondnumberingChar">
    <w:name w:val="Second numbering Char"/>
    <w:basedOn w:val="FirstnumberingChar"/>
    <w:link w:val="Secondnumbering"/>
    <w:rsid w:val="00360838"/>
    <w:rPr>
      <w:lang w:val="en-GB"/>
    </w:rPr>
  </w:style>
  <w:style w:type="paragraph" w:customStyle="1" w:styleId="FourthnumberingA">
    <w:name w:val="Fourth numbering A."/>
    <w:basedOn w:val="Thirdnumberingi"/>
    <w:link w:val="FourthnumberingAChar"/>
    <w:qFormat/>
    <w:rsid w:val="00360838"/>
    <w:pPr>
      <w:numPr>
        <w:numId w:val="3"/>
      </w:numPr>
      <w:ind w:left="2268" w:hanging="283"/>
    </w:pPr>
  </w:style>
  <w:style w:type="character" w:customStyle="1" w:styleId="ThirdnumberingiChar">
    <w:name w:val="Third numbering i) Char"/>
    <w:basedOn w:val="SecondnumberingChar"/>
    <w:link w:val="Thirdnumberingi"/>
    <w:rsid w:val="00360838"/>
    <w:rPr>
      <w:lang w:val="en-GB"/>
    </w:rPr>
  </w:style>
  <w:style w:type="paragraph" w:customStyle="1" w:styleId="Title1">
    <w:name w:val="Title1"/>
    <w:basedOn w:val="Normal"/>
    <w:link w:val="TITLEChar"/>
    <w:qFormat/>
    <w:rsid w:val="004B7071"/>
    <w:pPr>
      <w:widowControl w:val="0"/>
      <w:pBdr>
        <w:top w:val="single" w:sz="6" w:space="0" w:color="FFFFFF"/>
        <w:left w:val="single" w:sz="6" w:space="0" w:color="FFFFFF"/>
        <w:bottom w:val="single" w:sz="6" w:space="0" w:color="FFFFFF"/>
        <w:right w:val="single" w:sz="6" w:space="0" w:color="FFFFFF"/>
      </w:pBdr>
      <w:suppressAutoHyphens/>
      <w:autoSpaceDE w:val="0"/>
      <w:autoSpaceDN w:val="0"/>
      <w:spacing w:after="0" w:line="240" w:lineRule="auto"/>
      <w:jc w:val="center"/>
      <w:textAlignment w:val="baseline"/>
      <w:outlineLvl w:val="1"/>
    </w:pPr>
    <w:rPr>
      <w:rFonts w:eastAsia="Times New Roman" w:cs="Arial"/>
      <w:b/>
      <w:caps/>
    </w:rPr>
  </w:style>
  <w:style w:type="character" w:customStyle="1" w:styleId="FourthnumberingAChar">
    <w:name w:val="Fourth numbering A. Char"/>
    <w:basedOn w:val="ThirdnumberingiChar"/>
    <w:link w:val="FourthnumberingA"/>
    <w:rsid w:val="00360838"/>
    <w:rPr>
      <w:lang w:val="en-GB"/>
    </w:rPr>
  </w:style>
  <w:style w:type="character" w:customStyle="1" w:styleId="TITLEChar">
    <w:name w:val="TITLE Char"/>
    <w:basedOn w:val="DefaultParagraphFont"/>
    <w:link w:val="Title1"/>
    <w:rsid w:val="004B7071"/>
    <w:rPr>
      <w:rFonts w:eastAsia="Times New Roman" w:cs="Arial"/>
      <w:b/>
      <w:caps/>
      <w:lang w:val="en-GB"/>
    </w:rPr>
  </w:style>
  <w:style w:type="paragraph" w:styleId="Revision">
    <w:name w:val="Revision"/>
    <w:hidden/>
    <w:uiPriority w:val="99"/>
    <w:semiHidden/>
    <w:rsid w:val="00BE0EA7"/>
    <w:pPr>
      <w:spacing w:after="0" w:line="240" w:lineRule="auto"/>
    </w:pPr>
    <w:rPr>
      <w:lang w:val="en-GB"/>
    </w:rPr>
  </w:style>
  <w:style w:type="paragraph" w:styleId="EndnoteText">
    <w:name w:val="endnote text"/>
    <w:basedOn w:val="Normal"/>
    <w:link w:val="EndnoteTextChar"/>
    <w:uiPriority w:val="99"/>
    <w:semiHidden/>
    <w:unhideWhenUsed/>
    <w:rsid w:val="005C4233"/>
    <w:pPr>
      <w:spacing w:after="0" w:line="240" w:lineRule="auto"/>
    </w:pPr>
    <w:rPr>
      <w:sz w:val="20"/>
      <w:szCs w:val="20"/>
    </w:rPr>
  </w:style>
  <w:style w:type="character" w:customStyle="1" w:styleId="EndnoteTextChar">
    <w:name w:val="Endnote Text Char"/>
    <w:basedOn w:val="DefaultParagraphFont"/>
    <w:link w:val="EndnoteText"/>
    <w:uiPriority w:val="99"/>
    <w:semiHidden/>
    <w:rsid w:val="005C4233"/>
    <w:rPr>
      <w:sz w:val="20"/>
      <w:szCs w:val="20"/>
      <w:lang w:val="en-GB"/>
    </w:rPr>
  </w:style>
  <w:style w:type="character" w:styleId="EndnoteReference">
    <w:name w:val="endnote reference"/>
    <w:basedOn w:val="DefaultParagraphFont"/>
    <w:uiPriority w:val="99"/>
    <w:semiHidden/>
    <w:unhideWhenUsed/>
    <w:rsid w:val="005C4233"/>
    <w:rPr>
      <w:vertAlign w:val="superscript"/>
    </w:rPr>
  </w:style>
  <w:style w:type="character" w:styleId="CommentReference">
    <w:name w:val="annotation reference"/>
    <w:basedOn w:val="DefaultParagraphFont"/>
    <w:uiPriority w:val="99"/>
    <w:semiHidden/>
    <w:unhideWhenUsed/>
    <w:rsid w:val="002B0E18"/>
    <w:rPr>
      <w:sz w:val="16"/>
      <w:szCs w:val="16"/>
    </w:rPr>
  </w:style>
  <w:style w:type="paragraph" w:styleId="CommentText">
    <w:name w:val="annotation text"/>
    <w:basedOn w:val="Normal"/>
    <w:link w:val="CommentTextChar"/>
    <w:uiPriority w:val="99"/>
    <w:unhideWhenUsed/>
    <w:rsid w:val="002B0E18"/>
    <w:pPr>
      <w:spacing w:line="240" w:lineRule="auto"/>
    </w:pPr>
    <w:rPr>
      <w:sz w:val="20"/>
      <w:szCs w:val="20"/>
    </w:rPr>
  </w:style>
  <w:style w:type="character" w:customStyle="1" w:styleId="CommentTextChar">
    <w:name w:val="Comment Text Char"/>
    <w:basedOn w:val="DefaultParagraphFont"/>
    <w:link w:val="CommentText"/>
    <w:uiPriority w:val="99"/>
    <w:rsid w:val="002B0E18"/>
    <w:rPr>
      <w:sz w:val="20"/>
      <w:szCs w:val="20"/>
      <w:lang w:val="en-GB"/>
    </w:rPr>
  </w:style>
  <w:style w:type="paragraph" w:styleId="CommentSubject">
    <w:name w:val="annotation subject"/>
    <w:basedOn w:val="CommentText"/>
    <w:next w:val="CommentText"/>
    <w:link w:val="CommentSubjectChar"/>
    <w:uiPriority w:val="99"/>
    <w:semiHidden/>
    <w:unhideWhenUsed/>
    <w:rsid w:val="002B0E18"/>
    <w:rPr>
      <w:b/>
      <w:bCs/>
    </w:rPr>
  </w:style>
  <w:style w:type="character" w:customStyle="1" w:styleId="CommentSubjectChar">
    <w:name w:val="Comment Subject Char"/>
    <w:basedOn w:val="CommentTextChar"/>
    <w:link w:val="CommentSubject"/>
    <w:uiPriority w:val="99"/>
    <w:semiHidden/>
    <w:rsid w:val="002B0E18"/>
    <w:rPr>
      <w:b/>
      <w:bCs/>
      <w:sz w:val="20"/>
      <w:szCs w:val="20"/>
      <w:lang w:val="en-GB"/>
    </w:rPr>
  </w:style>
  <w:style w:type="character" w:styleId="Mention">
    <w:name w:val="Mention"/>
    <w:basedOn w:val="DefaultParagraphFont"/>
    <w:uiPriority w:val="99"/>
    <w:unhideWhenUsed/>
    <w:rsid w:val="00B53A52"/>
    <w:rPr>
      <w:color w:val="2B579A"/>
      <w:shd w:val="clear" w:color="auto" w:fill="E1DFDD"/>
    </w:rPr>
  </w:style>
  <w:style w:type="character" w:styleId="Hyperlink">
    <w:name w:val="Hyperlink"/>
    <w:basedOn w:val="DefaultParagraphFont"/>
    <w:uiPriority w:val="99"/>
    <w:unhideWhenUsed/>
    <w:rsid w:val="00B53A52"/>
    <w:rPr>
      <w:color w:val="0563C1" w:themeColor="hyperlink"/>
      <w:u w:val="single"/>
    </w:rPr>
  </w:style>
  <w:style w:type="character" w:styleId="UnresolvedMention">
    <w:name w:val="Unresolved Mention"/>
    <w:basedOn w:val="DefaultParagraphFont"/>
    <w:uiPriority w:val="99"/>
    <w:semiHidden/>
    <w:unhideWhenUsed/>
    <w:rsid w:val="00B53A52"/>
    <w:rPr>
      <w:color w:val="605E5C"/>
      <w:shd w:val="clear" w:color="auto" w:fill="E1DFDD"/>
    </w:rPr>
  </w:style>
  <w:style w:type="character" w:styleId="FollowedHyperlink">
    <w:name w:val="FollowedHyperlink"/>
    <w:basedOn w:val="DefaultParagraphFont"/>
    <w:uiPriority w:val="99"/>
    <w:semiHidden/>
    <w:unhideWhenUsed/>
    <w:rsid w:val="006A0F38"/>
    <w:rPr>
      <w:color w:val="954F72" w:themeColor="followedHyperlink"/>
      <w:u w:val="single"/>
    </w:rPr>
  </w:style>
  <w:style w:type="paragraph" w:styleId="FootnoteText">
    <w:name w:val="footnote text"/>
    <w:basedOn w:val="Normal"/>
    <w:link w:val="FootnoteTextChar"/>
    <w:uiPriority w:val="99"/>
    <w:unhideWhenUsed/>
    <w:rsid w:val="00196EE9"/>
    <w:pPr>
      <w:spacing w:after="0" w:line="240" w:lineRule="auto"/>
    </w:pPr>
    <w:rPr>
      <w:sz w:val="20"/>
      <w:szCs w:val="20"/>
    </w:rPr>
  </w:style>
  <w:style w:type="character" w:customStyle="1" w:styleId="FootnoteTextChar">
    <w:name w:val="Footnote Text Char"/>
    <w:basedOn w:val="DefaultParagraphFont"/>
    <w:link w:val="FootnoteText"/>
    <w:uiPriority w:val="99"/>
    <w:rsid w:val="00196EE9"/>
    <w:rPr>
      <w:sz w:val="20"/>
      <w:szCs w:val="20"/>
      <w:lang w:val="en-GB"/>
    </w:rPr>
  </w:style>
  <w:style w:type="character" w:styleId="FootnoteReference">
    <w:name w:val="footnote reference"/>
    <w:basedOn w:val="DefaultParagraphFont"/>
    <w:uiPriority w:val="99"/>
    <w:semiHidden/>
    <w:unhideWhenUsed/>
    <w:rsid w:val="00196EE9"/>
    <w:rPr>
      <w:vertAlign w:val="superscript"/>
    </w:rPr>
  </w:style>
  <w:style w:type="paragraph" w:customStyle="1" w:styleId="Heading11">
    <w:name w:val="Heading 11"/>
    <w:basedOn w:val="Normal"/>
    <w:next w:val="Normal"/>
    <w:uiPriority w:val="9"/>
    <w:qFormat/>
    <w:rsid w:val="002D72AD"/>
    <w:pPr>
      <w:keepNext/>
      <w:keepLines/>
      <w:spacing w:before="240" w:after="0" w:line="256" w:lineRule="auto"/>
      <w:outlineLvl w:val="0"/>
    </w:pPr>
    <w:rPr>
      <w:rFonts w:ascii="Calibri Light" w:eastAsia="Yu Gothic Light" w:hAnsi="Calibri Light" w:cs="Times New Roman"/>
      <w:color w:val="2F5496"/>
      <w:kern w:val="2"/>
      <w:sz w:val="32"/>
      <w:szCs w:val="32"/>
      <w14:ligatures w14:val="standardContextual"/>
    </w:rPr>
  </w:style>
  <w:style w:type="paragraph" w:customStyle="1" w:styleId="Heading21">
    <w:name w:val="Heading 21"/>
    <w:basedOn w:val="Normal"/>
    <w:next w:val="Normal"/>
    <w:uiPriority w:val="9"/>
    <w:semiHidden/>
    <w:unhideWhenUsed/>
    <w:qFormat/>
    <w:rsid w:val="002D72AD"/>
    <w:pPr>
      <w:keepNext/>
      <w:keepLines/>
      <w:spacing w:before="40" w:after="0" w:line="256" w:lineRule="auto"/>
      <w:outlineLvl w:val="1"/>
    </w:pPr>
    <w:rPr>
      <w:rFonts w:ascii="Calibri Light" w:eastAsia="Yu Gothic Light" w:hAnsi="Calibri Light" w:cs="Times New Roman"/>
      <w:color w:val="2F5496"/>
      <w:kern w:val="2"/>
      <w:sz w:val="26"/>
      <w:szCs w:val="26"/>
      <w14:ligatures w14:val="standardContextual"/>
    </w:rPr>
  </w:style>
  <w:style w:type="numbering" w:customStyle="1" w:styleId="NoList1">
    <w:name w:val="No List1"/>
    <w:next w:val="NoList"/>
    <w:uiPriority w:val="99"/>
    <w:semiHidden/>
    <w:unhideWhenUsed/>
    <w:rsid w:val="002D72AD"/>
  </w:style>
  <w:style w:type="character" w:customStyle="1" w:styleId="Heading1Char">
    <w:name w:val="Heading 1 Char"/>
    <w:basedOn w:val="DefaultParagraphFont"/>
    <w:link w:val="Heading1"/>
    <w:uiPriority w:val="9"/>
    <w:rsid w:val="002D72AD"/>
    <w:rPr>
      <w:rFonts w:ascii="Calibri Light" w:eastAsia="Yu Gothic Light" w:hAnsi="Calibri Light" w:cs="Times New Roman"/>
      <w:color w:val="2F5496"/>
      <w:kern w:val="2"/>
      <w:sz w:val="32"/>
      <w:szCs w:val="32"/>
      <w:lang w:val="en-GB"/>
      <w14:ligatures w14:val="standardContextual"/>
    </w:rPr>
  </w:style>
  <w:style w:type="character" w:customStyle="1" w:styleId="Heading2Char">
    <w:name w:val="Heading 2 Char"/>
    <w:basedOn w:val="DefaultParagraphFont"/>
    <w:link w:val="Heading2"/>
    <w:uiPriority w:val="9"/>
    <w:rsid w:val="002D72AD"/>
    <w:rPr>
      <w:rFonts w:ascii="Calibri Light" w:eastAsia="Yu Gothic Light" w:hAnsi="Calibri Light" w:cs="Times New Roman"/>
      <w:color w:val="2F5496"/>
      <w:kern w:val="2"/>
      <w:sz w:val="26"/>
      <w:szCs w:val="26"/>
      <w:lang w:val="en-GB"/>
      <w14:ligatures w14:val="standardContextual"/>
    </w:rPr>
  </w:style>
  <w:style w:type="paragraph" w:customStyle="1" w:styleId="msonormal0">
    <w:name w:val="msonormal"/>
    <w:basedOn w:val="Normal"/>
    <w:uiPriority w:val="99"/>
    <w:semiHidden/>
    <w:rsid w:val="002D72AD"/>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NormalWeb">
    <w:name w:val="Normal (Web)"/>
    <w:basedOn w:val="Normal"/>
    <w:uiPriority w:val="99"/>
    <w:semiHidden/>
    <w:unhideWhenUsed/>
    <w:rsid w:val="002D72AD"/>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TOC1">
    <w:name w:val="toc 1"/>
    <w:basedOn w:val="Normal"/>
    <w:next w:val="Normal"/>
    <w:autoRedefine/>
    <w:uiPriority w:val="39"/>
    <w:unhideWhenUsed/>
    <w:rsid w:val="002D72AD"/>
    <w:pPr>
      <w:spacing w:after="100" w:line="256" w:lineRule="auto"/>
    </w:pPr>
    <w:rPr>
      <w:rFonts w:ascii="Calibri" w:eastAsia="Calibri" w:hAnsi="Calibri" w:cs="Arial"/>
      <w:kern w:val="2"/>
      <w14:ligatures w14:val="standardContextual"/>
    </w:rPr>
  </w:style>
  <w:style w:type="table" w:styleId="TableGrid">
    <w:name w:val="Table Grid"/>
    <w:basedOn w:val="TableNormal"/>
    <w:uiPriority w:val="39"/>
    <w:rsid w:val="002D72AD"/>
    <w:pPr>
      <w:spacing w:after="0" w:line="240" w:lineRule="auto"/>
    </w:pPr>
    <w:rPr>
      <w:rFonts w:ascii="Calibri" w:eastAsia="Calibri" w:hAnsi="Calibri" w:cs="Arial"/>
      <w:kern w:val="2"/>
      <w:lang w:val="en-GB"/>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1">
    <w:name w:val="Heading 1 Char1"/>
    <w:basedOn w:val="DefaultParagraphFont"/>
    <w:uiPriority w:val="9"/>
    <w:rsid w:val="002D72AD"/>
    <w:rPr>
      <w:rFonts w:asciiTheme="majorHAnsi" w:eastAsiaTheme="majorEastAsia" w:hAnsiTheme="majorHAnsi" w:cstheme="majorBidi"/>
      <w:color w:val="2F5496" w:themeColor="accent1" w:themeShade="BF"/>
      <w:sz w:val="32"/>
      <w:szCs w:val="32"/>
      <w:lang w:val="en-GB"/>
    </w:rPr>
  </w:style>
  <w:style w:type="character" w:customStyle="1" w:styleId="Heading2Char1">
    <w:name w:val="Heading 2 Char1"/>
    <w:basedOn w:val="DefaultParagraphFont"/>
    <w:uiPriority w:val="9"/>
    <w:semiHidden/>
    <w:rsid w:val="002D72AD"/>
    <w:rPr>
      <w:rFonts w:asciiTheme="majorHAnsi" w:eastAsiaTheme="majorEastAsia" w:hAnsiTheme="majorHAnsi" w:cstheme="majorBidi"/>
      <w:color w:val="2F5496" w:themeColor="accent1" w:themeShade="BF"/>
      <w:sz w:val="26"/>
      <w:szCs w:val="26"/>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164024">
      <w:bodyDiv w:val="1"/>
      <w:marLeft w:val="0"/>
      <w:marRight w:val="0"/>
      <w:marTop w:val="0"/>
      <w:marBottom w:val="0"/>
      <w:divBdr>
        <w:top w:val="none" w:sz="0" w:space="0" w:color="auto"/>
        <w:left w:val="none" w:sz="0" w:space="0" w:color="auto"/>
        <w:bottom w:val="none" w:sz="0" w:space="0" w:color="auto"/>
        <w:right w:val="none" w:sz="0" w:space="0" w:color="auto"/>
      </w:divBdr>
    </w:div>
    <w:div w:id="89859176">
      <w:bodyDiv w:val="1"/>
      <w:marLeft w:val="0"/>
      <w:marRight w:val="0"/>
      <w:marTop w:val="0"/>
      <w:marBottom w:val="0"/>
      <w:divBdr>
        <w:top w:val="none" w:sz="0" w:space="0" w:color="auto"/>
        <w:left w:val="none" w:sz="0" w:space="0" w:color="auto"/>
        <w:bottom w:val="none" w:sz="0" w:space="0" w:color="auto"/>
        <w:right w:val="none" w:sz="0" w:space="0" w:color="auto"/>
      </w:divBdr>
    </w:div>
    <w:div w:id="102573277">
      <w:bodyDiv w:val="1"/>
      <w:marLeft w:val="0"/>
      <w:marRight w:val="0"/>
      <w:marTop w:val="0"/>
      <w:marBottom w:val="0"/>
      <w:divBdr>
        <w:top w:val="none" w:sz="0" w:space="0" w:color="auto"/>
        <w:left w:val="none" w:sz="0" w:space="0" w:color="auto"/>
        <w:bottom w:val="none" w:sz="0" w:space="0" w:color="auto"/>
        <w:right w:val="none" w:sz="0" w:space="0" w:color="auto"/>
      </w:divBdr>
    </w:div>
    <w:div w:id="112525925">
      <w:bodyDiv w:val="1"/>
      <w:marLeft w:val="0"/>
      <w:marRight w:val="0"/>
      <w:marTop w:val="0"/>
      <w:marBottom w:val="0"/>
      <w:divBdr>
        <w:top w:val="none" w:sz="0" w:space="0" w:color="auto"/>
        <w:left w:val="none" w:sz="0" w:space="0" w:color="auto"/>
        <w:bottom w:val="none" w:sz="0" w:space="0" w:color="auto"/>
        <w:right w:val="none" w:sz="0" w:space="0" w:color="auto"/>
      </w:divBdr>
    </w:div>
    <w:div w:id="415980441">
      <w:bodyDiv w:val="1"/>
      <w:marLeft w:val="0"/>
      <w:marRight w:val="0"/>
      <w:marTop w:val="0"/>
      <w:marBottom w:val="0"/>
      <w:divBdr>
        <w:top w:val="none" w:sz="0" w:space="0" w:color="auto"/>
        <w:left w:val="none" w:sz="0" w:space="0" w:color="auto"/>
        <w:bottom w:val="none" w:sz="0" w:space="0" w:color="auto"/>
        <w:right w:val="none" w:sz="0" w:space="0" w:color="auto"/>
      </w:divBdr>
    </w:div>
    <w:div w:id="438453090">
      <w:bodyDiv w:val="1"/>
      <w:marLeft w:val="0"/>
      <w:marRight w:val="0"/>
      <w:marTop w:val="0"/>
      <w:marBottom w:val="0"/>
      <w:divBdr>
        <w:top w:val="none" w:sz="0" w:space="0" w:color="auto"/>
        <w:left w:val="none" w:sz="0" w:space="0" w:color="auto"/>
        <w:bottom w:val="none" w:sz="0" w:space="0" w:color="auto"/>
        <w:right w:val="none" w:sz="0" w:space="0" w:color="auto"/>
      </w:divBdr>
    </w:div>
    <w:div w:id="718016665">
      <w:bodyDiv w:val="1"/>
      <w:marLeft w:val="0"/>
      <w:marRight w:val="0"/>
      <w:marTop w:val="0"/>
      <w:marBottom w:val="0"/>
      <w:divBdr>
        <w:top w:val="none" w:sz="0" w:space="0" w:color="auto"/>
        <w:left w:val="none" w:sz="0" w:space="0" w:color="auto"/>
        <w:bottom w:val="none" w:sz="0" w:space="0" w:color="auto"/>
        <w:right w:val="none" w:sz="0" w:space="0" w:color="auto"/>
      </w:divBdr>
    </w:div>
    <w:div w:id="772362452">
      <w:bodyDiv w:val="1"/>
      <w:marLeft w:val="0"/>
      <w:marRight w:val="0"/>
      <w:marTop w:val="0"/>
      <w:marBottom w:val="0"/>
      <w:divBdr>
        <w:top w:val="none" w:sz="0" w:space="0" w:color="auto"/>
        <w:left w:val="none" w:sz="0" w:space="0" w:color="auto"/>
        <w:bottom w:val="none" w:sz="0" w:space="0" w:color="auto"/>
        <w:right w:val="none" w:sz="0" w:space="0" w:color="auto"/>
      </w:divBdr>
    </w:div>
    <w:div w:id="777989973">
      <w:bodyDiv w:val="1"/>
      <w:marLeft w:val="0"/>
      <w:marRight w:val="0"/>
      <w:marTop w:val="0"/>
      <w:marBottom w:val="0"/>
      <w:divBdr>
        <w:top w:val="none" w:sz="0" w:space="0" w:color="auto"/>
        <w:left w:val="none" w:sz="0" w:space="0" w:color="auto"/>
        <w:bottom w:val="none" w:sz="0" w:space="0" w:color="auto"/>
        <w:right w:val="none" w:sz="0" w:space="0" w:color="auto"/>
      </w:divBdr>
    </w:div>
    <w:div w:id="811559894">
      <w:bodyDiv w:val="1"/>
      <w:marLeft w:val="0"/>
      <w:marRight w:val="0"/>
      <w:marTop w:val="0"/>
      <w:marBottom w:val="0"/>
      <w:divBdr>
        <w:top w:val="none" w:sz="0" w:space="0" w:color="auto"/>
        <w:left w:val="none" w:sz="0" w:space="0" w:color="auto"/>
        <w:bottom w:val="none" w:sz="0" w:space="0" w:color="auto"/>
        <w:right w:val="none" w:sz="0" w:space="0" w:color="auto"/>
      </w:divBdr>
    </w:div>
    <w:div w:id="829178652">
      <w:bodyDiv w:val="1"/>
      <w:marLeft w:val="0"/>
      <w:marRight w:val="0"/>
      <w:marTop w:val="0"/>
      <w:marBottom w:val="0"/>
      <w:divBdr>
        <w:top w:val="none" w:sz="0" w:space="0" w:color="auto"/>
        <w:left w:val="none" w:sz="0" w:space="0" w:color="auto"/>
        <w:bottom w:val="none" w:sz="0" w:space="0" w:color="auto"/>
        <w:right w:val="none" w:sz="0" w:space="0" w:color="auto"/>
      </w:divBdr>
    </w:div>
    <w:div w:id="1001201195">
      <w:bodyDiv w:val="1"/>
      <w:marLeft w:val="0"/>
      <w:marRight w:val="0"/>
      <w:marTop w:val="0"/>
      <w:marBottom w:val="0"/>
      <w:divBdr>
        <w:top w:val="none" w:sz="0" w:space="0" w:color="auto"/>
        <w:left w:val="none" w:sz="0" w:space="0" w:color="auto"/>
        <w:bottom w:val="none" w:sz="0" w:space="0" w:color="auto"/>
        <w:right w:val="none" w:sz="0" w:space="0" w:color="auto"/>
      </w:divBdr>
    </w:div>
    <w:div w:id="1039890436">
      <w:bodyDiv w:val="1"/>
      <w:marLeft w:val="0"/>
      <w:marRight w:val="0"/>
      <w:marTop w:val="0"/>
      <w:marBottom w:val="0"/>
      <w:divBdr>
        <w:top w:val="none" w:sz="0" w:space="0" w:color="auto"/>
        <w:left w:val="none" w:sz="0" w:space="0" w:color="auto"/>
        <w:bottom w:val="none" w:sz="0" w:space="0" w:color="auto"/>
        <w:right w:val="none" w:sz="0" w:space="0" w:color="auto"/>
      </w:divBdr>
    </w:div>
    <w:div w:id="1303731131">
      <w:bodyDiv w:val="1"/>
      <w:marLeft w:val="0"/>
      <w:marRight w:val="0"/>
      <w:marTop w:val="0"/>
      <w:marBottom w:val="0"/>
      <w:divBdr>
        <w:top w:val="none" w:sz="0" w:space="0" w:color="auto"/>
        <w:left w:val="none" w:sz="0" w:space="0" w:color="auto"/>
        <w:bottom w:val="none" w:sz="0" w:space="0" w:color="auto"/>
        <w:right w:val="none" w:sz="0" w:space="0" w:color="auto"/>
      </w:divBdr>
    </w:div>
    <w:div w:id="1398866749">
      <w:bodyDiv w:val="1"/>
      <w:marLeft w:val="0"/>
      <w:marRight w:val="0"/>
      <w:marTop w:val="0"/>
      <w:marBottom w:val="0"/>
      <w:divBdr>
        <w:top w:val="none" w:sz="0" w:space="0" w:color="auto"/>
        <w:left w:val="none" w:sz="0" w:space="0" w:color="auto"/>
        <w:bottom w:val="none" w:sz="0" w:space="0" w:color="auto"/>
        <w:right w:val="none" w:sz="0" w:space="0" w:color="auto"/>
      </w:divBdr>
    </w:div>
    <w:div w:id="1577933443">
      <w:bodyDiv w:val="1"/>
      <w:marLeft w:val="0"/>
      <w:marRight w:val="0"/>
      <w:marTop w:val="0"/>
      <w:marBottom w:val="0"/>
      <w:divBdr>
        <w:top w:val="none" w:sz="0" w:space="0" w:color="auto"/>
        <w:left w:val="none" w:sz="0" w:space="0" w:color="auto"/>
        <w:bottom w:val="none" w:sz="0" w:space="0" w:color="auto"/>
        <w:right w:val="none" w:sz="0" w:space="0" w:color="auto"/>
      </w:divBdr>
    </w:div>
    <w:div w:id="1727020830">
      <w:bodyDiv w:val="1"/>
      <w:marLeft w:val="0"/>
      <w:marRight w:val="0"/>
      <w:marTop w:val="0"/>
      <w:marBottom w:val="0"/>
      <w:divBdr>
        <w:top w:val="none" w:sz="0" w:space="0" w:color="auto"/>
        <w:left w:val="none" w:sz="0" w:space="0" w:color="auto"/>
        <w:bottom w:val="none" w:sz="0" w:space="0" w:color="auto"/>
        <w:right w:val="none" w:sz="0" w:space="0" w:color="auto"/>
      </w:divBdr>
      <w:divsChild>
        <w:div w:id="22429331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73/pnas.2216891120" TargetMode="External"/><Relationship Id="rId21" Type="http://schemas.openxmlformats.org/officeDocument/2006/relationships/header" Target="header4.xml"/><Relationship Id="rId42" Type="http://schemas.openxmlformats.org/officeDocument/2006/relationships/hyperlink" Target="https://www.cms.int/raptors/sites/default/files/document/MOS3_DOC.%2012.3_Annex%201_Conservation%20Status%20Assessment%20Report_EN.pdf" TargetMode="External"/><Relationship Id="rId63" Type="http://schemas.openxmlformats.org/officeDocument/2006/relationships/image" Target="media/image18.jpeg"/><Relationship Id="rId84" Type="http://schemas.openxmlformats.org/officeDocument/2006/relationships/hyperlink" Target="https://www.nature.com/articles/s41467-025-59271-7" TargetMode="External"/><Relationship Id="rId138" Type="http://schemas.openxmlformats.org/officeDocument/2006/relationships/hyperlink" Target="https://doi.org/10.69556/GWO-2025-eng" TargetMode="External"/><Relationship Id="rId107" Type="http://schemas.openxmlformats.org/officeDocument/2006/relationships/hyperlink" Target="https://doi.org/10.5281/zenodo.11124590" TargetMode="External"/><Relationship Id="rId11" Type="http://schemas.openxmlformats.org/officeDocument/2006/relationships/image" Target="media/image1.wmf"/><Relationship Id="rId32" Type="http://schemas.openxmlformats.org/officeDocument/2006/relationships/image" Target="media/image10.png"/><Relationship Id="rId53" Type="http://schemas.openxmlformats.org/officeDocument/2006/relationships/hyperlink" Target="https://www.cms.int/en/publication/state-worlds-migratory-species-report" TargetMode="External"/><Relationship Id="rId74" Type="http://schemas.openxmlformats.org/officeDocument/2006/relationships/hyperlink" Target="https://geobon.org/" TargetMode="External"/><Relationship Id="rId128" Type="http://schemas.openxmlformats.org/officeDocument/2006/relationships/hyperlink" Target="https://www.marinemammalhabitat.org/download/handbook-on-the-use-of-selection-criteria-for-the-identification-of-important-marine-mammal-areas-immas/" TargetMode="External"/><Relationship Id="rId149" Type="http://schemas.openxmlformats.org/officeDocument/2006/relationships/hyperlink" Target="https://doi.org/10.1038/s41467-025-59271-7" TargetMode="External"/><Relationship Id="rId5" Type="http://schemas.openxmlformats.org/officeDocument/2006/relationships/numbering" Target="numbering.xml"/><Relationship Id="rId95" Type="http://schemas.openxmlformats.org/officeDocument/2006/relationships/hyperlink" Target="https://doi.org/10.25923/qn4a-td90" TargetMode="External"/><Relationship Id="rId22" Type="http://schemas.openxmlformats.org/officeDocument/2006/relationships/image" Target="media/image8.jpeg"/><Relationship Id="rId27" Type="http://schemas.openxmlformats.org/officeDocument/2006/relationships/hyperlink" Target="https://www.cms.int/publication/state-worlds-migratory-species-report" TargetMode="External"/><Relationship Id="rId43" Type="http://schemas.openxmlformats.org/officeDocument/2006/relationships/hyperlink" Target="https://www.nature.com/articles/s41559-023-02236-0" TargetMode="External"/><Relationship Id="rId48" Type="http://schemas.openxmlformats.org/officeDocument/2006/relationships/hyperlink" Target="https://stock.adobe.com/uk/images/the-steppe-eagle-aquila-nipalensis-at-bikaner-rajasthan-india/898194898?prev_url=detail" TargetMode="External"/><Relationship Id="rId64" Type="http://schemas.openxmlformats.org/officeDocument/2006/relationships/hyperlink" Target="https://stock.adobe.com/uk/images/green-sea-turtle/536146467" TargetMode="External"/><Relationship Id="rId69" Type="http://schemas.openxmlformats.org/officeDocument/2006/relationships/hyperlink" Target="https://www.iucn-mtsg.org/imtas" TargetMode="External"/><Relationship Id="rId113" Type="http://schemas.openxmlformats.org/officeDocument/2006/relationships/hyperlink" Target="https://doi.org/10.1073/pnas.1912776117" TargetMode="External"/><Relationship Id="rId118" Type="http://schemas.openxmlformats.org/officeDocument/2006/relationships/hyperlink" Target="https://doi.org/10.1126/sciadv.abb6026" TargetMode="External"/><Relationship Id="rId134" Type="http://schemas.openxmlformats.org/officeDocument/2006/relationships/hyperlink" Target="https://doi.org/10.1111/cobi.14345" TargetMode="External"/><Relationship Id="rId139" Type="http://schemas.openxmlformats.org/officeDocument/2006/relationships/hyperlink" Target="https://doi.org/10.1126/science.adl0239" TargetMode="External"/><Relationship Id="rId80" Type="http://schemas.openxmlformats.org/officeDocument/2006/relationships/hyperlink" Target="https://megamove.org/" TargetMode="External"/><Relationship Id="rId85" Type="http://schemas.openxmlformats.org/officeDocument/2006/relationships/image" Target="media/image24.png"/><Relationship Id="rId150" Type="http://schemas.openxmlformats.org/officeDocument/2006/relationships/hyperlink" Target="https://doi.org/10.1111/geb.70004" TargetMode="External"/><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image" Target="media/image11.jpeg"/><Relationship Id="rId38" Type="http://schemas.openxmlformats.org/officeDocument/2006/relationships/hyperlink" Target="https://www.flickr.com/photos/nationalzoo/26341273851/in/album-72157666993317991" TargetMode="External"/><Relationship Id="rId59" Type="http://schemas.openxmlformats.org/officeDocument/2006/relationships/hyperlink" Target="https://stock.adobe.com/uk/images/swimming-angelshark-over-sand-in-blue-ocean-in-canary-island/220283534?prev_url=detail" TargetMode="External"/><Relationship Id="rId103" Type="http://schemas.openxmlformats.org/officeDocument/2006/relationships/hyperlink" Target="https://doi.org/10.1111/ibi.13368" TargetMode="External"/><Relationship Id="rId108" Type="http://schemas.openxmlformats.org/officeDocument/2006/relationships/hyperlink" Target="https://doi.org/10.1038/ncomms14895" TargetMode="External"/><Relationship Id="rId124" Type="http://schemas.openxmlformats.org/officeDocument/2006/relationships/hyperlink" Target="https://doi.org/10.3354/esr01237" TargetMode="External"/><Relationship Id="rId129" Type="http://schemas.openxmlformats.org/officeDocument/2006/relationships/hyperlink" Target="https://www.iucn-mtsg.org/s/IMTA-Guidelines-10.pdf" TargetMode="External"/><Relationship Id="rId54" Type="http://schemas.openxmlformats.org/officeDocument/2006/relationships/hyperlink" Target="https://files.worldwildlife.org/wwfcmsprod/files/Publication/file/6f6b5o5dn1_LPI_migratory_freshwater_fishes_2024_Technical_report.pdf" TargetMode="External"/><Relationship Id="rId70" Type="http://schemas.openxmlformats.org/officeDocument/2006/relationships/image" Target="media/image19.png"/><Relationship Id="rId75" Type="http://schemas.openxmlformats.org/officeDocument/2006/relationships/image" Target="media/image20.png"/><Relationship Id="rId91" Type="http://schemas.openxmlformats.org/officeDocument/2006/relationships/hyperlink" Target="https://doi.org/10.1038/s44358-024-00008-7" TargetMode="External"/><Relationship Id="rId96" Type="http://schemas.openxmlformats.org/officeDocument/2006/relationships/hyperlink" Target="https://www.deerspecialistgroup.org/article/1060/" TargetMode="External"/><Relationship Id="rId140" Type="http://schemas.openxmlformats.org/officeDocument/2006/relationships/hyperlink" Target="https://doi.org/1126/science.adp1950" TargetMode="External"/><Relationship Id="rId145" Type="http://schemas.openxmlformats.org/officeDocument/2006/relationships/hyperlink" Target="https://doi.org/10.1016/j.scitotenv.2024.172776"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png"/><Relationship Id="rId28" Type="http://schemas.openxmlformats.org/officeDocument/2006/relationships/hyperlink" Target="https://www.cms.int/en/publication/state-worlds-migratory-species-report" TargetMode="External"/><Relationship Id="rId49" Type="http://schemas.openxmlformats.org/officeDocument/2006/relationships/hyperlink" Target="https://onlinelibrary.wiley.com/doi/10.1111/ibi.13368" TargetMode="External"/><Relationship Id="rId114" Type="http://schemas.openxmlformats.org/officeDocument/2006/relationships/hyperlink" Target="https://doi.org/10.1111/csp2.1285" TargetMode="External"/><Relationship Id="rId119" Type="http://schemas.openxmlformats.org/officeDocument/2006/relationships/hyperlink" Target="https://doi.org/10.1017/S0030605323001692" TargetMode="External"/><Relationship Id="rId44" Type="http://schemas.openxmlformats.org/officeDocument/2006/relationships/hyperlink" Target="https://www.cms.int/manage/raptors/sites/default/files/document/MTIR%20Report_Final_16.01.2024.pdf" TargetMode="External"/><Relationship Id="rId60" Type="http://schemas.openxmlformats.org/officeDocument/2006/relationships/hyperlink" Target="https://www.int-res.com/articles/esr2025/56/n056p247.pdf" TargetMode="External"/><Relationship Id="rId65" Type="http://schemas.openxmlformats.org/officeDocument/2006/relationships/hyperlink" Target="https://www.cms.int/en/publication/state-worlds-migratory-species-report" TargetMode="External"/><Relationship Id="rId81" Type="http://schemas.openxmlformats.org/officeDocument/2006/relationships/hyperlink" Target="https://www.cms.int/en/gium/migration-atlas" TargetMode="External"/><Relationship Id="rId86" Type="http://schemas.openxmlformats.org/officeDocument/2006/relationships/hyperlink" Target="https://www.seabirdtracking.org/special/marine-flyways/" TargetMode="External"/><Relationship Id="rId130" Type="http://schemas.openxmlformats.org/officeDocument/2006/relationships/hyperlink" Target="https://sharkrayareas.org/e-atlas/" TargetMode="External"/><Relationship Id="rId135" Type="http://schemas.openxmlformats.org/officeDocument/2006/relationships/hyperlink" Target="https://doi.org/10.1111/cobi.14002" TargetMode="External"/><Relationship Id="rId151" Type="http://schemas.openxmlformats.org/officeDocument/2006/relationships/header" Target="header6.xml"/><Relationship Id="rId13" Type="http://schemas.openxmlformats.org/officeDocument/2006/relationships/header" Target="header2.xml"/><Relationship Id="rId18" Type="http://schemas.openxmlformats.org/officeDocument/2006/relationships/image" Target="media/image5.jpeg"/><Relationship Id="rId39" Type="http://schemas.openxmlformats.org/officeDocument/2006/relationships/hyperlink" Target="https://creativecommons.org/licenses/by-nc-nd/2.0/deed.en" TargetMode="External"/><Relationship Id="rId109" Type="http://schemas.openxmlformats.org/officeDocument/2006/relationships/hyperlink" Target="https://iucn.org/sites/default/files/2023-04/iucn-ys-situation-analysis-2023-final_0.pdf" TargetMode="External"/><Relationship Id="rId34" Type="http://schemas.openxmlformats.org/officeDocument/2006/relationships/hyperlink" Target="https://stock.adobe.com/uk/images/great-bustard-display-in-grassland/536283277?prev_url=detail" TargetMode="External"/><Relationship Id="rId50" Type="http://schemas.openxmlformats.org/officeDocument/2006/relationships/hyperlink" Target="https://academic.oup.com/condor/article/125/2/duad003/7031074" TargetMode="External"/><Relationship Id="rId55" Type="http://schemas.openxmlformats.org/officeDocument/2006/relationships/hyperlink" Target="https://www.cms.int/en/publication/state-worlds-migratory-species-report" TargetMode="External"/><Relationship Id="rId76" Type="http://schemas.openxmlformats.org/officeDocument/2006/relationships/image" Target="media/image21.jpeg"/><Relationship Id="rId97" Type="http://schemas.openxmlformats.org/officeDocument/2006/relationships/hyperlink" Target="https://www.cms.int/raptors/sites/default/files/document/MOS3_DOC.%2012.3_Annex%201_Conservation%20Status%20Assessment%20Report_EN.pdf" TargetMode="External"/><Relationship Id="rId104" Type="http://schemas.openxmlformats.org/officeDocument/2006/relationships/hyperlink" Target="https://doi.org/10.1093/ornithapp/duad003" TargetMode="External"/><Relationship Id="rId120" Type="http://schemas.openxmlformats.org/officeDocument/2006/relationships/hyperlink" Target="https://doi.org/10.1111/gcb.17373" TargetMode="External"/><Relationship Id="rId125" Type="http://schemas.openxmlformats.org/officeDocument/2006/relationships/hyperlink" Target="https://doi.org/10.1016/j.oneear.2023.12.007" TargetMode="External"/><Relationship Id="rId141" Type="http://schemas.openxmlformats.org/officeDocument/2006/relationships/hyperlink" Target="https://doi.org/10.1126/science.adl0239" TargetMode="External"/><Relationship Id="rId146" Type="http://schemas.openxmlformats.org/officeDocument/2006/relationships/hyperlink" Target="https://doi.org/10.1126/sciadv.abd7225" TargetMode="External"/><Relationship Id="rId7" Type="http://schemas.openxmlformats.org/officeDocument/2006/relationships/settings" Target="settings.xml"/><Relationship Id="rId71" Type="http://schemas.openxmlformats.org/officeDocument/2006/relationships/hyperlink" Target="https://www.marinemammalhabitat.org/immas/immas-searchable-database/" TargetMode="External"/><Relationship Id="rId92" Type="http://schemas.openxmlformats.org/officeDocument/2006/relationships/hyperlink" Target="https://doi.org/10.1111/cobi.70052" TargetMode="External"/><Relationship Id="rId2" Type="http://schemas.openxmlformats.org/officeDocument/2006/relationships/customXml" Target="../customXml/item2.xml"/><Relationship Id="rId29" Type="http://schemas.openxmlformats.org/officeDocument/2006/relationships/hyperlink" Target="https://www.cms.int/sites/default/files/document/cms_cop14_res.14.4_state-of-the-worlds-migratory-species-report_e_0.pdf" TargetMode="External"/><Relationship Id="rId24" Type="http://schemas.openxmlformats.org/officeDocument/2006/relationships/footer" Target="footer4.xml"/><Relationship Id="rId40" Type="http://schemas.openxmlformats.org/officeDocument/2006/relationships/image" Target="media/image14.jpeg"/><Relationship Id="rId45" Type="http://schemas.openxmlformats.org/officeDocument/2006/relationships/hyperlink" Target="https://www.sciencedirect.com/science/article/pii/S0006320724000867" TargetMode="External"/><Relationship Id="rId66" Type="http://schemas.openxmlformats.org/officeDocument/2006/relationships/hyperlink" Target="https://www.cms.int/sites/default/files/document/cms_cop14_res.14.1_samarkand-spms-2024-2032_e.pdf" TargetMode="External"/><Relationship Id="rId87" Type="http://schemas.openxmlformats.org/officeDocument/2006/relationships/hyperlink" Target="https://www.seabirdtracking.org/special/marine-flyways/" TargetMode="External"/><Relationship Id="rId110" Type="http://schemas.openxmlformats.org/officeDocument/2006/relationships/hyperlink" Target="https://doi.org/10.1016/j.biocon.2020.108582" TargetMode="External"/><Relationship Id="rId115" Type="http://schemas.openxmlformats.org/officeDocument/2006/relationships/hyperlink" Target="https://iucn.org/resources/publication/global-status-sharks-rays-and-chimaeras" TargetMode="External"/><Relationship Id="rId131" Type="http://schemas.openxmlformats.org/officeDocument/2006/relationships/hyperlink" Target="https://doi.org/10.1017/S0030605324001790" TargetMode="External"/><Relationship Id="rId136" Type="http://schemas.openxmlformats.org/officeDocument/2006/relationships/hyperlink" Target="https://doi.org/10.1016/j.biocon.2023.110224" TargetMode="External"/><Relationship Id="rId61" Type="http://schemas.openxmlformats.org/officeDocument/2006/relationships/hyperlink" Target="https://www.seaturtlestatus.org/cpp-dashboard" TargetMode="External"/><Relationship Id="rId82" Type="http://schemas.openxmlformats.org/officeDocument/2006/relationships/hyperlink" Target="https://jellyfish-app-li2vd.ondigitalocean.app/data/factSheets/WhiteEaredKob_BadingiloBomaGambella_SSD-ETH.pdf" TargetMode="External"/><Relationship Id="rId152" Type="http://schemas.openxmlformats.org/officeDocument/2006/relationships/header" Target="header7.xml"/><Relationship Id="rId19" Type="http://schemas.openxmlformats.org/officeDocument/2006/relationships/image" Target="media/image6.png"/><Relationship Id="rId14" Type="http://schemas.openxmlformats.org/officeDocument/2006/relationships/footer" Target="footer1.xml"/><Relationship Id="rId30" Type="http://schemas.openxmlformats.org/officeDocument/2006/relationships/hyperlink" Target="https://www.cms.int/sites/default/files/publication/State%20of%20the%20Worlds%20Migratory%20Species%20report_E.pdf" TargetMode="External"/><Relationship Id="rId35" Type="http://schemas.openxmlformats.org/officeDocument/2006/relationships/image" Target="media/image12.jpeg"/><Relationship Id="rId56" Type="http://schemas.openxmlformats.org/officeDocument/2006/relationships/hyperlink" Target="https://iucn.org/resources/publication/global-status-sharks-rays-and-chimaeras" TargetMode="External"/><Relationship Id="rId77" Type="http://schemas.openxmlformats.org/officeDocument/2006/relationships/hyperlink" Target="https://www.global-wetland-outlook.ramsar.org/outlook" TargetMode="External"/><Relationship Id="rId100" Type="http://schemas.openxmlformats.org/officeDocument/2006/relationships/hyperlink" Target="https://doi.org/10.1111/ddi.13935" TargetMode="External"/><Relationship Id="rId105" Type="http://schemas.openxmlformats.org/officeDocument/2006/relationships/hyperlink" Target="https://www.nespmarinecoastal.edu.au/wp-content/uploads/2023/10/Project-1.21_Final-report.pdf" TargetMode="External"/><Relationship Id="rId126" Type="http://schemas.openxmlformats.org/officeDocument/2006/relationships/hyperlink" Target="https://doi.org/10.1111/conl.13117" TargetMode="External"/><Relationship Id="rId147" Type="http://schemas.openxmlformats.org/officeDocument/2006/relationships/hyperlink" Target="https://doi.org/10.1111/cobi.14002" TargetMode="External"/><Relationship Id="rId8" Type="http://schemas.openxmlformats.org/officeDocument/2006/relationships/webSettings" Target="webSettings.xml"/><Relationship Id="rId51" Type="http://schemas.openxmlformats.org/officeDocument/2006/relationships/image" Target="media/image16.jpeg"/><Relationship Id="rId72" Type="http://schemas.openxmlformats.org/officeDocument/2006/relationships/hyperlink" Target="https://www.marinemammalhabitat.org/imma-eatlas/" TargetMode="External"/><Relationship Id="rId93" Type="http://schemas.openxmlformats.org/officeDocument/2006/relationships/hyperlink" Target="https://www.eaaflyway.net/updates-hpai-eaaf/" TargetMode="External"/><Relationship Id="rId98" Type="http://schemas.openxmlformats.org/officeDocument/2006/relationships/hyperlink" Target="https://doi.org/10.1038/s41559-023-02236-0" TargetMode="External"/><Relationship Id="rId121" Type="http://schemas.openxmlformats.org/officeDocument/2006/relationships/hyperlink" Target="https://doi.org/10.3354/esr01385" TargetMode="External"/><Relationship Id="rId142" Type="http://schemas.openxmlformats.org/officeDocument/2006/relationships/hyperlink" Target="https://doi.org/10.1111/1365-2664.13380" TargetMode="External"/><Relationship Id="rId3" Type="http://schemas.openxmlformats.org/officeDocument/2006/relationships/customXml" Target="../customXml/item3.xml"/><Relationship Id="rId25" Type="http://schemas.openxmlformats.org/officeDocument/2006/relationships/hyperlink" Target="https://www.cms.int/publication/state-worlds-migratory-species-report" TargetMode="External"/><Relationship Id="rId46" Type="http://schemas.openxmlformats.org/officeDocument/2006/relationships/hyperlink" Target="https://onlinelibrary.wiley.com/doi/full/10.1111/ddi.13935" TargetMode="External"/><Relationship Id="rId67" Type="http://schemas.openxmlformats.org/officeDocument/2006/relationships/hyperlink" Target="https://www.marinemammalhabitat.org/" TargetMode="External"/><Relationship Id="rId116" Type="http://schemas.openxmlformats.org/officeDocument/2006/relationships/hyperlink" Target="https://doi.org/10.1126/science.adn1477" TargetMode="External"/><Relationship Id="rId137" Type="http://schemas.openxmlformats.org/officeDocument/2006/relationships/hyperlink" Target="https://wildlabs.net/article/introducing-move-bon-initiative" TargetMode="External"/><Relationship Id="rId20" Type="http://schemas.openxmlformats.org/officeDocument/2006/relationships/image" Target="media/image7.png"/><Relationship Id="rId41" Type="http://schemas.openxmlformats.org/officeDocument/2006/relationships/hyperlink" Target="https://stock.adobe.com/uk/images/guanaco-in-national-park-torres-del-paine-patagonia-chile/83783149" TargetMode="External"/><Relationship Id="rId62" Type="http://schemas.openxmlformats.org/officeDocument/2006/relationships/hyperlink" Target="https://linkinghub.elsevier.com/retrieve/pii/S2589-0042(24)00292-X" TargetMode="External"/><Relationship Id="rId83" Type="http://schemas.openxmlformats.org/officeDocument/2006/relationships/image" Target="media/image23.jpeg"/><Relationship Id="rId88" Type="http://schemas.openxmlformats.org/officeDocument/2006/relationships/image" Target="media/image25.png"/><Relationship Id="rId111" Type="http://schemas.openxmlformats.org/officeDocument/2006/relationships/hyperlink" Target="https://doi.org/10.1126/science.aat8695" TargetMode="External"/><Relationship Id="rId132" Type="http://schemas.openxmlformats.org/officeDocument/2006/relationships/hyperlink" Target="https://doi.org/10.1111/1365-2664.13380" TargetMode="External"/><Relationship Id="rId153" Type="http://schemas.openxmlformats.org/officeDocument/2006/relationships/fontTable" Target="fontTable.xml"/><Relationship Id="rId15" Type="http://schemas.openxmlformats.org/officeDocument/2006/relationships/footer" Target="footer2.xml"/><Relationship Id="rId36" Type="http://schemas.openxmlformats.org/officeDocument/2006/relationships/hyperlink" Target="https://stock.adobe.com/uk/images/buff-breasted-sandpiper-calidris-subruficollis/402858055?prev_url=detail" TargetMode="External"/><Relationship Id="rId57" Type="http://schemas.openxmlformats.org/officeDocument/2006/relationships/hyperlink" Target="https://www.science.org/doi/10.1126/science.adn1477" TargetMode="External"/><Relationship Id="rId106" Type="http://schemas.openxmlformats.org/officeDocument/2006/relationships/hyperlink" Target="https://zenodo.org/records/15423626" TargetMode="External"/><Relationship Id="rId127" Type="http://schemas.openxmlformats.org/officeDocument/2006/relationships/hyperlink" Target="https://doi.org/10.3389/fmars.2022.968853" TargetMode="External"/><Relationship Id="rId10" Type="http://schemas.openxmlformats.org/officeDocument/2006/relationships/endnotes" Target="endnotes.xml"/><Relationship Id="rId31" Type="http://schemas.openxmlformats.org/officeDocument/2006/relationships/hyperlink" Target="https://portals.iucn.org/library/sites/library/files/documents/RL-2001-001-2nd.pdf" TargetMode="External"/><Relationship Id="rId52" Type="http://schemas.openxmlformats.org/officeDocument/2006/relationships/hyperlink" Target="https://stock.adobe.com/uk/images/spoon-billed-sandpiper-calidris-pygmaea-who-critically-endangered-status-in-red-list-of-iucn-walking-in-nature-in-thailand/98383832?prev_url=detail" TargetMode="External"/><Relationship Id="rId73" Type="http://schemas.openxmlformats.org/officeDocument/2006/relationships/hyperlink" Target="https://wwfafrica.awsassets.panda.org/downloads/blue-corridors-for-turtles_report.pdf?54023/Blue-Corridors-for-Turtles-report" TargetMode="External"/><Relationship Id="rId78" Type="http://schemas.openxmlformats.org/officeDocument/2006/relationships/hyperlink" Target="https://stock.adobe.com/uk/images/panoramic-aerial-view-at-sunset-of-typical-pantanal-wetlands-landscape-with-lagoons-forests-meadows-river-fields-mato-grosso-brazil/301916260?prev_url=detail" TargetMode="External"/><Relationship Id="rId94" Type="http://schemas.openxmlformats.org/officeDocument/2006/relationships/hyperlink" Target="https://doi.org/10.1016/j.biocon.2023.110271" TargetMode="External"/><Relationship Id="rId99" Type="http://schemas.openxmlformats.org/officeDocument/2006/relationships/hyperlink" Target="https://doi.org/10.1016/j.biocon.2024.110525" TargetMode="External"/><Relationship Id="rId101" Type="http://schemas.openxmlformats.org/officeDocument/2006/relationships/hyperlink" Target="https://doi.org/10.1111/ibi.13171" TargetMode="External"/><Relationship Id="rId122" Type="http://schemas.openxmlformats.org/officeDocument/2006/relationships/hyperlink" Target="https://doi.org/10.1016/j.isci.2024.109071" TargetMode="External"/><Relationship Id="rId143" Type="http://schemas.openxmlformats.org/officeDocument/2006/relationships/hyperlink" Target="https://doi.org/1126/science.adp1950" TargetMode="External"/><Relationship Id="rId148" Type="http://schemas.openxmlformats.org/officeDocument/2006/relationships/hyperlink" Target="https://doi.org/10.1111/1365-2664.14839"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eader" Target="header5.xml"/><Relationship Id="rId47" Type="http://schemas.openxmlformats.org/officeDocument/2006/relationships/image" Target="media/image15.jpeg"/><Relationship Id="rId68" Type="http://schemas.openxmlformats.org/officeDocument/2006/relationships/hyperlink" Target="https://sharkrayareas.org/" TargetMode="External"/><Relationship Id="rId89" Type="http://schemas.openxmlformats.org/officeDocument/2006/relationships/hyperlink" Target="https://www.cms.int/en/publication/state-worlds-migratory-species-report" TargetMode="External"/><Relationship Id="rId112" Type="http://schemas.openxmlformats.org/officeDocument/2006/relationships/hyperlink" Target="https://worldfishmigrationfoundation.com/wp-content/uploads/2024/05/LPI_migratory-freshwater-fishes-2024_Technical-report.pdf" TargetMode="External"/><Relationship Id="rId133" Type="http://schemas.openxmlformats.org/officeDocument/2006/relationships/hyperlink" Target="https://doi.org/10.1111/ibi.13171" TargetMode="External"/><Relationship Id="rId154" Type="http://schemas.openxmlformats.org/officeDocument/2006/relationships/theme" Target="theme/theme1.xml"/><Relationship Id="rId16" Type="http://schemas.openxmlformats.org/officeDocument/2006/relationships/header" Target="header3.xml"/><Relationship Id="rId37" Type="http://schemas.openxmlformats.org/officeDocument/2006/relationships/image" Target="media/image13.jpeg"/><Relationship Id="rId58" Type="http://schemas.openxmlformats.org/officeDocument/2006/relationships/image" Target="media/image17.jpeg"/><Relationship Id="rId79" Type="http://schemas.openxmlformats.org/officeDocument/2006/relationships/image" Target="media/image22.png"/><Relationship Id="rId102" Type="http://schemas.openxmlformats.org/officeDocument/2006/relationships/hyperlink" Target="https://doi.org/10.1073/pnas.2216573120" TargetMode="External"/><Relationship Id="rId123" Type="http://schemas.openxmlformats.org/officeDocument/2006/relationships/hyperlink" Target="https://doi.org/10.1038/s44358-024-00011-y" TargetMode="External"/><Relationship Id="rId144" Type="http://schemas.openxmlformats.org/officeDocument/2006/relationships/hyperlink" Target="https://doi.org/10.1038/s43247-025-02467-y" TargetMode="External"/><Relationship Id="rId90" Type="http://schemas.openxmlformats.org/officeDocument/2006/relationships/hyperlink" Target="https://doi.org/10.3354/esr01304"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cms.int/sites/default/files/publication/CAMI%20Migration%20Atlas%20Final_OPT.pdf" TargetMode="External"/><Relationship Id="rId2" Type="http://schemas.openxmlformats.org/officeDocument/2006/relationships/hyperlink" Target="https://www.cms.int/sites/default/files/document/cms_cami-tw_doc.3_draft-work-programme_e.pdf" TargetMode="External"/><Relationship Id="rId1" Type="http://schemas.openxmlformats.org/officeDocument/2006/relationships/hyperlink" Target="https://www.cms.int/raptors/en/page/agreement-text" TargetMode="External"/><Relationship Id="rId5" Type="http://schemas.openxmlformats.org/officeDocument/2006/relationships/hyperlink" Target="https://experience.arcgis.com/experience/0eda722f6cfa4ac89606df50d7e40468?org=qgsp" TargetMode="External"/><Relationship Id="rId4" Type="http://schemas.openxmlformats.org/officeDocument/2006/relationships/hyperlink" Target="https://migrationatlas.org/" TargetMode="External"/></Relationships>
</file>

<file path=word/_rels/header3.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_Flow_SignoffStatus xmlns="a7b50396-0b06-45c1-b28e-46f86d566a10" xsi:nil="true"/>
    <MariaJoseOrtiz xmlns="a7b50396-0b06-45c1-b28e-46f86d566a10" xsi:nil="true"/>
    <Notes xmlns="a7b50396-0b06-45c1-b28e-46f86d566a10" xsi:nil="true"/>
    <Sent xmlns="a7b50396-0b06-45c1-b28e-46f86d566a10" xsi:nil="true"/>
    <TaxCatchAll xmlns="985ec44e-1bab-4c0b-9df0-6ba128686fc9" xsi:nil="true"/>
    <TaxKeywordTaxHTField xmlns="c15478a5-0be8-4f5d-8383-b307d5ba8bf6">
      <Terms xmlns="http://schemas.microsoft.com/office/infopath/2007/PartnerControls"/>
    </TaxKeywordTaxHTField>
    <lcf76f155ced4ddcb4097134ff3c332f xmlns="a7b50396-0b06-45c1-b28e-46f86d566a10">
      <Terms xmlns="http://schemas.microsoft.com/office/infopath/2007/PartnerControls"/>
    </lcf76f155ced4ddcb4097134ff3c332f>
    <Reviewer xmlns="a7b50396-0b06-45c1-b28e-46f86d566a10" xsi:nil="true"/>
    <Pre_x002d_selection xmlns="a7b50396-0b06-45c1-b28e-46f86d566a10">true</Pre_x002d_selection>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9929416AA0540C42B015682282C961AD" ma:contentTypeVersion="26" ma:contentTypeDescription="Create a new document." ma:contentTypeScope="" ma:versionID="85716d5646e87ca180631963361f54a4">
  <xsd:schema xmlns:xsd="http://www.w3.org/2001/XMLSchema" xmlns:xs="http://www.w3.org/2001/XMLSchema" xmlns:p="http://schemas.microsoft.com/office/2006/metadata/properties" xmlns:ns2="a7b50396-0b06-45c1-b28e-46f86d566a10" xmlns:ns3="985ec44e-1bab-4c0b-9df0-6ba128686fc9" xmlns:ns4="c15478a5-0be8-4f5d-8383-b307d5ba8bf6" targetNamespace="http://schemas.microsoft.com/office/2006/metadata/properties" ma:root="true" ma:fieldsID="fa7e87b642db64b79673ce1bd121f155" ns2:_="" ns3:_="" ns4:_="">
    <xsd:import namespace="a7b50396-0b06-45c1-b28e-46f86d566a10"/>
    <xsd:import namespace="985ec44e-1bab-4c0b-9df0-6ba128686fc9"/>
    <xsd:import namespace="c15478a5-0be8-4f5d-8383-b307d5ba8bf6"/>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element ref="ns4:SharedWithUsers" minOccurs="0"/>
                <xsd:element ref="ns4:SharedWithDetails" minOccurs="0"/>
                <xsd:element ref="ns4:TaxKeywordTaxHTField" minOccurs="0"/>
                <xsd:element ref="ns2:_Flow_SignoffStatus" minOccurs="0"/>
                <xsd:element ref="ns2:Reviewer" minOccurs="0"/>
                <xsd:element ref="ns2:MariaJoseOrtiz" minOccurs="0"/>
                <xsd:element ref="ns2:MediaServiceObjectDetectorVersions" minOccurs="0"/>
                <xsd:element ref="ns2:Notes" minOccurs="0"/>
                <xsd:element ref="ns2:Sent" minOccurs="0"/>
                <xsd:element ref="ns2:MediaServiceSearchProperties" minOccurs="0"/>
                <xsd:element ref="ns2:MediaServiceBillingMetadata" minOccurs="0"/>
                <xsd:element ref="ns2:Pre_x002d_sele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7b50396-0b06-45c1-b28e-46f86d566a1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78175662-8596-484a-92c7-351d01561e22" ma:termSetId="09814cd3-568e-fe90-9814-8d621ff8fb84" ma:anchorId="fba54fb3-c3e1-fe81-a776-ca4b69148c4d" ma:open="true" ma:isKeyword="false">
      <xsd:complexType>
        <xsd:sequence>
          <xsd:element ref="pc:Terms" minOccurs="0" maxOccurs="1"/>
        </xsd:sequence>
      </xsd:complex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dexed="true" ma:internalName="MediaServiceLocatio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_Flow_SignoffStatus" ma:index="23" nillable="true" ma:displayName="Sign-off status" ma:internalName="Sign_x002d_off_x0020_status">
      <xsd:simpleType>
        <xsd:restriction base="dms:Text"/>
      </xsd:simpleType>
    </xsd:element>
    <xsd:element name="Reviewer" ma:index="24" nillable="true" ma:displayName="Reviewer" ma:format="Dropdown" ma:internalName="Reviewer">
      <xsd:simpleType>
        <xsd:restriction base="dms:Text">
          <xsd:maxLength value="255"/>
        </xsd:restriction>
      </xsd:simpleType>
    </xsd:element>
    <xsd:element name="MariaJoseOrtiz" ma:index="25" nillable="true" ma:displayName="Maria Jose Ortiz" ma:description="REVISED BY AF" ma:format="Dropdown" ma:internalName="MariaJoseOrtiz">
      <xsd:simpleType>
        <xsd:restriction base="dms:Text">
          <xsd:maxLength value="255"/>
        </xsd:restriction>
      </xsd:simple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Notes" ma:index="27" nillable="true" ma:displayName="Notes" ma:format="Dropdown" ma:internalName="Notes">
      <xsd:simpleType>
        <xsd:restriction base="dms:Note">
          <xsd:maxLength value="255"/>
        </xsd:restriction>
      </xsd:simpleType>
    </xsd:element>
    <xsd:element name="Sent" ma:index="28" nillable="true" ma:displayName="Sent" ma:format="Dropdown" ma:internalName="Sent">
      <xsd:simpleType>
        <xsd:restriction base="dms:Choice">
          <xsd:enumeration value="Sent"/>
          <xsd:enumeration value="Pending"/>
        </xsd:restriction>
      </xsd:simpleType>
    </xsd:element>
    <xsd:element name="MediaServiceSearchProperties" ma:index="29" nillable="true" ma:displayName="MediaServiceSearchProperties" ma:hidden="true" ma:internalName="MediaServiceSearchProperties" ma:readOnly="true">
      <xsd:simpleType>
        <xsd:restriction base="dms:Note"/>
      </xsd:simpleType>
    </xsd:element>
    <xsd:element name="MediaServiceBillingMetadata" ma:index="30" nillable="true" ma:displayName="MediaServiceBillingMetadata" ma:hidden="true" ma:internalName="MediaServiceBillingMetadata" ma:readOnly="true">
      <xsd:simpleType>
        <xsd:restriction base="dms:Note"/>
      </xsd:simpleType>
    </xsd:element>
    <xsd:element name="Pre_x002d_selection" ma:index="31" nillable="true" ma:displayName="Pre-selection" ma:default="1" ma:format="Dropdown" ma:internalName="Pre_x002d_selection">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985ec44e-1bab-4c0b-9df0-6ba128686fc9"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9db64542-7ae3-4878-aafe-ea4cd8782300}" ma:internalName="TaxCatchAll" ma:showField="CatchAllData" ma:web="c15478a5-0be8-4f5d-8383-b307d5ba8bf6">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15478a5-0be8-4f5d-8383-b307d5ba8bf6"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KeywordTaxHTField" ma:index="22" nillable="true" ma:taxonomy="true" ma:internalName="TaxKeywordTaxHTField" ma:taxonomyFieldName="TaxKeyword" ma:displayName="Enterprise Keywords" ma:fieldId="{23f27201-bee3-471e-b2e7-b64fd8b7ca38}" ma:taxonomyMulti="true" ma:sspId="78175662-8596-484a-92c7-351d01561e22"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BE93A2D-BE7F-48B2-9187-742B5C6A6A91}">
  <ds:schemaRefs>
    <ds:schemaRef ds:uri="http://schemas.microsoft.com/sharepoint/v3/contenttype/forms"/>
  </ds:schemaRefs>
</ds:datastoreItem>
</file>

<file path=customXml/itemProps2.xml><?xml version="1.0" encoding="utf-8"?>
<ds:datastoreItem xmlns:ds="http://schemas.openxmlformats.org/officeDocument/2006/customXml" ds:itemID="{BB5D1E64-5405-4F8B-B34D-63239168DDA9}">
  <ds:schemaRefs>
    <ds:schemaRef ds:uri="http://schemas.openxmlformats.org/officeDocument/2006/bibliography"/>
  </ds:schemaRefs>
</ds:datastoreItem>
</file>

<file path=customXml/itemProps3.xml><?xml version="1.0" encoding="utf-8"?>
<ds:datastoreItem xmlns:ds="http://schemas.openxmlformats.org/officeDocument/2006/customXml" ds:itemID="{8CEBDAE6-9E42-4709-8216-D91236C25C9A}">
  <ds:schemaRefs>
    <ds:schemaRef ds:uri="http://purl.org/dc/dcmitype/"/>
    <ds:schemaRef ds:uri="http://schemas.microsoft.com/office/2006/documentManagement/types"/>
    <ds:schemaRef ds:uri="http://purl.org/dc/elements/1.1/"/>
    <ds:schemaRef ds:uri="http://schemas.openxmlformats.org/package/2006/metadata/core-properties"/>
    <ds:schemaRef ds:uri="c15478a5-0be8-4f5d-8383-b307d5ba8bf6"/>
    <ds:schemaRef ds:uri="http://purl.org/dc/terms/"/>
    <ds:schemaRef ds:uri="985ec44e-1bab-4c0b-9df0-6ba128686fc9"/>
    <ds:schemaRef ds:uri="http://schemas.microsoft.com/office/2006/metadata/properties"/>
    <ds:schemaRef ds:uri="http://schemas.microsoft.com/office/infopath/2007/PartnerControls"/>
    <ds:schemaRef ds:uri="a7b50396-0b06-45c1-b28e-46f86d566a10"/>
    <ds:schemaRef ds:uri="http://www.w3.org/XML/1998/namespace"/>
  </ds:schemaRefs>
</ds:datastoreItem>
</file>

<file path=customXml/itemProps4.xml><?xml version="1.0" encoding="utf-8"?>
<ds:datastoreItem xmlns:ds="http://schemas.openxmlformats.org/officeDocument/2006/customXml" ds:itemID="{444450E5-A740-4414-A0C0-26DC46189AE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7b50396-0b06-45c1-b28e-46f86d566a10"/>
    <ds:schemaRef ds:uri="985ec44e-1bab-4c0b-9df0-6ba128686fc9"/>
    <ds:schemaRef ds:uri="c15478a5-0be8-4f5d-8383-b307d5ba8bf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7eb58d0f-f804-411f-a20e-09ebfae62b4c}" enabled="1" method="Privileged" siteId="{0f9e35db-544f-4f60-bdcc-5ea416e6dc70}" removed="0"/>
</clbl:labelList>
</file>

<file path=docProps/app.xml><?xml version="1.0" encoding="utf-8"?>
<Properties xmlns="http://schemas.openxmlformats.org/officeDocument/2006/extended-properties" xmlns:vt="http://schemas.openxmlformats.org/officeDocument/2006/docPropsVTypes">
  <Template>Normal</Template>
  <TotalTime>0</TotalTime>
  <Pages>36</Pages>
  <Words>14761</Words>
  <Characters>84141</Characters>
  <Application>Microsoft Office Word</Application>
  <DocSecurity>0</DocSecurity>
  <Lines>701</Lines>
  <Paragraphs>197</Paragraphs>
  <ScaleCrop>false</ScaleCrop>
  <Company/>
  <LinksUpToDate>false</LinksUpToDate>
  <CharactersWithSpaces>98705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Ximena Cancino</dc:creator>
  <cp:keywords/>
  <dc:description/>
  <cp:lastModifiedBy>Catherine Brueckner</cp:lastModifiedBy>
  <cp:revision>2</cp:revision>
  <cp:lastPrinted>2019-09-22T20:54:00Z</cp:lastPrinted>
  <dcterms:created xsi:type="dcterms:W3CDTF">2025-10-28T13:21:00Z</dcterms:created>
  <dcterms:modified xsi:type="dcterms:W3CDTF">2025-10-28T13:21:00Z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05bc49294cfdd6bcb19e861dd6bbfaf8b0152488cac6a0cfe63811c813a85bae</vt:lpwstr>
  </property>
  <property fmtid="{D5CDD505-2E9C-101B-9397-08002B2CF9AE}" pid="3" name="ContentTypeId">
    <vt:lpwstr>0x0101009929416AA0540C42B015682282C961AD</vt:lpwstr>
  </property>
  <property fmtid="{D5CDD505-2E9C-101B-9397-08002B2CF9AE}" pid="4" name="Order">
    <vt:r8>100</vt:r8>
  </property>
  <property fmtid="{D5CDD505-2E9C-101B-9397-08002B2CF9AE}" pid="5" name="MediaServiceImageTags">
    <vt:lpwstr/>
  </property>
  <property fmtid="{D5CDD505-2E9C-101B-9397-08002B2CF9AE}" pid="6" name="TaxKeyword">
    <vt:lpwstr/>
  </property>
  <property fmtid="{D5CDD505-2E9C-101B-9397-08002B2CF9AE}" pid="7" name="ComplianceAssetId">
    <vt:lpwstr/>
  </property>
  <property fmtid="{D5CDD505-2E9C-101B-9397-08002B2CF9AE}" pid="8" name="_ExtendedDescription">
    <vt:lpwstr/>
  </property>
  <property fmtid="{D5CDD505-2E9C-101B-9397-08002B2CF9AE}" pid="9" name="TriggerFlowInfo">
    <vt:lpwstr/>
  </property>
  <property fmtid="{D5CDD505-2E9C-101B-9397-08002B2CF9AE}" pid="10" name="docLang">
    <vt:lpwstr>en</vt:lpwstr>
  </property>
</Properties>
</file>