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155B1B"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58CD802" w:rsidR="00002A97" w:rsidRPr="00B26725"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B26725">
              <w:rPr>
                <w:rFonts w:eastAsia="Times New Roman" w:cs="Arial"/>
                <w:szCs w:val="24"/>
                <w:lang w:val="es-ES" w:eastAsia="es-ES"/>
              </w:rPr>
              <w:t>UNEP/CMS/COP1</w:t>
            </w:r>
            <w:r w:rsidR="00C22155" w:rsidRPr="00B26725">
              <w:rPr>
                <w:rFonts w:eastAsia="Times New Roman" w:cs="Arial"/>
                <w:szCs w:val="24"/>
                <w:lang w:val="es-ES" w:eastAsia="es-ES"/>
              </w:rPr>
              <w:t>5</w:t>
            </w:r>
            <w:r w:rsidRPr="00B26725">
              <w:rPr>
                <w:rFonts w:eastAsia="Times New Roman" w:cs="Arial"/>
                <w:szCs w:val="24"/>
                <w:lang w:val="es-ES" w:eastAsia="es-ES"/>
              </w:rPr>
              <w:t>/</w:t>
            </w:r>
            <w:r w:rsidR="00800CB3" w:rsidRPr="00B26725">
              <w:rPr>
                <w:rFonts w:eastAsia="Times New Roman" w:cs="Arial"/>
                <w:szCs w:val="24"/>
                <w:lang w:val="es-ES" w:eastAsia="es-ES"/>
              </w:rPr>
              <w:t>Doc</w:t>
            </w:r>
            <w:r w:rsidRPr="00B26725">
              <w:rPr>
                <w:rFonts w:eastAsia="Times New Roman" w:cs="Arial"/>
                <w:szCs w:val="24"/>
                <w:lang w:val="es-ES" w:eastAsia="es-ES"/>
              </w:rPr>
              <w:t>.</w:t>
            </w:r>
            <w:r w:rsidR="00155B1B">
              <w:rPr>
                <w:rFonts w:eastAsia="Times New Roman" w:cs="Arial"/>
                <w:szCs w:val="24"/>
                <w:lang w:val="es-ES" w:eastAsia="es-ES"/>
              </w:rPr>
              <w:t>18.2</w:t>
            </w:r>
          </w:p>
          <w:p w14:paraId="5F9B9DE6" w14:textId="44ADA57D" w:rsidR="00002A97" w:rsidRPr="00B26725" w:rsidRDefault="00155B1B"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 xml:space="preserve">8 de </w:t>
            </w:r>
            <w:proofErr w:type="gramStart"/>
            <w:r>
              <w:rPr>
                <w:rFonts w:eastAsia="Times New Roman" w:cs="Arial"/>
                <w:szCs w:val="24"/>
                <w:lang w:val="es-ES" w:eastAsia="es-ES"/>
              </w:rPr>
              <w:t>Octubre</w:t>
            </w:r>
            <w:proofErr w:type="gramEnd"/>
            <w:r>
              <w:rPr>
                <w:rFonts w:eastAsia="Times New Roman" w:cs="Arial"/>
                <w:szCs w:val="24"/>
                <w:lang w:val="es-ES" w:eastAsia="es-ES"/>
              </w:rPr>
              <w:t xml:space="preserve"> </w:t>
            </w:r>
            <w:r w:rsidR="00002A97" w:rsidRPr="00B26725">
              <w:rPr>
                <w:rFonts w:eastAsia="Times New Roman" w:cs="Arial"/>
                <w:szCs w:val="24"/>
                <w:lang w:val="es-ES" w:eastAsia="es-ES"/>
              </w:rPr>
              <w:t>20</w:t>
            </w:r>
            <w:r w:rsidR="000F4BDA" w:rsidRPr="00B26725">
              <w:rPr>
                <w:rFonts w:eastAsia="Times New Roman" w:cs="Arial"/>
                <w:szCs w:val="24"/>
                <w:lang w:val="es-ES" w:eastAsia="es-ES"/>
              </w:rPr>
              <w:t>2</w:t>
            </w:r>
            <w:r w:rsidR="00BE6C85" w:rsidRPr="00B2672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178D834F"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155B1B">
        <w:rPr>
          <w:rFonts w:eastAsia="Times New Roman" w:cs="Arial"/>
          <w:szCs w:val="24"/>
          <w:lang w:val="es-ES" w:eastAsia="es-ES"/>
        </w:rPr>
        <w:t>18.2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5936A64A" w:rsidR="00002A97" w:rsidRPr="00790422" w:rsidRDefault="00155B1B"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910618">
        <w:rPr>
          <w:rFonts w:eastAsia="Arial" w:cs="Arial"/>
          <w:b/>
          <w:bCs/>
          <w:lang w:val="es-ES"/>
        </w:rPr>
        <w:t>COOPERACIÓN ENTRE LA PLATAFORMA INTERGUBERNAMENTAL CIENTÍFICO-NORMATIVA SOBRE BIODIVERSIDAD Y SERVICIOS ECOSISTÉMICOS (IPBES) Y LA CMS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8240D3E">
                <wp:simplePos x="0" y="0"/>
                <wp:positionH relativeFrom="column">
                  <wp:posOffset>974785</wp:posOffset>
                </wp:positionH>
                <wp:positionV relativeFrom="paragraph">
                  <wp:posOffset>145547</wp:posOffset>
                </wp:positionV>
                <wp:extent cx="4304666" cy="2311879"/>
                <wp:effectExtent l="0" t="0" r="19685" b="12700"/>
                <wp:wrapNone/>
                <wp:docPr id="5" name="Text Box 4"/>
                <wp:cNvGraphicFramePr/>
                <a:graphic xmlns:a="http://schemas.openxmlformats.org/drawingml/2006/main">
                  <a:graphicData uri="http://schemas.microsoft.com/office/word/2010/wordprocessingShape">
                    <wps:wsp>
                      <wps:cNvSpPr txBox="1"/>
                      <wps:spPr>
                        <a:xfrm>
                          <a:off x="0" y="0"/>
                          <a:ext cx="4304666" cy="2311879"/>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78AD122F" w14:textId="77777777" w:rsidR="00155B1B" w:rsidRPr="006D30C0" w:rsidRDefault="00155B1B" w:rsidP="00155B1B">
                            <w:pPr>
                              <w:spacing w:after="0" w:line="240" w:lineRule="auto"/>
                              <w:jc w:val="both"/>
                              <w:rPr>
                                <w:rFonts w:cs="Arial"/>
                                <w:color w:val="000000" w:themeColor="text1"/>
                                <w:lang w:val="es-ES"/>
                              </w:rPr>
                            </w:pPr>
                            <w:r w:rsidRPr="006D30C0">
                              <w:rPr>
                                <w:rFonts w:cs="Arial"/>
                                <w:lang w:val="es-ES"/>
                              </w:rPr>
                              <w:t xml:space="preserve">En el presente documento se informa sobre los progresos realizados en la aplicación de las Decisiones 14.12 a 14.14, </w:t>
                            </w:r>
                            <w:r w:rsidRPr="006D30C0">
                              <w:rPr>
                                <w:rFonts w:cs="Arial"/>
                                <w:i/>
                                <w:iCs/>
                                <w:lang w:val="es-ES"/>
                              </w:rPr>
                              <w:t>Cooperación entre la Plataforma Intergubernamental Científico</w:t>
                            </w:r>
                            <w:r w:rsidRPr="006D30C0">
                              <w:rPr>
                                <w:rFonts w:cs="Arial"/>
                                <w:lang w:val="es-ES"/>
                              </w:rPr>
                              <w:t>–</w:t>
                            </w:r>
                            <w:r w:rsidRPr="006D30C0">
                              <w:rPr>
                                <w:rFonts w:cs="Arial"/>
                                <w:i/>
                                <w:iCs/>
                                <w:lang w:val="es-ES"/>
                              </w:rPr>
                              <w:t xml:space="preserve">Normativa sobre Biodiversidad </w:t>
                            </w:r>
                            <w:r>
                              <w:rPr>
                                <w:rFonts w:cs="Arial"/>
                                <w:i/>
                                <w:iCs/>
                                <w:color w:val="000000" w:themeColor="text1"/>
                                <w:lang w:val="es-ES"/>
                              </w:rPr>
                              <w:t>y Servicios Ecosistémicos</w:t>
                            </w:r>
                            <w:r w:rsidRPr="006D30C0">
                              <w:rPr>
                                <w:rFonts w:cs="Arial"/>
                                <w:i/>
                                <w:iCs/>
                                <w:color w:val="000000" w:themeColor="text1"/>
                                <w:lang w:val="es-ES"/>
                              </w:rPr>
                              <w:t xml:space="preserve"> (IPBES, por sus siglas en inglés) y la CMS</w:t>
                            </w:r>
                            <w:r w:rsidRPr="006D30C0">
                              <w:rPr>
                                <w:rFonts w:cs="Arial"/>
                                <w:color w:val="000000" w:themeColor="text1"/>
                                <w:lang w:val="es-ES"/>
                              </w:rPr>
                              <w:t>. El documento propone nuevos proyectos de Decisión y la supresión de las Decisiones 14.11</w:t>
                            </w:r>
                            <w:r w:rsidRPr="006D30C0">
                              <w:rPr>
                                <w:rFonts w:cs="Arial"/>
                                <w:lang w:val="es-ES"/>
                              </w:rPr>
                              <w:t>-</w:t>
                            </w:r>
                            <w:r w:rsidRPr="006D30C0">
                              <w:rPr>
                                <w:rFonts w:cs="Arial"/>
                                <w:color w:val="000000" w:themeColor="text1"/>
                                <w:lang w:val="es-ES"/>
                              </w:rPr>
                              <w:t>14.14.</w:t>
                            </w:r>
                          </w:p>
                          <w:p w14:paraId="229F92F5" w14:textId="77777777" w:rsidR="00155B1B" w:rsidRPr="006D30C0" w:rsidRDefault="00155B1B" w:rsidP="00155B1B">
                            <w:pPr>
                              <w:spacing w:after="0" w:line="240" w:lineRule="auto"/>
                              <w:jc w:val="both"/>
                              <w:rPr>
                                <w:rFonts w:cs="Arial"/>
                                <w:color w:val="000000" w:themeColor="text1"/>
                                <w:lang w:val="es-ES"/>
                              </w:rPr>
                            </w:pPr>
                          </w:p>
                          <w:p w14:paraId="02FB2AFE" w14:textId="5ED5918D" w:rsidR="00155B1B" w:rsidRPr="00155B1B" w:rsidRDefault="00155B1B" w:rsidP="00155B1B">
                            <w:pPr>
                              <w:spacing w:after="0"/>
                              <w:jc w:val="both"/>
                              <w:rPr>
                                <w:rFonts w:cs="Arial"/>
                                <w:lang w:val="es-ES"/>
                              </w:rPr>
                            </w:pPr>
                            <w:r w:rsidRPr="006D30C0">
                              <w:rPr>
                                <w:rFonts w:cs="Arial"/>
                                <w:color w:val="000000" w:themeColor="text1"/>
                                <w:lang w:val="es-ES"/>
                              </w:rPr>
                              <w:t xml:space="preserve">Los proyectos de Decisión que figuran en el Anexo 1 del presente documento apoyarían el logro de la Meta 5.3 del Plan Estratégico de Samarcanda </w:t>
                            </w:r>
                            <w:r w:rsidRPr="006D30C0">
                              <w:rPr>
                                <w:rFonts w:cs="Arial"/>
                                <w:lang w:val="es-ES"/>
                              </w:rPr>
                              <w:t>para las Especies Migratorias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45pt;width:338.95pt;height:182.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Uy5QEAANQDAAAOAAAAZHJzL2Uyb0RvYy54bWysU9uO0zAQfUfiHyy/01xa2t2o6Qq2KkJa&#10;AVLZD3Acp7Hk2GbsNilfz9gJbRf2CeGHicczOT5zZrx+GDpFTgKcNLqk2SylRGhuaqkPJX3+vnt3&#10;R4nzTNdMGS1KehaOPmzevln3thC5aY2qBRAE0a7obUlb722RJI63omNuZqzQGGwMdMyjC4ekBtYj&#10;eqeSPE2XSW+gtmC4cA5Pt2OQbiJ+0wjuvzaNE56okiI3Hy1EWwWbbNasOACzreQTDfYPLDomNV56&#10;gdoyz8gR5F9QneRgnGn8jJsuMU0juYg1YDVZ+kc1+5ZZEWtBcZy9yOT+Hyz/ctrbb0D88NEM2MAg&#10;SG9d4fAw1DM00IUvMiUYRwnPF9nE4AnHw8U8XSyXS0o4xvJ5lt2t7gNOcv3dgvOfhOlI2JQUsC9R&#10;LnZ6cn5M/Z0SbnNGyXonlYoOHKpHBeTEsIe7uCb0F2lKk76k82yVR+QXMXcLkcb1GkSgsGWuHa+K&#10;CFOa0ljOVZew80M1TGJVpj6jhvgMsLbWwE9KehypkrofRwaCEvVZY8/us8UizGB0Fu9XOTpwG6lu&#10;I0xzhCqpp2TcPvpxbnFwLPNPem95aEWQSJsPR28aGaUM5EZGE2ccndiMaczDbN76Mev6GDe/AAAA&#10;//8DAFBLAwQUAAYACAAAACEAT32A1uAAAAAKAQAADwAAAGRycy9kb3ducmV2LnhtbEyPy07DMBBF&#10;90j8gzVI7KjzIDQNcSoEQsqCTQqLLt14SALxOLLdJvTrMauyvJqje8+U20WP7ITWDYYExKsIGFJr&#10;1ECdgI/317scmPOSlBwNoYAfdLCtrq9KWSgzU4Onne9YKCFXSAG991PBuWt71NKtzIQUbp/GaulD&#10;tB1XVs6hXI88iaIHruVAYaGXEz732H7vjlrA19lTQs1bNs12v66z5qWO67MQtzfL0yMwj4u/wPCn&#10;H9ShCk4HcyTl2BhylmYBFZAkG2AByNP4HthBQJqvI+BVyf+/UP0CAAD//wMAUEsBAi0AFAAGAAgA&#10;AAAhALaDOJL+AAAA4QEAABMAAAAAAAAAAAAAAAAAAAAAAFtDb250ZW50X1R5cGVzXS54bWxQSwEC&#10;LQAUAAYACAAAACEAOP0h/9YAAACUAQAACwAAAAAAAAAAAAAAAAAvAQAAX3JlbHMvLnJlbHNQSwEC&#10;LQAUAAYACAAAACEAU881MuUBAADUAwAADgAAAAAAAAAAAAAAAAAuAgAAZHJzL2Uyb0RvYy54bWxQ&#10;SwECLQAUAAYACAAAACEAT32A1uAAAAAKAQAADwAAAAAAAAAAAAAAAAA/BAAAZHJzL2Rvd25yZXYu&#10;eG1sUEsFBgAAAAAEAAQA8wAAAEwFA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78AD122F" w14:textId="77777777" w:rsidR="00155B1B" w:rsidRPr="006D30C0" w:rsidRDefault="00155B1B" w:rsidP="00155B1B">
                      <w:pPr>
                        <w:spacing w:after="0" w:line="240" w:lineRule="auto"/>
                        <w:jc w:val="both"/>
                        <w:rPr>
                          <w:rFonts w:cs="Arial"/>
                          <w:color w:val="000000" w:themeColor="text1"/>
                          <w:lang w:val="es-ES"/>
                        </w:rPr>
                      </w:pPr>
                      <w:r w:rsidRPr="006D30C0">
                        <w:rPr>
                          <w:rFonts w:cs="Arial"/>
                          <w:lang w:val="es-ES"/>
                        </w:rPr>
                        <w:t xml:space="preserve">En el presente documento se informa sobre los progresos realizados en la aplicación de las Decisiones 14.12 a 14.14, </w:t>
                      </w:r>
                      <w:r w:rsidRPr="006D30C0">
                        <w:rPr>
                          <w:rFonts w:cs="Arial"/>
                          <w:i/>
                          <w:iCs/>
                          <w:lang w:val="es-ES"/>
                        </w:rPr>
                        <w:t>Cooperación entre la Plataforma Intergubernamental Científico</w:t>
                      </w:r>
                      <w:r w:rsidRPr="006D30C0">
                        <w:rPr>
                          <w:rFonts w:cs="Arial"/>
                          <w:lang w:val="es-ES"/>
                        </w:rPr>
                        <w:t>–</w:t>
                      </w:r>
                      <w:r w:rsidRPr="006D30C0">
                        <w:rPr>
                          <w:rFonts w:cs="Arial"/>
                          <w:i/>
                          <w:iCs/>
                          <w:lang w:val="es-ES"/>
                        </w:rPr>
                        <w:t xml:space="preserve">Normativa sobre Biodiversidad </w:t>
                      </w:r>
                      <w:r>
                        <w:rPr>
                          <w:rFonts w:cs="Arial"/>
                          <w:i/>
                          <w:iCs/>
                          <w:color w:val="000000" w:themeColor="text1"/>
                          <w:lang w:val="es-ES"/>
                        </w:rPr>
                        <w:t>y Servicios Ecosistémicos</w:t>
                      </w:r>
                      <w:r w:rsidRPr="006D30C0">
                        <w:rPr>
                          <w:rFonts w:cs="Arial"/>
                          <w:i/>
                          <w:iCs/>
                          <w:color w:val="000000" w:themeColor="text1"/>
                          <w:lang w:val="es-ES"/>
                        </w:rPr>
                        <w:t xml:space="preserve"> (IPBES, por sus siglas en inglés) y la CMS</w:t>
                      </w:r>
                      <w:r w:rsidRPr="006D30C0">
                        <w:rPr>
                          <w:rFonts w:cs="Arial"/>
                          <w:color w:val="000000" w:themeColor="text1"/>
                          <w:lang w:val="es-ES"/>
                        </w:rPr>
                        <w:t>. El documento propone nuevos proyectos de Decisión y la supresión de las Decisiones 14.11</w:t>
                      </w:r>
                      <w:r w:rsidRPr="006D30C0">
                        <w:rPr>
                          <w:rFonts w:cs="Arial"/>
                          <w:lang w:val="es-ES"/>
                        </w:rPr>
                        <w:t>-</w:t>
                      </w:r>
                      <w:r w:rsidRPr="006D30C0">
                        <w:rPr>
                          <w:rFonts w:cs="Arial"/>
                          <w:color w:val="000000" w:themeColor="text1"/>
                          <w:lang w:val="es-ES"/>
                        </w:rPr>
                        <w:t>14.14.</w:t>
                      </w:r>
                    </w:p>
                    <w:p w14:paraId="229F92F5" w14:textId="77777777" w:rsidR="00155B1B" w:rsidRPr="006D30C0" w:rsidRDefault="00155B1B" w:rsidP="00155B1B">
                      <w:pPr>
                        <w:spacing w:after="0" w:line="240" w:lineRule="auto"/>
                        <w:jc w:val="both"/>
                        <w:rPr>
                          <w:rFonts w:cs="Arial"/>
                          <w:color w:val="000000" w:themeColor="text1"/>
                          <w:lang w:val="es-ES"/>
                        </w:rPr>
                      </w:pPr>
                    </w:p>
                    <w:p w14:paraId="02FB2AFE" w14:textId="5ED5918D" w:rsidR="00155B1B" w:rsidRPr="00155B1B" w:rsidRDefault="00155B1B" w:rsidP="00155B1B">
                      <w:pPr>
                        <w:spacing w:after="0"/>
                        <w:jc w:val="both"/>
                        <w:rPr>
                          <w:rFonts w:cs="Arial"/>
                          <w:lang w:val="es-ES"/>
                        </w:rPr>
                      </w:pPr>
                      <w:r w:rsidRPr="006D30C0">
                        <w:rPr>
                          <w:rFonts w:cs="Arial"/>
                          <w:color w:val="000000" w:themeColor="text1"/>
                          <w:lang w:val="es-ES"/>
                        </w:rPr>
                        <w:t xml:space="preserve">Los proyectos de Decisión que figuran en el Anexo 1 del presente documento apoyarían el logro de la Meta 5.3 del Plan Estratégico de Samarcanda </w:t>
                      </w:r>
                      <w:r w:rsidRPr="006D30C0">
                        <w:rPr>
                          <w:rFonts w:cs="Arial"/>
                          <w:lang w:val="es-ES"/>
                        </w:rPr>
                        <w:t>para las Especies Migratorias 2024-2032.</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7E70C61A" w14:textId="77777777" w:rsidR="00155B1B" w:rsidRPr="00910618" w:rsidRDefault="00155B1B" w:rsidP="00155B1B">
      <w:pPr>
        <w:widowControl w:val="0"/>
        <w:spacing w:after="0" w:line="240" w:lineRule="auto"/>
        <w:jc w:val="center"/>
        <w:rPr>
          <w:rFonts w:eastAsia="Arial" w:cs="Arial"/>
          <w:b/>
          <w:bCs/>
          <w:lang w:val="es-ES"/>
        </w:rPr>
      </w:pPr>
      <w:r w:rsidRPr="00910618">
        <w:rPr>
          <w:rFonts w:eastAsia="Arial" w:cs="Arial"/>
          <w:b/>
          <w:bCs/>
          <w:lang w:val="es-ES"/>
        </w:rPr>
        <w:lastRenderedPageBreak/>
        <w:t>COOPERACIÓN ENTRE LA PLATAFORMA INTERGUBERNAMENTAL CIENTÍFICO-NORMATIVA SOBRE BIODIVERSIDAD Y SERVICIOS ECOSISTÉMICOS (IPBES) Y LA CMS</w:t>
      </w:r>
    </w:p>
    <w:p w14:paraId="476CDD2A" w14:textId="77777777" w:rsidR="00155B1B" w:rsidRPr="00910618" w:rsidRDefault="00155B1B" w:rsidP="00155B1B">
      <w:pPr>
        <w:suppressAutoHyphens/>
        <w:autoSpaceDN w:val="0"/>
        <w:spacing w:after="0" w:line="240" w:lineRule="auto"/>
        <w:textAlignment w:val="baseline"/>
        <w:rPr>
          <w:rFonts w:eastAsia="Calibri" w:cs="Arial"/>
          <w:lang w:val="es-ES"/>
        </w:rPr>
      </w:pPr>
    </w:p>
    <w:p w14:paraId="366D767D" w14:textId="77777777" w:rsidR="00155B1B" w:rsidRPr="00910618" w:rsidRDefault="00155B1B" w:rsidP="00155B1B">
      <w:pPr>
        <w:spacing w:after="0" w:line="240" w:lineRule="auto"/>
        <w:jc w:val="both"/>
        <w:rPr>
          <w:rFonts w:cs="Arial"/>
          <w:i/>
          <w:lang w:val="es-ES"/>
        </w:rPr>
      </w:pPr>
    </w:p>
    <w:p w14:paraId="20677846" w14:textId="77777777" w:rsidR="00155B1B" w:rsidRPr="00910618" w:rsidRDefault="00155B1B" w:rsidP="00155B1B">
      <w:pPr>
        <w:suppressAutoHyphens/>
        <w:autoSpaceDN w:val="0"/>
        <w:spacing w:after="0" w:line="240" w:lineRule="auto"/>
        <w:jc w:val="both"/>
        <w:textAlignment w:val="baseline"/>
        <w:rPr>
          <w:rFonts w:eastAsia="Calibri" w:cs="Arial"/>
          <w:u w:val="single"/>
          <w:lang w:val="es-ES"/>
        </w:rPr>
      </w:pPr>
      <w:r w:rsidRPr="00910618">
        <w:rPr>
          <w:rFonts w:eastAsia="Calibri" w:cs="Arial"/>
          <w:u w:val="single"/>
          <w:lang w:val="es-ES"/>
        </w:rPr>
        <w:t>Antecedentes</w:t>
      </w:r>
    </w:p>
    <w:p w14:paraId="3C7DC742" w14:textId="77777777" w:rsidR="00155B1B" w:rsidRPr="00910618" w:rsidRDefault="00155B1B" w:rsidP="00155B1B">
      <w:pPr>
        <w:spacing w:after="0" w:line="240" w:lineRule="auto"/>
        <w:jc w:val="both"/>
        <w:rPr>
          <w:rFonts w:cs="Arial"/>
          <w:lang w:val="es-ES"/>
        </w:rPr>
      </w:pPr>
    </w:p>
    <w:p w14:paraId="405200CC" w14:textId="77777777" w:rsidR="00155B1B" w:rsidRPr="00910618" w:rsidRDefault="00155B1B" w:rsidP="00155B1B">
      <w:pPr>
        <w:widowControl w:val="0"/>
        <w:numPr>
          <w:ilvl w:val="0"/>
          <w:numId w:val="13"/>
        </w:numPr>
        <w:autoSpaceDE w:val="0"/>
        <w:autoSpaceDN w:val="0"/>
        <w:adjustRightInd w:val="0"/>
        <w:spacing w:after="0" w:line="240" w:lineRule="auto"/>
        <w:ind w:left="567" w:hanging="567"/>
        <w:contextualSpacing/>
        <w:jc w:val="both"/>
        <w:rPr>
          <w:rFonts w:cs="Arial"/>
          <w:lang w:val="es-ES"/>
        </w:rPr>
      </w:pPr>
      <w:bookmarkStart w:id="0" w:name="_Hlk19517251"/>
      <w:bookmarkEnd w:id="0"/>
      <w:r w:rsidRPr="00910618">
        <w:rPr>
          <w:rFonts w:cs="Arial"/>
          <w:lang w:val="es-ES"/>
        </w:rPr>
        <w:t>La Plataforma Intergubernamental Científico-Normativa sobre Biodiversidad y Servicios Ecosistémicos (IPBES) es un órgano intergubernamental independiente establecido en 2012 bajo los auspicios de la Organización de las Naciones Unidas. Su objetivo es fortalecer el intercambio ciencia–política en materia de biodiversidad y servicios de los ecosistemas, a fin de apoyar la conservación y el uso sostenible de la biodiversidad, el bienestar humano a largo plazo y el desarrollo sostenible. Reconociendo la importancia de la labor de la IPBES para la aplicación de la Convención, la CMS ha colaborado con la IPBES desde su creación, haciendo uso de sus evaluaciones sobre el estado del conocimiento en biodiversidad y servicios de los ecosistemas.</w:t>
      </w:r>
    </w:p>
    <w:p w14:paraId="24F57970" w14:textId="77777777" w:rsidR="00155B1B" w:rsidRPr="00910618" w:rsidRDefault="00155B1B" w:rsidP="00155B1B">
      <w:pPr>
        <w:widowControl w:val="0"/>
        <w:autoSpaceDE w:val="0"/>
        <w:autoSpaceDN w:val="0"/>
        <w:adjustRightInd w:val="0"/>
        <w:spacing w:after="0" w:line="240" w:lineRule="auto"/>
        <w:contextualSpacing/>
        <w:jc w:val="both"/>
        <w:rPr>
          <w:rFonts w:cs="Arial"/>
          <w:lang w:val="es-ES"/>
        </w:rPr>
      </w:pPr>
    </w:p>
    <w:p w14:paraId="784083AB" w14:textId="77777777" w:rsidR="00155B1B" w:rsidRPr="00910618" w:rsidRDefault="00155B1B" w:rsidP="00155B1B">
      <w:pPr>
        <w:widowControl w:val="0"/>
        <w:numPr>
          <w:ilvl w:val="0"/>
          <w:numId w:val="13"/>
        </w:numPr>
        <w:autoSpaceDE w:val="0"/>
        <w:autoSpaceDN w:val="0"/>
        <w:adjustRightInd w:val="0"/>
        <w:spacing w:after="0" w:line="240" w:lineRule="auto"/>
        <w:ind w:left="567" w:hanging="567"/>
        <w:jc w:val="both"/>
        <w:rPr>
          <w:rFonts w:cs="Arial"/>
          <w:lang w:val="es-ES"/>
        </w:rPr>
      </w:pPr>
      <w:r w:rsidRPr="00910618">
        <w:rPr>
          <w:rFonts w:eastAsia="Arial" w:cs="Arial"/>
          <w:lang w:val="es-ES"/>
        </w:rPr>
        <w:t xml:space="preserve">Para fortalecer aún más la cooperación con la IPBES, en su 14.a reunión la Conferencia de las Partes (COP14) adoptó las Decisiones 14.11 a 14.14, </w:t>
      </w:r>
      <w:r w:rsidRPr="00910618">
        <w:rPr>
          <w:rFonts w:eastAsia="Arial" w:cs="Arial"/>
          <w:i/>
          <w:iCs/>
          <w:lang w:val="es-ES"/>
        </w:rPr>
        <w:t>Cooperación entre la Plataforma Intergubernamental Científico-Normativa sobre Biodiversidad y Servicios Ecosistémicos (IPBES) y la CMS</w:t>
      </w:r>
      <w:r w:rsidRPr="00910618">
        <w:rPr>
          <w:rFonts w:eastAsia="Arial" w:cs="Arial"/>
          <w:lang w:val="es-ES"/>
        </w:rPr>
        <w:t>, que otorgan mandatos específicos al Consejo Científico y a la Secretaría para participar en los procesos pertinentes de la IPBES:</w:t>
      </w:r>
    </w:p>
    <w:p w14:paraId="5E0829FC" w14:textId="77777777" w:rsidR="00155B1B" w:rsidRPr="00910618" w:rsidRDefault="00155B1B" w:rsidP="00155B1B">
      <w:pPr>
        <w:widowControl w:val="0"/>
        <w:autoSpaceDE w:val="0"/>
        <w:autoSpaceDN w:val="0"/>
        <w:adjustRightInd w:val="0"/>
        <w:spacing w:after="0" w:line="240" w:lineRule="auto"/>
        <w:ind w:left="567"/>
        <w:jc w:val="both"/>
        <w:rPr>
          <w:rFonts w:cs="Arial"/>
          <w:lang w:val="es-ES"/>
        </w:rPr>
      </w:pPr>
    </w:p>
    <w:p w14:paraId="7A3F93EA" w14:textId="4F9303EC" w:rsidR="00155B1B" w:rsidRPr="00155B1B" w:rsidRDefault="00155B1B" w:rsidP="00155B1B">
      <w:pPr>
        <w:pStyle w:val="ListParagraph"/>
        <w:numPr>
          <w:ilvl w:val="1"/>
          <w:numId w:val="15"/>
        </w:numPr>
        <w:spacing w:after="0" w:line="240" w:lineRule="auto"/>
        <w:ind w:left="720" w:firstLine="0"/>
        <w:jc w:val="both"/>
        <w:rPr>
          <w:rFonts w:eastAsia="Arial" w:cs="Arial"/>
          <w:b/>
          <w:bCs/>
          <w:i/>
          <w:iCs/>
          <w:sz w:val="20"/>
          <w:szCs w:val="20"/>
        </w:rPr>
      </w:pPr>
      <w:r w:rsidRPr="00910618">
        <w:rPr>
          <w:rFonts w:eastAsia="Arial" w:cs="Arial"/>
          <w:b/>
          <w:bCs/>
          <w:i/>
          <w:iCs/>
          <w:sz w:val="20"/>
          <w:szCs w:val="20"/>
          <w:lang w:val="es-ES"/>
        </w:rPr>
        <w:t xml:space="preserve"> </w:t>
      </w:r>
      <w:r>
        <w:rPr>
          <w:rFonts w:eastAsia="Arial" w:cs="Arial"/>
          <w:b/>
          <w:bCs/>
          <w:i/>
          <w:iCs/>
          <w:sz w:val="20"/>
          <w:szCs w:val="20"/>
          <w:lang w:val="es-ES"/>
        </w:rPr>
        <w:t>d</w:t>
      </w:r>
      <w:proofErr w:type="spellStart"/>
      <w:r w:rsidRPr="00155B1B">
        <w:rPr>
          <w:rFonts w:eastAsia="Arial" w:cs="Arial"/>
          <w:b/>
          <w:bCs/>
          <w:i/>
          <w:iCs/>
          <w:sz w:val="20"/>
          <w:szCs w:val="20"/>
        </w:rPr>
        <w:t>irigid</w:t>
      </w:r>
      <w:r>
        <w:rPr>
          <w:rFonts w:eastAsia="Arial" w:cs="Arial"/>
          <w:b/>
          <w:bCs/>
          <w:i/>
          <w:iCs/>
          <w:sz w:val="20"/>
          <w:szCs w:val="20"/>
        </w:rPr>
        <w:t>a</w:t>
      </w:r>
      <w:proofErr w:type="spellEnd"/>
      <w:r w:rsidRPr="00155B1B">
        <w:rPr>
          <w:rFonts w:eastAsia="Arial" w:cs="Arial"/>
          <w:b/>
          <w:bCs/>
          <w:i/>
          <w:iCs/>
          <w:sz w:val="20"/>
          <w:szCs w:val="20"/>
        </w:rPr>
        <w:t xml:space="preserve"> al Consejo </w:t>
      </w:r>
      <w:proofErr w:type="spellStart"/>
      <w:r w:rsidRPr="00155B1B">
        <w:rPr>
          <w:rFonts w:eastAsia="Arial" w:cs="Arial"/>
          <w:b/>
          <w:bCs/>
          <w:i/>
          <w:iCs/>
          <w:sz w:val="20"/>
          <w:szCs w:val="20"/>
        </w:rPr>
        <w:t>Científico</w:t>
      </w:r>
      <w:proofErr w:type="spellEnd"/>
      <w:r w:rsidRPr="00155B1B">
        <w:rPr>
          <w:rFonts w:eastAsia="Arial" w:cs="Arial"/>
          <w:b/>
          <w:bCs/>
          <w:i/>
          <w:iCs/>
          <w:sz w:val="20"/>
          <w:szCs w:val="20"/>
        </w:rPr>
        <w:t>:</w:t>
      </w:r>
    </w:p>
    <w:p w14:paraId="741A835F" w14:textId="77777777" w:rsidR="00155B1B" w:rsidRPr="00155B1B" w:rsidRDefault="00155B1B" w:rsidP="00155B1B">
      <w:pPr>
        <w:pStyle w:val="ListParagraph"/>
        <w:spacing w:after="0" w:line="240" w:lineRule="auto"/>
        <w:jc w:val="both"/>
        <w:rPr>
          <w:rFonts w:eastAsia="Arial" w:cs="Arial"/>
          <w:i/>
          <w:iCs/>
          <w:sz w:val="20"/>
          <w:szCs w:val="20"/>
        </w:rPr>
      </w:pPr>
    </w:p>
    <w:p w14:paraId="382ECE05" w14:textId="669A7122" w:rsidR="00155B1B" w:rsidRPr="00155B1B" w:rsidRDefault="00155B1B" w:rsidP="00155B1B">
      <w:pPr>
        <w:pStyle w:val="ListParagraph"/>
        <w:spacing w:after="0" w:line="240" w:lineRule="auto"/>
        <w:jc w:val="both"/>
        <w:rPr>
          <w:rFonts w:eastAsia="Arial" w:cs="Arial"/>
          <w:i/>
          <w:iCs/>
          <w:sz w:val="20"/>
          <w:szCs w:val="20"/>
          <w:lang w:val="es-ES"/>
        </w:rPr>
      </w:pPr>
      <w:r w:rsidRPr="00155B1B">
        <w:rPr>
          <w:rFonts w:eastAsia="Arial" w:cs="Arial"/>
          <w:i/>
          <w:iCs/>
          <w:sz w:val="20"/>
          <w:szCs w:val="20"/>
          <w:lang w:val="es-ES"/>
        </w:rPr>
        <w:t>Se solicita al Consejo Científico que, sujeto a la disponibilidad de recursos participe activamente en los procesos de estudio y revisión pertinentes de las evaluaciones de la IPBES que se acordaron en la Sesión Plenaria de la IPBES en su 10ª sesión, incluida la evaluación de la planificación espacial integrada que incluya la biodiversidad y la conectividad ecológica y una segunda evaluación mundial de la biodiversidad y los servicios ecosistémicos, con vistas a garantizar a que se integren los elementos prioritarios para la CMS;</w:t>
      </w:r>
    </w:p>
    <w:p w14:paraId="76A26F0E" w14:textId="77777777" w:rsidR="00155B1B" w:rsidRPr="00155B1B" w:rsidRDefault="00155B1B" w:rsidP="00155B1B">
      <w:pPr>
        <w:pStyle w:val="ListParagraph"/>
        <w:spacing w:after="0" w:line="240" w:lineRule="auto"/>
        <w:jc w:val="both"/>
        <w:rPr>
          <w:rFonts w:eastAsia="Arial" w:cs="Arial"/>
          <w:i/>
          <w:iCs/>
          <w:sz w:val="20"/>
          <w:szCs w:val="20"/>
          <w:lang w:val="es-ES"/>
        </w:rPr>
      </w:pPr>
    </w:p>
    <w:p w14:paraId="508B52BD" w14:textId="071F2FB8" w:rsidR="00155B1B" w:rsidRPr="00155B1B" w:rsidRDefault="00155B1B" w:rsidP="00155B1B">
      <w:pPr>
        <w:pStyle w:val="ListParagraph"/>
        <w:spacing w:after="0" w:line="240" w:lineRule="auto"/>
        <w:jc w:val="both"/>
        <w:rPr>
          <w:rFonts w:eastAsia="Arial" w:cs="Arial"/>
          <w:b/>
          <w:bCs/>
          <w:i/>
          <w:iCs/>
          <w:sz w:val="20"/>
          <w:szCs w:val="20"/>
          <w:lang w:val="es-ES"/>
        </w:rPr>
      </w:pPr>
      <w:r w:rsidRPr="00155B1B">
        <w:rPr>
          <w:rFonts w:eastAsia="Arial" w:cs="Arial"/>
          <w:b/>
          <w:bCs/>
          <w:i/>
          <w:iCs/>
          <w:sz w:val="20"/>
          <w:szCs w:val="20"/>
          <w:lang w:val="es-ES"/>
        </w:rPr>
        <w:t>14.13 dirigida al Consejo Científico:</w:t>
      </w:r>
    </w:p>
    <w:p w14:paraId="0BF1F0CF" w14:textId="77777777" w:rsidR="00155B1B" w:rsidRPr="00155B1B" w:rsidRDefault="00155B1B" w:rsidP="00155B1B">
      <w:pPr>
        <w:pStyle w:val="ListParagraph"/>
        <w:spacing w:after="0" w:line="240" w:lineRule="auto"/>
        <w:jc w:val="both"/>
        <w:rPr>
          <w:rFonts w:eastAsia="Arial" w:cs="Arial"/>
          <w:b/>
          <w:bCs/>
          <w:i/>
          <w:iCs/>
          <w:sz w:val="20"/>
          <w:szCs w:val="20"/>
          <w:lang w:val="es-ES"/>
        </w:rPr>
      </w:pPr>
    </w:p>
    <w:p w14:paraId="5BAFE800" w14:textId="0232AD70" w:rsidR="00155B1B" w:rsidRPr="00155B1B" w:rsidRDefault="00155B1B" w:rsidP="00155B1B">
      <w:pPr>
        <w:pStyle w:val="ListParagraph"/>
        <w:spacing w:after="0" w:line="240" w:lineRule="auto"/>
        <w:jc w:val="both"/>
        <w:rPr>
          <w:rFonts w:eastAsia="Arial" w:cs="Arial"/>
          <w:i/>
          <w:iCs/>
          <w:sz w:val="20"/>
          <w:szCs w:val="20"/>
          <w:lang w:val="es-ES"/>
        </w:rPr>
      </w:pPr>
      <w:bookmarkStart w:id="1" w:name="_Hlk210915064"/>
      <w:r w:rsidRPr="00155B1B">
        <w:rPr>
          <w:rFonts w:eastAsia="Arial" w:cs="Arial"/>
          <w:i/>
          <w:iCs/>
          <w:sz w:val="20"/>
          <w:szCs w:val="20"/>
          <w:lang w:val="es-ES"/>
        </w:rPr>
        <w:t>Se solicita al Consejo Científico que, con sujeción a la disponibilidad de recursos, examine las conclusiones de los resultados recientes y futuros de la IPBES, incluida la evaluación del uso sostenible de las especies silvestres, la evaluación de los diversos valores y la valoración de la naturaleza, la evaluación de las especies exóticas invasoras y su control, el informe del taller copatrocinado por la IPBES y el IPCC sobre la diversidad biológica y el cambio climático, la evaluación de las interrelaciones entre la diversidad biológica, el agua, los alimentos y la salud, la evaluación de las causas subyacentes de la pérdida de biodiversidad y los factores determinantes del cambio transformador y las opciones para lograr la Visión 2050 para la Biodiversidad, la evaluación del impacto y la dependencia de las empresas en la biodiversidad y las contribuciones de la naturaleza a las personas, y la evaluación sobre el seguimiento de la biodiversidad y las contribuciones de la naturaleza a las personas, y preparar recomendaciones relativas a la aplicación del Convenio para su consideración por la Conferencia de las Partes en su 15ª Reunión.</w:t>
      </w:r>
    </w:p>
    <w:p w14:paraId="066427B0" w14:textId="77777777" w:rsidR="00155B1B" w:rsidRPr="00155B1B" w:rsidRDefault="00155B1B" w:rsidP="00155B1B">
      <w:pPr>
        <w:pStyle w:val="ListParagraph"/>
        <w:spacing w:after="0" w:line="240" w:lineRule="auto"/>
        <w:ind w:left="567" w:hanging="348"/>
        <w:jc w:val="both"/>
        <w:rPr>
          <w:rFonts w:eastAsia="Arial" w:cs="Arial"/>
          <w:i/>
          <w:iCs/>
          <w:sz w:val="20"/>
          <w:szCs w:val="20"/>
          <w:lang w:val="es-ES"/>
        </w:rPr>
      </w:pPr>
    </w:p>
    <w:p w14:paraId="4B533CB1" w14:textId="2373D32C" w:rsidR="00155B1B" w:rsidRPr="00155B1B" w:rsidRDefault="00155B1B" w:rsidP="00155B1B">
      <w:pPr>
        <w:pStyle w:val="ListParagraph"/>
        <w:spacing w:after="0" w:line="240" w:lineRule="auto"/>
        <w:jc w:val="both"/>
        <w:rPr>
          <w:rFonts w:eastAsia="Arial" w:cs="Arial"/>
          <w:b/>
          <w:bCs/>
          <w:i/>
          <w:iCs/>
          <w:sz w:val="20"/>
          <w:szCs w:val="20"/>
          <w:lang w:val="es-ES"/>
        </w:rPr>
      </w:pPr>
      <w:r w:rsidRPr="00155B1B">
        <w:rPr>
          <w:rFonts w:eastAsia="Arial" w:cs="Arial"/>
          <w:b/>
          <w:bCs/>
          <w:i/>
          <w:iCs/>
          <w:sz w:val="20"/>
          <w:szCs w:val="20"/>
          <w:lang w:val="es-ES"/>
        </w:rPr>
        <w:t xml:space="preserve">14.14 </w:t>
      </w:r>
      <w:r>
        <w:rPr>
          <w:rFonts w:eastAsia="Arial" w:cs="Arial"/>
          <w:b/>
          <w:bCs/>
          <w:i/>
          <w:iCs/>
          <w:sz w:val="20"/>
          <w:szCs w:val="20"/>
          <w:lang w:val="es-ES"/>
        </w:rPr>
        <w:t>d</w:t>
      </w:r>
      <w:r w:rsidRPr="00155B1B">
        <w:rPr>
          <w:rFonts w:eastAsia="Arial" w:cs="Arial"/>
          <w:b/>
          <w:bCs/>
          <w:i/>
          <w:iCs/>
          <w:sz w:val="20"/>
          <w:szCs w:val="20"/>
          <w:lang w:val="es-ES"/>
        </w:rPr>
        <w:t>irigida a la Secretaría:</w:t>
      </w:r>
    </w:p>
    <w:p w14:paraId="534C1D27" w14:textId="77777777" w:rsidR="00155B1B" w:rsidRPr="00155B1B" w:rsidRDefault="00155B1B" w:rsidP="00155B1B">
      <w:pPr>
        <w:pStyle w:val="ListParagraph"/>
        <w:spacing w:after="0" w:line="240" w:lineRule="auto"/>
        <w:jc w:val="both"/>
        <w:rPr>
          <w:rFonts w:eastAsia="Arial" w:cs="Arial"/>
          <w:i/>
          <w:iCs/>
          <w:sz w:val="20"/>
          <w:szCs w:val="20"/>
          <w:lang w:val="es-ES"/>
        </w:rPr>
      </w:pPr>
    </w:p>
    <w:bookmarkEnd w:id="1"/>
    <w:p w14:paraId="6B81F3C0" w14:textId="77777777" w:rsidR="00155B1B" w:rsidRPr="00155B1B" w:rsidRDefault="00155B1B" w:rsidP="00155B1B">
      <w:pPr>
        <w:spacing w:after="0" w:line="240" w:lineRule="auto"/>
        <w:ind w:left="720"/>
        <w:jc w:val="both"/>
        <w:rPr>
          <w:rFonts w:eastAsia="Arial" w:cs="Arial"/>
          <w:i/>
          <w:iCs/>
          <w:sz w:val="20"/>
          <w:szCs w:val="20"/>
          <w:lang w:val="es-ES"/>
        </w:rPr>
      </w:pPr>
      <w:r w:rsidRPr="00155B1B">
        <w:rPr>
          <w:rFonts w:eastAsia="Arial" w:cs="Arial"/>
          <w:i/>
          <w:iCs/>
          <w:sz w:val="20"/>
          <w:szCs w:val="20"/>
          <w:lang w:val="es-ES"/>
        </w:rPr>
        <w:t>Se solicita a la Secretaría que:</w:t>
      </w:r>
    </w:p>
    <w:p w14:paraId="7370F87E" w14:textId="77777777" w:rsidR="00155B1B" w:rsidRPr="00155B1B" w:rsidRDefault="00155B1B" w:rsidP="00155B1B">
      <w:pPr>
        <w:pStyle w:val="ListParagraph"/>
        <w:spacing w:after="0" w:line="240" w:lineRule="auto"/>
        <w:ind w:left="1080"/>
        <w:jc w:val="both"/>
        <w:rPr>
          <w:rFonts w:eastAsia="Arial" w:cs="Arial"/>
          <w:i/>
          <w:iCs/>
          <w:sz w:val="20"/>
          <w:szCs w:val="20"/>
          <w:lang w:val="es-ES"/>
        </w:rPr>
      </w:pPr>
    </w:p>
    <w:p w14:paraId="4FFA01C5" w14:textId="74946403" w:rsidR="00155B1B" w:rsidRPr="00155B1B" w:rsidRDefault="00155B1B" w:rsidP="00155B1B">
      <w:pPr>
        <w:pStyle w:val="ListParagraph"/>
        <w:numPr>
          <w:ilvl w:val="0"/>
          <w:numId w:val="14"/>
        </w:numPr>
        <w:spacing w:after="80" w:line="240" w:lineRule="auto"/>
        <w:contextualSpacing w:val="0"/>
        <w:jc w:val="both"/>
        <w:rPr>
          <w:rFonts w:eastAsia="Arial" w:cs="Arial"/>
          <w:i/>
          <w:iCs/>
          <w:sz w:val="20"/>
          <w:szCs w:val="20"/>
          <w:lang w:val="es-ES"/>
        </w:rPr>
      </w:pPr>
      <w:r w:rsidRPr="00155B1B">
        <w:rPr>
          <w:rFonts w:eastAsia="Arial" w:cs="Arial"/>
          <w:i/>
          <w:iCs/>
          <w:sz w:val="20"/>
          <w:szCs w:val="20"/>
          <w:lang w:val="es-ES"/>
        </w:rPr>
        <w:t>apoye al Consejo Científico para participar en los estudios pertinentes y otros procesos de las nuevas evaluaciones de la IPBES que se acordaron en la 10ª Sesión Plenaria de la IPBES incluida la evaluación de la planificación espacial integrada que incluya la biodiversidad y la conectividad ecológica y una segunda evaluación mundial de la biodiversidad y los servicios ecosistémicos;</w:t>
      </w:r>
    </w:p>
    <w:p w14:paraId="5ECB48A9" w14:textId="29B95775" w:rsidR="00155B1B" w:rsidRPr="00155B1B" w:rsidRDefault="00155B1B" w:rsidP="00155B1B">
      <w:pPr>
        <w:pStyle w:val="ListParagraph"/>
        <w:numPr>
          <w:ilvl w:val="0"/>
          <w:numId w:val="14"/>
        </w:numPr>
        <w:spacing w:after="80" w:line="240" w:lineRule="auto"/>
        <w:contextualSpacing w:val="0"/>
        <w:jc w:val="both"/>
        <w:rPr>
          <w:rFonts w:eastAsia="Arial" w:cs="Arial"/>
          <w:i/>
          <w:iCs/>
          <w:sz w:val="20"/>
          <w:szCs w:val="20"/>
          <w:lang w:val="es-ES"/>
        </w:rPr>
      </w:pPr>
      <w:r w:rsidRPr="00155B1B">
        <w:rPr>
          <w:rFonts w:eastAsia="Arial" w:cs="Arial"/>
          <w:i/>
          <w:iCs/>
          <w:sz w:val="20"/>
          <w:szCs w:val="20"/>
          <w:lang w:val="es-ES"/>
        </w:rPr>
        <w:t>se comprometa con la Secretaría de la IPBES a seguir cooperando en cuestiones de interés para las especies migratorias; y</w:t>
      </w:r>
    </w:p>
    <w:p w14:paraId="7FDEFD1E" w14:textId="2FB03101" w:rsidR="00155B1B" w:rsidRPr="00155B1B" w:rsidRDefault="00155B1B" w:rsidP="00155B1B">
      <w:pPr>
        <w:pStyle w:val="ListParagraph"/>
        <w:numPr>
          <w:ilvl w:val="0"/>
          <w:numId w:val="14"/>
        </w:numPr>
        <w:spacing w:after="0" w:line="240" w:lineRule="auto"/>
        <w:jc w:val="both"/>
        <w:rPr>
          <w:rFonts w:eastAsia="Arial" w:cs="Arial"/>
          <w:i/>
          <w:iCs/>
          <w:sz w:val="20"/>
          <w:szCs w:val="20"/>
          <w:lang w:val="es-ES"/>
        </w:rPr>
      </w:pPr>
      <w:r w:rsidRPr="00155B1B">
        <w:rPr>
          <w:rFonts w:eastAsia="Arial" w:cs="Arial"/>
          <w:i/>
          <w:iCs/>
          <w:sz w:val="20"/>
          <w:szCs w:val="20"/>
          <w:lang w:val="es-ES"/>
        </w:rPr>
        <w:t>informe al Comité Permanente en su 56ª y 57ª reuniones y a la Conferencia de las Partes en su 15a Reunión sobre el progreso en la aplicación de esta Decisión.</w:t>
      </w:r>
    </w:p>
    <w:p w14:paraId="28A158BE" w14:textId="77777777" w:rsidR="00155B1B" w:rsidRPr="00155B1B" w:rsidRDefault="00155B1B" w:rsidP="00155B1B">
      <w:pPr>
        <w:widowControl w:val="0"/>
        <w:autoSpaceDE w:val="0"/>
        <w:autoSpaceDN w:val="0"/>
        <w:adjustRightInd w:val="0"/>
        <w:spacing w:after="0" w:line="240" w:lineRule="auto"/>
        <w:jc w:val="both"/>
        <w:rPr>
          <w:rFonts w:cs="Arial"/>
          <w:u w:val="single"/>
          <w:lang w:val="es-ES"/>
        </w:rPr>
      </w:pPr>
    </w:p>
    <w:p w14:paraId="50D639C7" w14:textId="77777777" w:rsidR="00155B1B" w:rsidRPr="00910618" w:rsidRDefault="00155B1B" w:rsidP="00155B1B">
      <w:pPr>
        <w:widowControl w:val="0"/>
        <w:spacing w:after="0" w:line="240" w:lineRule="auto"/>
        <w:jc w:val="both"/>
        <w:rPr>
          <w:rFonts w:cs="Arial"/>
          <w:lang w:val="es-ES"/>
        </w:rPr>
      </w:pPr>
      <w:r w:rsidRPr="00910618">
        <w:rPr>
          <w:rFonts w:cs="Arial"/>
          <w:u w:val="single"/>
          <w:lang w:val="es-ES"/>
        </w:rPr>
        <w:t>Actividades pertinentes de la CMS para participar y reforzar la colaboración con la IPBES</w:t>
      </w:r>
    </w:p>
    <w:p w14:paraId="45736F71" w14:textId="77777777" w:rsidR="00155B1B" w:rsidRPr="00910618" w:rsidRDefault="00155B1B" w:rsidP="00155B1B">
      <w:pPr>
        <w:widowControl w:val="0"/>
        <w:autoSpaceDE w:val="0"/>
        <w:autoSpaceDN w:val="0"/>
        <w:adjustRightInd w:val="0"/>
        <w:spacing w:after="0" w:line="240" w:lineRule="auto"/>
        <w:jc w:val="both"/>
        <w:rPr>
          <w:rFonts w:cs="Arial"/>
          <w:lang w:val="es-ES"/>
        </w:rPr>
      </w:pPr>
    </w:p>
    <w:p w14:paraId="78872E52" w14:textId="77777777" w:rsidR="00155B1B" w:rsidRPr="00910618" w:rsidRDefault="00155B1B" w:rsidP="00155B1B">
      <w:pPr>
        <w:widowControl w:val="0"/>
        <w:numPr>
          <w:ilvl w:val="0"/>
          <w:numId w:val="13"/>
        </w:numPr>
        <w:spacing w:after="0" w:line="240" w:lineRule="auto"/>
        <w:ind w:left="567" w:hanging="567"/>
        <w:jc w:val="both"/>
        <w:rPr>
          <w:rFonts w:eastAsia="Calibri" w:cs="Arial"/>
          <w:color w:val="000000" w:themeColor="text1"/>
          <w:lang w:val="es-ES"/>
        </w:rPr>
      </w:pPr>
      <w:r w:rsidRPr="00910618">
        <w:rPr>
          <w:rFonts w:eastAsia="Calibri" w:cs="Arial"/>
          <w:color w:val="000000" w:themeColor="text1"/>
          <w:lang w:val="es-ES"/>
        </w:rPr>
        <w:t>El presidente del Consejo Científico de la CMS (</w:t>
      </w:r>
      <w:proofErr w:type="spellStart"/>
      <w:r w:rsidRPr="00910618">
        <w:rPr>
          <w:rFonts w:eastAsia="Calibri" w:cs="Arial"/>
          <w:color w:val="000000" w:themeColor="text1"/>
          <w:lang w:val="es-ES"/>
        </w:rPr>
        <w:t>ScC</w:t>
      </w:r>
      <w:proofErr w:type="spellEnd"/>
      <w:r w:rsidRPr="00910618">
        <w:rPr>
          <w:rFonts w:eastAsia="Calibri" w:cs="Arial"/>
          <w:color w:val="000000" w:themeColor="text1"/>
          <w:lang w:val="es-ES"/>
        </w:rPr>
        <w:t xml:space="preserve">) es observador permanente en el Grupo Multidisciplinario de Expertos (MEP, por sus siglas en inglés) de la IPBES y es invitado a todas sus reuniones. El objetivo principal de invitar a observadores es poner de relieve los ámbitos de trabajo sinérgico en curso. Cuando el presidente del </w:t>
      </w:r>
      <w:proofErr w:type="spellStart"/>
      <w:r w:rsidRPr="00910618">
        <w:rPr>
          <w:rFonts w:eastAsia="Calibri" w:cs="Arial"/>
          <w:color w:val="000000" w:themeColor="text1"/>
          <w:lang w:val="es-ES"/>
        </w:rPr>
        <w:t>ScC</w:t>
      </w:r>
      <w:proofErr w:type="spellEnd"/>
      <w:r w:rsidRPr="00910618">
        <w:rPr>
          <w:rFonts w:eastAsia="Calibri" w:cs="Arial"/>
          <w:color w:val="000000" w:themeColor="text1"/>
          <w:lang w:val="es-ES"/>
        </w:rPr>
        <w:t xml:space="preserve"> no puede asistir, la Secretaría de la CMS ocupa su lugar. Desde la COP14, se han celebrado tres reuniones del MEP y de la Mesa de la IPBES, en dos de las cuales participó el presidente del </w:t>
      </w:r>
      <w:proofErr w:type="spellStart"/>
      <w:r w:rsidRPr="00910618">
        <w:rPr>
          <w:rFonts w:eastAsia="Calibri" w:cs="Arial"/>
          <w:color w:val="000000" w:themeColor="text1"/>
          <w:lang w:val="es-ES"/>
        </w:rPr>
        <w:t>ScC</w:t>
      </w:r>
      <w:proofErr w:type="spellEnd"/>
      <w:r w:rsidRPr="00910618">
        <w:rPr>
          <w:rFonts w:eastAsia="Calibri" w:cs="Arial"/>
          <w:color w:val="000000" w:themeColor="text1"/>
          <w:lang w:val="es-ES"/>
        </w:rPr>
        <w:t xml:space="preserve">, mientras que en una la Secretaría asistió en su nombre para informar al MEP sobre los avances pertinentes de la CMS. </w:t>
      </w:r>
    </w:p>
    <w:p w14:paraId="7508EBAF" w14:textId="77777777" w:rsidR="00155B1B" w:rsidRPr="00910618" w:rsidRDefault="00155B1B" w:rsidP="00155B1B">
      <w:pPr>
        <w:widowControl w:val="0"/>
        <w:spacing w:after="0" w:line="240" w:lineRule="auto"/>
        <w:ind w:left="567"/>
        <w:jc w:val="both"/>
        <w:rPr>
          <w:rFonts w:eastAsia="Calibri" w:cs="Arial"/>
          <w:color w:val="000000" w:themeColor="text1"/>
          <w:lang w:val="es-ES"/>
        </w:rPr>
      </w:pPr>
    </w:p>
    <w:p w14:paraId="724687FD" w14:textId="77777777" w:rsidR="00155B1B" w:rsidRPr="00910618" w:rsidRDefault="00155B1B" w:rsidP="00155B1B">
      <w:pPr>
        <w:widowControl w:val="0"/>
        <w:spacing w:after="0" w:line="240" w:lineRule="auto"/>
        <w:jc w:val="both"/>
        <w:rPr>
          <w:rFonts w:eastAsia="Calibri" w:cs="Arial"/>
          <w:color w:val="000000" w:themeColor="text1"/>
          <w:u w:val="single"/>
          <w:lang w:val="es-ES"/>
        </w:rPr>
      </w:pPr>
      <w:r w:rsidRPr="00910618">
        <w:rPr>
          <w:rFonts w:eastAsia="Calibri" w:cs="Arial"/>
          <w:color w:val="000000" w:themeColor="text1"/>
          <w:u w:val="single"/>
          <w:lang w:val="es-ES"/>
        </w:rPr>
        <w:t>Aplicación de la Decisión 14.12</w:t>
      </w:r>
    </w:p>
    <w:p w14:paraId="16DBF903" w14:textId="77777777" w:rsidR="00155B1B" w:rsidRPr="00910618" w:rsidRDefault="00155B1B" w:rsidP="00155B1B">
      <w:pPr>
        <w:spacing w:after="0" w:line="240" w:lineRule="auto"/>
        <w:ind w:left="360"/>
        <w:jc w:val="both"/>
        <w:rPr>
          <w:rFonts w:eastAsia="Calibri" w:cs="Arial"/>
          <w:color w:val="000000" w:themeColor="text1"/>
          <w:lang w:val="es-ES"/>
        </w:rPr>
      </w:pPr>
    </w:p>
    <w:p w14:paraId="0FECA48F" w14:textId="77777777" w:rsidR="00155B1B" w:rsidRPr="00910618" w:rsidRDefault="00155B1B" w:rsidP="00155B1B">
      <w:pPr>
        <w:widowControl w:val="0"/>
        <w:numPr>
          <w:ilvl w:val="0"/>
          <w:numId w:val="13"/>
        </w:numPr>
        <w:autoSpaceDE w:val="0"/>
        <w:autoSpaceDN w:val="0"/>
        <w:adjustRightInd w:val="0"/>
        <w:spacing w:after="0" w:line="240" w:lineRule="auto"/>
        <w:ind w:left="567" w:hanging="567"/>
        <w:jc w:val="both"/>
        <w:rPr>
          <w:rFonts w:cs="Arial"/>
          <w:color w:val="0000FF"/>
          <w:lang w:val="es-ES"/>
        </w:rPr>
      </w:pPr>
      <w:r w:rsidRPr="00910618">
        <w:rPr>
          <w:rFonts w:eastAsia="Arial" w:cs="Arial"/>
          <w:lang w:val="es-ES"/>
        </w:rPr>
        <w:t>En la 7.a reunión del Comité del Período de Sesiones del Consejo Científico (ScC-SC7, 2024) se señalaron oportunidades para reforzar las sinergias entre la CMS y la IPBES. La reunión acogió con beneplácito la aprobación, por parte del Plenario de la IPBES en 2023, de la evaluación rápida sobre ordenación territorial inclusiva de la biodiversidad y conectividad ecológica (</w:t>
      </w:r>
      <w:proofErr w:type="spellStart"/>
      <w:r w:rsidRPr="00910618">
        <w:fldChar w:fldCharType="begin"/>
      </w:r>
      <w:r w:rsidRPr="0066134D">
        <w:rPr>
          <w:lang w:val="es-ES"/>
        </w:rPr>
        <w:instrText>HYPERLINK "https://www.ipbes.net/es/node/71091"</w:instrText>
      </w:r>
      <w:r w:rsidRPr="00910618">
        <w:fldChar w:fldCharType="separate"/>
      </w:r>
      <w:r w:rsidRPr="00155B1B">
        <w:rPr>
          <w:rStyle w:val="Hyperlink"/>
          <w:rFonts w:eastAsia="Arial" w:cs="Arial"/>
          <w:lang w:val="es-ES"/>
        </w:rPr>
        <w:t>spatial</w:t>
      </w:r>
      <w:proofErr w:type="spellEnd"/>
      <w:r w:rsidRPr="00155B1B">
        <w:rPr>
          <w:rStyle w:val="Hyperlink"/>
          <w:rFonts w:eastAsia="Arial" w:cs="Arial"/>
          <w:lang w:val="es-ES"/>
        </w:rPr>
        <w:t xml:space="preserve"> </w:t>
      </w:r>
      <w:proofErr w:type="spellStart"/>
      <w:r w:rsidRPr="00155B1B">
        <w:rPr>
          <w:rStyle w:val="Hyperlink"/>
          <w:rFonts w:eastAsia="Arial" w:cs="Arial"/>
          <w:lang w:val="es-ES"/>
        </w:rPr>
        <w:t>planning</w:t>
      </w:r>
      <w:proofErr w:type="spellEnd"/>
      <w:r w:rsidRPr="00155B1B">
        <w:rPr>
          <w:rStyle w:val="Hyperlink"/>
          <w:rFonts w:eastAsia="Arial" w:cs="Arial"/>
          <w:lang w:val="es-ES"/>
        </w:rPr>
        <w:t xml:space="preserve"> and </w:t>
      </w:r>
      <w:proofErr w:type="spellStart"/>
      <w:r w:rsidRPr="00155B1B">
        <w:rPr>
          <w:rStyle w:val="Hyperlink"/>
          <w:rFonts w:eastAsia="Arial" w:cs="Arial"/>
          <w:lang w:val="es-ES"/>
        </w:rPr>
        <w:t>connectivity</w:t>
      </w:r>
      <w:proofErr w:type="spellEnd"/>
      <w:r w:rsidRPr="00155B1B">
        <w:rPr>
          <w:rStyle w:val="Hyperlink"/>
          <w:rFonts w:eastAsia="Arial" w:cs="Arial"/>
          <w:lang w:val="es-ES"/>
        </w:rPr>
        <w:t xml:space="preserve"> </w:t>
      </w:r>
      <w:proofErr w:type="spellStart"/>
      <w:r w:rsidRPr="00155B1B">
        <w:rPr>
          <w:rStyle w:val="Hyperlink"/>
          <w:rFonts w:eastAsia="Arial" w:cs="Arial"/>
          <w:lang w:val="es-ES"/>
        </w:rPr>
        <w:t>assessment</w:t>
      </w:r>
      <w:proofErr w:type="spellEnd"/>
      <w:r w:rsidRPr="00910618">
        <w:fldChar w:fldCharType="end"/>
      </w:r>
      <w:r w:rsidRPr="00910618">
        <w:rPr>
          <w:rFonts w:eastAsia="Arial" w:cs="Arial"/>
          <w:lang w:val="es-ES"/>
        </w:rPr>
        <w:t xml:space="preserve">). </w:t>
      </w:r>
    </w:p>
    <w:p w14:paraId="0471CBD5" w14:textId="77777777" w:rsidR="00155B1B" w:rsidRPr="00910618" w:rsidRDefault="00155B1B" w:rsidP="00155B1B">
      <w:pPr>
        <w:pStyle w:val="ListParagraph"/>
        <w:spacing w:after="0"/>
        <w:rPr>
          <w:rFonts w:eastAsia="Arial" w:cs="Arial"/>
          <w:lang w:val="es-ES"/>
        </w:rPr>
      </w:pPr>
    </w:p>
    <w:p w14:paraId="1CA5619B" w14:textId="77777777" w:rsidR="00155B1B" w:rsidRPr="00910618" w:rsidRDefault="00155B1B" w:rsidP="00155B1B">
      <w:pPr>
        <w:widowControl w:val="0"/>
        <w:numPr>
          <w:ilvl w:val="0"/>
          <w:numId w:val="13"/>
        </w:numPr>
        <w:autoSpaceDE w:val="0"/>
        <w:autoSpaceDN w:val="0"/>
        <w:adjustRightInd w:val="0"/>
        <w:spacing w:after="0" w:line="240" w:lineRule="auto"/>
        <w:ind w:left="567" w:hanging="567"/>
        <w:jc w:val="both"/>
        <w:rPr>
          <w:rFonts w:cs="Arial"/>
          <w:lang w:val="es-ES"/>
        </w:rPr>
      </w:pPr>
      <w:r w:rsidRPr="00910618">
        <w:rPr>
          <w:rFonts w:eastAsia="Arial" w:cs="Arial"/>
          <w:lang w:val="es-ES"/>
        </w:rPr>
        <w:t xml:space="preserve">A través de las Notificaciones </w:t>
      </w:r>
      <w:hyperlink r:id="rId12">
        <w:r w:rsidRPr="00155B1B">
          <w:rPr>
            <w:rStyle w:val="Hyperlink"/>
            <w:rFonts w:eastAsia="Arial" w:cs="Arial"/>
            <w:lang w:val="es-ES"/>
          </w:rPr>
          <w:t>2024/019</w:t>
        </w:r>
      </w:hyperlink>
      <w:r w:rsidRPr="00910618">
        <w:rPr>
          <w:rFonts w:eastAsia="Arial" w:cs="Arial"/>
          <w:lang w:val="es-ES"/>
        </w:rPr>
        <w:t xml:space="preserve"> y </w:t>
      </w:r>
      <w:hyperlink r:id="rId13">
        <w:r w:rsidRPr="00155B1B">
          <w:rPr>
            <w:rStyle w:val="Hyperlink"/>
            <w:rFonts w:eastAsia="Arial" w:cs="Arial"/>
            <w:lang w:val="es-ES"/>
          </w:rPr>
          <w:t>2024/023</w:t>
        </w:r>
      </w:hyperlink>
      <w:r w:rsidRPr="00910618">
        <w:rPr>
          <w:rFonts w:eastAsia="Arial" w:cs="Arial"/>
          <w:lang w:val="es-ES"/>
        </w:rPr>
        <w:t xml:space="preserve">, la Secretaría puso en conocimiento de las Partes las convocatorias correspondientes para albergar al Grupo de Apoyo Técnico y nominar expertos. Se alentó a los miembros del </w:t>
      </w:r>
      <w:proofErr w:type="spellStart"/>
      <w:r w:rsidRPr="00910618">
        <w:rPr>
          <w:rFonts w:eastAsia="Arial" w:cs="Arial"/>
          <w:lang w:val="es-ES"/>
        </w:rPr>
        <w:t>ScC</w:t>
      </w:r>
      <w:proofErr w:type="spellEnd"/>
      <w:r w:rsidRPr="00910618">
        <w:rPr>
          <w:rFonts w:eastAsia="Arial" w:cs="Arial"/>
          <w:lang w:val="es-ES"/>
        </w:rPr>
        <w:t xml:space="preserve"> a participar en la evaluación y en los procesos conexos.</w:t>
      </w:r>
    </w:p>
    <w:p w14:paraId="0F9E25C4" w14:textId="77777777" w:rsidR="00155B1B" w:rsidRPr="00910618" w:rsidRDefault="00155B1B" w:rsidP="00155B1B">
      <w:pPr>
        <w:widowControl w:val="0"/>
        <w:autoSpaceDE w:val="0"/>
        <w:autoSpaceDN w:val="0"/>
        <w:adjustRightInd w:val="0"/>
        <w:spacing w:after="0" w:line="240" w:lineRule="auto"/>
        <w:ind w:left="567"/>
        <w:jc w:val="both"/>
        <w:rPr>
          <w:rFonts w:cs="Arial"/>
          <w:lang w:val="es-ES"/>
        </w:rPr>
      </w:pPr>
    </w:p>
    <w:p w14:paraId="411B9B5B" w14:textId="77777777" w:rsidR="00155B1B" w:rsidRPr="00910618" w:rsidRDefault="00155B1B" w:rsidP="00155B1B">
      <w:pPr>
        <w:spacing w:after="0" w:line="240" w:lineRule="auto"/>
        <w:jc w:val="both"/>
        <w:rPr>
          <w:rFonts w:cs="Arial"/>
          <w:u w:val="single"/>
          <w:lang w:val="es-ES"/>
        </w:rPr>
      </w:pPr>
      <w:r w:rsidRPr="00910618">
        <w:rPr>
          <w:rFonts w:cs="Arial"/>
          <w:u w:val="single"/>
          <w:lang w:val="es-ES"/>
        </w:rPr>
        <w:t>Aplicación de la Decisión 14.13</w:t>
      </w:r>
    </w:p>
    <w:p w14:paraId="5B23D304" w14:textId="77777777" w:rsidR="00155B1B" w:rsidRPr="00910618" w:rsidRDefault="00155B1B" w:rsidP="00155B1B">
      <w:pPr>
        <w:spacing w:after="0" w:line="240" w:lineRule="auto"/>
        <w:jc w:val="both"/>
        <w:rPr>
          <w:rFonts w:cs="Arial"/>
          <w:lang w:val="es-ES"/>
        </w:rPr>
      </w:pPr>
    </w:p>
    <w:p w14:paraId="08631BF2" w14:textId="77777777" w:rsidR="00155B1B" w:rsidRPr="00910618" w:rsidRDefault="00155B1B" w:rsidP="00155B1B">
      <w:pPr>
        <w:pStyle w:val="ListParagraph"/>
        <w:numPr>
          <w:ilvl w:val="0"/>
          <w:numId w:val="13"/>
        </w:numPr>
        <w:spacing w:after="0"/>
        <w:ind w:left="567" w:hanging="567"/>
        <w:jc w:val="both"/>
        <w:rPr>
          <w:rFonts w:cs="Arial"/>
          <w:color w:val="000000" w:themeColor="text1"/>
          <w:lang w:val="es-ES"/>
        </w:rPr>
      </w:pPr>
      <w:r w:rsidRPr="00910618">
        <w:rPr>
          <w:rFonts w:eastAsia="Arial" w:cs="Arial"/>
          <w:lang w:val="es-ES"/>
        </w:rPr>
        <w:t xml:space="preserve">Debido a la falta de recursos, esta Decisión aún no se ha aplicado. </w:t>
      </w:r>
      <w:r w:rsidRPr="00910618">
        <w:rPr>
          <w:rFonts w:eastAsia="Arial" w:cs="Arial"/>
          <w:color w:val="000000" w:themeColor="text1"/>
          <w:lang w:val="es-ES"/>
        </w:rPr>
        <w:t xml:space="preserve">Por tanto, se propone que las actividades previstas en la Decisión se lleven a cabo durante el período entre sesiones posterior a la COP15. </w:t>
      </w:r>
    </w:p>
    <w:p w14:paraId="5D33BE12" w14:textId="77777777" w:rsidR="00155B1B" w:rsidRPr="00910618" w:rsidRDefault="00155B1B" w:rsidP="00155B1B">
      <w:pPr>
        <w:pStyle w:val="ListParagraph"/>
        <w:spacing w:after="0"/>
        <w:ind w:left="567"/>
        <w:rPr>
          <w:rFonts w:cs="Arial"/>
          <w:color w:val="000000" w:themeColor="text1"/>
          <w:lang w:val="es-ES"/>
        </w:rPr>
      </w:pPr>
    </w:p>
    <w:p w14:paraId="250FAA5B" w14:textId="77777777" w:rsidR="00155B1B" w:rsidRPr="00910618" w:rsidRDefault="00155B1B" w:rsidP="00155B1B">
      <w:pPr>
        <w:spacing w:after="0" w:line="240" w:lineRule="auto"/>
        <w:jc w:val="both"/>
        <w:rPr>
          <w:rFonts w:cs="Arial"/>
          <w:u w:val="single"/>
          <w:lang w:val="es-ES"/>
        </w:rPr>
      </w:pPr>
      <w:r w:rsidRPr="00910618">
        <w:rPr>
          <w:rFonts w:cs="Arial"/>
          <w:u w:val="single"/>
          <w:lang w:val="es-ES"/>
        </w:rPr>
        <w:t>Debate y análisis</w:t>
      </w:r>
    </w:p>
    <w:p w14:paraId="65073B86" w14:textId="77777777" w:rsidR="00155B1B" w:rsidRPr="00910618" w:rsidRDefault="00155B1B" w:rsidP="00155B1B">
      <w:pPr>
        <w:spacing w:after="0" w:line="240" w:lineRule="auto"/>
        <w:jc w:val="both"/>
        <w:rPr>
          <w:rFonts w:cs="Arial"/>
          <w:lang w:val="es-ES"/>
        </w:rPr>
      </w:pPr>
    </w:p>
    <w:p w14:paraId="6183750B" w14:textId="77777777" w:rsidR="00155B1B" w:rsidRPr="00910618" w:rsidRDefault="00155B1B" w:rsidP="00155B1B">
      <w:pPr>
        <w:widowControl w:val="0"/>
        <w:numPr>
          <w:ilvl w:val="0"/>
          <w:numId w:val="13"/>
        </w:numPr>
        <w:spacing w:after="0" w:line="240" w:lineRule="auto"/>
        <w:ind w:left="567" w:hanging="567"/>
        <w:jc w:val="both"/>
        <w:rPr>
          <w:rFonts w:cs="Arial"/>
          <w:lang w:val="es-ES"/>
        </w:rPr>
      </w:pPr>
      <w:r w:rsidRPr="00910618">
        <w:rPr>
          <w:rFonts w:eastAsia="Arial" w:cs="Arial"/>
          <w:lang w:val="es-ES"/>
        </w:rPr>
        <w:t xml:space="preserve">En el contexto del Plan Estratégico de Samarcanda para las Especies Migratorias 2024-2032, y en apoyo de una toma de decisiones basada en el conocimiento, el fortalecimiento de la cooperación entre la CMS y la IPBES, se ofrece una ocasión oportuna y estratégica para reforzar el intercambio ciencia–política en la conservación de las especies migratorias. </w:t>
      </w:r>
    </w:p>
    <w:p w14:paraId="0B2E2062" w14:textId="77777777" w:rsidR="00155B1B" w:rsidRPr="00910618" w:rsidRDefault="00155B1B" w:rsidP="00155B1B">
      <w:pPr>
        <w:widowControl w:val="0"/>
        <w:spacing w:after="0" w:line="240" w:lineRule="auto"/>
        <w:ind w:left="567"/>
        <w:jc w:val="both"/>
        <w:rPr>
          <w:rFonts w:cs="Arial"/>
          <w:lang w:val="es-ES"/>
        </w:rPr>
      </w:pPr>
    </w:p>
    <w:p w14:paraId="039D0CF9" w14:textId="77777777" w:rsidR="00155B1B" w:rsidRPr="00910618" w:rsidRDefault="00155B1B" w:rsidP="00155B1B">
      <w:pPr>
        <w:widowControl w:val="0"/>
        <w:numPr>
          <w:ilvl w:val="0"/>
          <w:numId w:val="13"/>
        </w:numPr>
        <w:spacing w:after="0" w:line="240" w:lineRule="auto"/>
        <w:ind w:left="567" w:hanging="567"/>
        <w:jc w:val="both"/>
        <w:rPr>
          <w:rFonts w:cs="Arial"/>
          <w:lang w:val="es-ES"/>
        </w:rPr>
      </w:pPr>
      <w:r w:rsidRPr="00910618">
        <w:rPr>
          <w:rFonts w:cs="Arial"/>
          <w:lang w:val="es-ES"/>
        </w:rPr>
        <w:t xml:space="preserve">El proyecto de Decisión </w:t>
      </w:r>
      <w:proofErr w:type="gramStart"/>
      <w:r w:rsidRPr="00910618">
        <w:rPr>
          <w:rFonts w:cs="Arial"/>
          <w:lang w:val="es-ES"/>
        </w:rPr>
        <w:t>15.AAa</w:t>
      </w:r>
      <w:proofErr w:type="gramEnd"/>
      <w:r w:rsidRPr="00910618">
        <w:rPr>
          <w:rFonts w:cs="Arial"/>
          <w:lang w:val="es-ES"/>
        </w:rPr>
        <w:t xml:space="preserve">) otorga al Consejo Científico el mandato de seguir participando en los procesos de definición del alcance y revisión pertinentes de la IPBES, a fin de garantizar que las prioridades de la CMS se tengan en cuenta en las evaluaciones acordadas por la IPBES-10 y la IPBES-11. </w:t>
      </w:r>
    </w:p>
    <w:p w14:paraId="3B0756DE" w14:textId="77777777" w:rsidR="00155B1B" w:rsidRPr="00910618" w:rsidRDefault="00155B1B" w:rsidP="00155B1B">
      <w:pPr>
        <w:pStyle w:val="ListParagraph"/>
        <w:spacing w:after="0"/>
        <w:rPr>
          <w:rFonts w:cs="Arial"/>
          <w:lang w:val="es-ES"/>
        </w:rPr>
      </w:pPr>
    </w:p>
    <w:p w14:paraId="239C5526" w14:textId="77777777" w:rsidR="00155B1B" w:rsidRPr="00910618" w:rsidRDefault="00155B1B" w:rsidP="00155B1B">
      <w:pPr>
        <w:pStyle w:val="ListParagraph"/>
        <w:widowControl w:val="0"/>
        <w:numPr>
          <w:ilvl w:val="0"/>
          <w:numId w:val="13"/>
        </w:numPr>
        <w:spacing w:after="0" w:line="240" w:lineRule="auto"/>
        <w:ind w:left="567" w:hanging="567"/>
        <w:jc w:val="both"/>
        <w:rPr>
          <w:rFonts w:cs="Arial"/>
          <w:lang w:val="es-ES"/>
        </w:rPr>
      </w:pPr>
      <w:r w:rsidRPr="00910618">
        <w:rPr>
          <w:rFonts w:cs="Arial"/>
          <w:lang w:val="es-ES"/>
        </w:rPr>
        <w:t xml:space="preserve">El proyecto de Decisión </w:t>
      </w:r>
      <w:proofErr w:type="gramStart"/>
      <w:r w:rsidRPr="00910618">
        <w:rPr>
          <w:rFonts w:cs="Arial"/>
          <w:lang w:val="es-ES"/>
        </w:rPr>
        <w:t>15.AAb</w:t>
      </w:r>
      <w:proofErr w:type="gramEnd"/>
      <w:r w:rsidRPr="00910618">
        <w:rPr>
          <w:rFonts w:cs="Arial"/>
          <w:lang w:val="es-ES"/>
        </w:rPr>
        <w:t>) propone que el Consejo Científico examine determinadas evaluaciones de la IPBES y formule recomendaciones a la COP16 sobre su pertinencia para la aplicación de la Convención.</w:t>
      </w:r>
    </w:p>
    <w:p w14:paraId="3F7B45C2" w14:textId="77777777" w:rsidR="00155B1B" w:rsidRPr="00910618" w:rsidRDefault="00155B1B" w:rsidP="00155B1B">
      <w:pPr>
        <w:pStyle w:val="ListParagraph"/>
        <w:spacing w:after="0"/>
        <w:rPr>
          <w:rFonts w:cs="Arial"/>
          <w:lang w:val="es-ES"/>
        </w:rPr>
      </w:pPr>
    </w:p>
    <w:p w14:paraId="772FEABB" w14:textId="77777777" w:rsidR="00155B1B" w:rsidRPr="00910618" w:rsidRDefault="00155B1B" w:rsidP="00155B1B">
      <w:pPr>
        <w:widowControl w:val="0"/>
        <w:numPr>
          <w:ilvl w:val="0"/>
          <w:numId w:val="13"/>
        </w:numPr>
        <w:spacing w:after="0" w:line="240" w:lineRule="auto"/>
        <w:ind w:left="567" w:hanging="567"/>
        <w:jc w:val="both"/>
        <w:rPr>
          <w:rFonts w:cs="Arial"/>
          <w:lang w:val="es-ES"/>
        </w:rPr>
      </w:pPr>
      <w:r w:rsidRPr="00910618">
        <w:rPr>
          <w:rFonts w:cs="Arial"/>
          <w:lang w:val="es-ES"/>
        </w:rPr>
        <w:t xml:space="preserve">Durante el próximo trienio deberá prestarse especial atención a la </w:t>
      </w:r>
      <w:hyperlink r:id="rId14" w:history="1">
        <w:proofErr w:type="spellStart"/>
        <w:r w:rsidRPr="00155B1B">
          <w:rPr>
            <w:rStyle w:val="Hyperlink"/>
            <w:rFonts w:eastAsia="Calibri" w:cs="Arial"/>
            <w:lang w:val="es-ES"/>
          </w:rPr>
          <w:t>spatial</w:t>
        </w:r>
        <w:proofErr w:type="spellEnd"/>
        <w:r w:rsidRPr="00155B1B">
          <w:rPr>
            <w:rStyle w:val="Hyperlink"/>
            <w:rFonts w:eastAsia="Calibri" w:cs="Arial"/>
            <w:lang w:val="es-ES"/>
          </w:rPr>
          <w:t xml:space="preserve"> </w:t>
        </w:r>
        <w:proofErr w:type="spellStart"/>
        <w:r w:rsidRPr="00155B1B">
          <w:rPr>
            <w:rStyle w:val="Hyperlink"/>
            <w:rFonts w:eastAsia="Calibri" w:cs="Arial"/>
            <w:lang w:val="es-ES"/>
          </w:rPr>
          <w:t>planning</w:t>
        </w:r>
        <w:proofErr w:type="spellEnd"/>
        <w:r w:rsidRPr="00155B1B">
          <w:rPr>
            <w:rStyle w:val="Hyperlink"/>
            <w:rFonts w:eastAsia="Calibri" w:cs="Arial"/>
            <w:lang w:val="es-ES"/>
          </w:rPr>
          <w:t xml:space="preserve"> and </w:t>
        </w:r>
        <w:proofErr w:type="spellStart"/>
        <w:r w:rsidRPr="00155B1B">
          <w:rPr>
            <w:rStyle w:val="Hyperlink"/>
            <w:rFonts w:eastAsia="Calibri" w:cs="Arial"/>
            <w:lang w:val="es-ES"/>
          </w:rPr>
          <w:t>connectivity</w:t>
        </w:r>
        <w:proofErr w:type="spellEnd"/>
        <w:r w:rsidRPr="00155B1B">
          <w:rPr>
            <w:rStyle w:val="Hyperlink"/>
            <w:rFonts w:eastAsia="Calibri" w:cs="Arial"/>
            <w:lang w:val="es-ES"/>
          </w:rPr>
          <w:t xml:space="preserve"> </w:t>
        </w:r>
        <w:proofErr w:type="spellStart"/>
        <w:r w:rsidRPr="00155B1B">
          <w:rPr>
            <w:rStyle w:val="Hyperlink"/>
            <w:rFonts w:eastAsia="Calibri" w:cs="Arial"/>
            <w:lang w:val="es-ES"/>
          </w:rPr>
          <w:t>assessment</w:t>
        </w:r>
        <w:proofErr w:type="spellEnd"/>
      </w:hyperlink>
      <w:r w:rsidRPr="00910618">
        <w:rPr>
          <w:rFonts w:cs="Arial"/>
          <w:lang w:val="es-ES"/>
        </w:rPr>
        <w:t xml:space="preserve">, y a la </w:t>
      </w:r>
      <w:hyperlink r:id="rId15" w:history="1">
        <w:proofErr w:type="spellStart"/>
        <w:r w:rsidRPr="00155B1B">
          <w:rPr>
            <w:rStyle w:val="Hyperlink"/>
            <w:rFonts w:cs="Arial"/>
            <w:lang w:val="es-ES"/>
          </w:rPr>
          <w:t>second</w:t>
        </w:r>
        <w:proofErr w:type="spellEnd"/>
        <w:r w:rsidRPr="00155B1B">
          <w:rPr>
            <w:rStyle w:val="Hyperlink"/>
            <w:rFonts w:cs="Arial"/>
            <w:lang w:val="es-ES"/>
          </w:rPr>
          <w:t xml:space="preserve"> global </w:t>
        </w:r>
        <w:proofErr w:type="spellStart"/>
        <w:r w:rsidRPr="00155B1B">
          <w:rPr>
            <w:rStyle w:val="Hyperlink"/>
            <w:rFonts w:cs="Arial"/>
            <w:lang w:val="es-ES"/>
          </w:rPr>
          <w:t>assessment</w:t>
        </w:r>
        <w:proofErr w:type="spellEnd"/>
        <w:r w:rsidRPr="00155B1B">
          <w:rPr>
            <w:rStyle w:val="Hyperlink"/>
            <w:rFonts w:cs="Arial"/>
            <w:lang w:val="es-ES"/>
          </w:rPr>
          <w:t xml:space="preserve"> of </w:t>
        </w:r>
        <w:proofErr w:type="spellStart"/>
        <w:r w:rsidRPr="00155B1B">
          <w:rPr>
            <w:rStyle w:val="Hyperlink"/>
            <w:rFonts w:cs="Arial"/>
            <w:lang w:val="es-ES"/>
          </w:rPr>
          <w:t>biodiversity</w:t>
        </w:r>
        <w:proofErr w:type="spellEnd"/>
        <w:r w:rsidRPr="00155B1B">
          <w:rPr>
            <w:rStyle w:val="Hyperlink"/>
            <w:rFonts w:cs="Arial"/>
            <w:lang w:val="es-ES"/>
          </w:rPr>
          <w:t xml:space="preserve"> and </w:t>
        </w:r>
        <w:proofErr w:type="spellStart"/>
        <w:r w:rsidRPr="00155B1B">
          <w:rPr>
            <w:rStyle w:val="Hyperlink"/>
            <w:rFonts w:cs="Arial"/>
            <w:lang w:val="es-ES"/>
          </w:rPr>
          <w:t>ecosystem</w:t>
        </w:r>
        <w:proofErr w:type="spellEnd"/>
        <w:r w:rsidRPr="00155B1B">
          <w:rPr>
            <w:rStyle w:val="Hyperlink"/>
            <w:rFonts w:cs="Arial"/>
            <w:lang w:val="es-ES"/>
          </w:rPr>
          <w:t xml:space="preserve"> </w:t>
        </w:r>
        <w:proofErr w:type="spellStart"/>
        <w:r w:rsidRPr="00155B1B">
          <w:rPr>
            <w:rStyle w:val="Hyperlink"/>
            <w:rFonts w:cs="Arial"/>
            <w:lang w:val="es-ES"/>
          </w:rPr>
          <w:t>services</w:t>
        </w:r>
        <w:proofErr w:type="spellEnd"/>
      </w:hyperlink>
      <w:r w:rsidRPr="00910618">
        <w:rPr>
          <w:rFonts w:cs="Arial"/>
          <w:lang w:val="es-ES"/>
        </w:rPr>
        <w:t xml:space="preserve"> (segunda evaluación mundial de la biodiversidad y los servicios de los ecosistemas), ambas pertinentes para las prioridades de la CMS:</w:t>
      </w:r>
    </w:p>
    <w:p w14:paraId="044CFE2D" w14:textId="77777777" w:rsidR="00155B1B" w:rsidRPr="00910618" w:rsidRDefault="00155B1B" w:rsidP="00155B1B">
      <w:pPr>
        <w:pStyle w:val="ListParagraph"/>
        <w:spacing w:after="0"/>
        <w:rPr>
          <w:rFonts w:cs="Arial"/>
          <w:lang w:val="es-ES"/>
        </w:rPr>
      </w:pPr>
    </w:p>
    <w:p w14:paraId="18BFA9BD" w14:textId="77777777" w:rsidR="00155B1B" w:rsidRPr="00910618" w:rsidRDefault="00155B1B" w:rsidP="00155B1B">
      <w:pPr>
        <w:widowControl w:val="0"/>
        <w:numPr>
          <w:ilvl w:val="1"/>
          <w:numId w:val="13"/>
        </w:numPr>
        <w:spacing w:after="80" w:line="240" w:lineRule="auto"/>
        <w:ind w:left="1094" w:hanging="547"/>
        <w:jc w:val="both"/>
        <w:rPr>
          <w:rFonts w:cs="Arial"/>
          <w:lang w:val="es-ES"/>
        </w:rPr>
      </w:pPr>
      <w:r w:rsidRPr="00910618">
        <w:rPr>
          <w:rFonts w:cs="Arial"/>
          <w:lang w:val="es-ES"/>
        </w:rPr>
        <w:t xml:space="preserve">La «evaluación sobre ordenación territorial y conectividad» se prevé concluir en 2027 y será examinada posteriormente en la 14.a sesión del Plenario de la IPBES. Hasta entonces, avanzará mediante reuniones de autores y sesiones de redacción, incluido un trabajo coordinado en el «resumen para los encargados de formular políticas». Las Partes de la CMS, las organizaciones observadoras y la Secretaría serán invitadas a contribuir a lo largo de los procesos de revisión externa. Está prevista una primera revisión externa para el segundo trimestre de 2026, que incluirá la publicación de los capítulos en proyecto y un «resumen para los encargados de formular políticas» en proyecto, a fin de que sean revisados por los gobiernos y los expertos. Se ha programado una segunda revisión externa para el cuarto trimestre de 2026 y una fase final de revisión para el tercer trimestre de 2027. </w:t>
      </w:r>
    </w:p>
    <w:p w14:paraId="0BDF83A4" w14:textId="77777777" w:rsidR="00155B1B" w:rsidRPr="00910618" w:rsidRDefault="00155B1B" w:rsidP="00155B1B">
      <w:pPr>
        <w:widowControl w:val="0"/>
        <w:numPr>
          <w:ilvl w:val="1"/>
          <w:numId w:val="13"/>
        </w:numPr>
        <w:spacing w:after="80" w:line="240" w:lineRule="auto"/>
        <w:ind w:left="1094" w:hanging="547"/>
        <w:jc w:val="both"/>
        <w:rPr>
          <w:rFonts w:cs="Arial"/>
          <w:lang w:val="es-ES"/>
        </w:rPr>
      </w:pPr>
      <w:r w:rsidRPr="00910618">
        <w:rPr>
          <w:rFonts w:cs="Arial"/>
          <w:lang w:val="es-ES"/>
        </w:rPr>
        <w:t xml:space="preserve">La «segunda evaluación mundial de la biodiversidad y los servicios de los ecosistemas» se elaborará entre la 11.a y la 14.a sesión del Plenario, y será examinada por el Plenario en 2028. </w:t>
      </w:r>
    </w:p>
    <w:p w14:paraId="18C9E51A" w14:textId="77777777" w:rsidR="00155B1B" w:rsidRPr="00910618" w:rsidRDefault="00155B1B" w:rsidP="00155B1B">
      <w:pPr>
        <w:widowControl w:val="0"/>
        <w:numPr>
          <w:ilvl w:val="1"/>
          <w:numId w:val="13"/>
        </w:numPr>
        <w:spacing w:after="0" w:line="240" w:lineRule="auto"/>
        <w:ind w:hanging="540"/>
        <w:jc w:val="both"/>
        <w:rPr>
          <w:rFonts w:cs="Arial"/>
          <w:lang w:val="es-ES"/>
        </w:rPr>
      </w:pPr>
      <w:r w:rsidRPr="00910618">
        <w:rPr>
          <w:rFonts w:cs="Arial"/>
          <w:lang w:val="es-ES"/>
        </w:rPr>
        <w:t>Otras evaluaciones de la IPBES que se completarán en el próximo período entre sesiones incluyen la «evaluación del impacto y la dependencia de las empresas respecto de la biodiversidad y las contribuciones de la naturaleza a las personas» y la «evaluación sobre el seguimiento de la biodiversidad y las contribuciones de la naturaleza a las personas».</w:t>
      </w:r>
    </w:p>
    <w:p w14:paraId="1466C49B" w14:textId="77777777" w:rsidR="00155B1B" w:rsidRPr="00910618" w:rsidRDefault="00155B1B" w:rsidP="00155B1B">
      <w:pPr>
        <w:pStyle w:val="ListParagraph"/>
        <w:spacing w:after="0"/>
        <w:rPr>
          <w:rFonts w:cs="Arial"/>
          <w:lang w:val="es-ES"/>
        </w:rPr>
      </w:pPr>
    </w:p>
    <w:p w14:paraId="45911D97" w14:textId="77777777" w:rsidR="00155B1B" w:rsidRPr="00910618" w:rsidRDefault="00155B1B" w:rsidP="00155B1B">
      <w:pPr>
        <w:pStyle w:val="ListParagraph"/>
        <w:widowControl w:val="0"/>
        <w:numPr>
          <w:ilvl w:val="0"/>
          <w:numId w:val="13"/>
        </w:numPr>
        <w:spacing w:after="0" w:line="240" w:lineRule="auto"/>
        <w:ind w:left="567" w:hanging="567"/>
        <w:jc w:val="both"/>
        <w:rPr>
          <w:rFonts w:cs="Arial"/>
          <w:lang w:val="es-ES"/>
        </w:rPr>
      </w:pPr>
      <w:r w:rsidRPr="00910618">
        <w:rPr>
          <w:rFonts w:cs="Arial"/>
          <w:lang w:val="es-ES"/>
        </w:rPr>
        <w:t xml:space="preserve">La Secretaría de la CMS, con aportaciones del Consejo Científico, tiene previsto participar en la revisión externa de la «evaluación sobre ordenación territorial y conectividad», así como en las revisiones externas de otras evaluaciones, según proceda. La elaboración de la contribución de la CMS estará dirigida por la Secretaría, en cooperación con el consejero designado por la COP de la CMS para la Conectividad, y se basará en las contribuciones recibidas de los miembros del </w:t>
      </w:r>
      <w:proofErr w:type="spellStart"/>
      <w:r w:rsidRPr="00910618">
        <w:rPr>
          <w:rFonts w:cs="Arial"/>
          <w:lang w:val="es-ES"/>
        </w:rPr>
        <w:t>ScC</w:t>
      </w:r>
      <w:proofErr w:type="spellEnd"/>
      <w:r w:rsidRPr="00910618">
        <w:rPr>
          <w:rFonts w:cs="Arial"/>
          <w:lang w:val="es-ES"/>
        </w:rPr>
        <w:t xml:space="preserve">-SC y de los miembros del Grupo de Trabajo sobre Conectividad Ecológica. </w:t>
      </w:r>
    </w:p>
    <w:p w14:paraId="6B28F4EE" w14:textId="77777777" w:rsidR="00155B1B" w:rsidRPr="00910618" w:rsidRDefault="00155B1B" w:rsidP="00155B1B">
      <w:pPr>
        <w:pStyle w:val="ListParagraph"/>
        <w:spacing w:after="0"/>
        <w:rPr>
          <w:rFonts w:cs="Arial"/>
          <w:lang w:val="es-ES"/>
        </w:rPr>
      </w:pPr>
    </w:p>
    <w:p w14:paraId="1D494ED1" w14:textId="77777777" w:rsidR="00155B1B" w:rsidRPr="00910618" w:rsidRDefault="00155B1B" w:rsidP="00155B1B">
      <w:pPr>
        <w:pStyle w:val="ListParagraph"/>
        <w:widowControl w:val="0"/>
        <w:numPr>
          <w:ilvl w:val="0"/>
          <w:numId w:val="13"/>
        </w:numPr>
        <w:spacing w:after="0" w:line="240" w:lineRule="auto"/>
        <w:ind w:left="567" w:hanging="567"/>
        <w:jc w:val="both"/>
        <w:rPr>
          <w:rFonts w:cs="Arial"/>
          <w:lang w:val="es-ES"/>
        </w:rPr>
      </w:pPr>
      <w:r w:rsidRPr="00910618">
        <w:rPr>
          <w:rFonts w:cs="Arial"/>
          <w:lang w:val="es-ES"/>
        </w:rPr>
        <w:t xml:space="preserve">El Proyecto de decisión 15.BB otorgaría a la Secretaría el mandato de apoyar la participación del Consejo Científico en los procesos de definición del alcance y revisión pertinentes. También solicita a la Secretaría que refuerce aún más la colaboración con la Secretaría de la IPBES con el fin de seguir cooperando en cuestiones de interés para las especies migratorias. </w:t>
      </w:r>
    </w:p>
    <w:p w14:paraId="20616140" w14:textId="77777777" w:rsidR="00155B1B" w:rsidRPr="00910618" w:rsidRDefault="00155B1B" w:rsidP="00155B1B">
      <w:pPr>
        <w:spacing w:after="0" w:line="240" w:lineRule="auto"/>
        <w:jc w:val="both"/>
        <w:rPr>
          <w:rFonts w:cs="Arial"/>
          <w:lang w:val="es-ES"/>
        </w:rPr>
      </w:pPr>
    </w:p>
    <w:p w14:paraId="52DC8600" w14:textId="77777777" w:rsidR="00155B1B" w:rsidRPr="00910618" w:rsidRDefault="00155B1B" w:rsidP="00155B1B">
      <w:pPr>
        <w:spacing w:after="0" w:line="240" w:lineRule="auto"/>
        <w:jc w:val="both"/>
        <w:rPr>
          <w:rFonts w:cs="Arial"/>
          <w:lang w:val="es-ES"/>
        </w:rPr>
      </w:pPr>
      <w:r w:rsidRPr="00910618">
        <w:rPr>
          <w:rFonts w:cs="Arial"/>
          <w:u w:val="single"/>
          <w:lang w:val="es-ES"/>
        </w:rPr>
        <w:t>Acciones recomendadas</w:t>
      </w:r>
    </w:p>
    <w:p w14:paraId="710D9F37" w14:textId="77777777" w:rsidR="00155B1B" w:rsidRPr="00910618" w:rsidRDefault="00155B1B" w:rsidP="00155B1B">
      <w:pPr>
        <w:spacing w:after="0" w:line="240" w:lineRule="auto"/>
        <w:jc w:val="both"/>
        <w:rPr>
          <w:rFonts w:cs="Arial"/>
          <w:lang w:val="es-ES"/>
        </w:rPr>
      </w:pPr>
    </w:p>
    <w:p w14:paraId="32A1EC6E" w14:textId="77777777" w:rsidR="00155B1B" w:rsidRPr="00910618" w:rsidRDefault="00155B1B" w:rsidP="00155B1B">
      <w:pPr>
        <w:widowControl w:val="0"/>
        <w:numPr>
          <w:ilvl w:val="0"/>
          <w:numId w:val="13"/>
        </w:numPr>
        <w:autoSpaceDE w:val="0"/>
        <w:autoSpaceDN w:val="0"/>
        <w:adjustRightInd w:val="0"/>
        <w:spacing w:after="0" w:line="240" w:lineRule="auto"/>
        <w:ind w:left="567" w:hanging="567"/>
        <w:jc w:val="both"/>
        <w:rPr>
          <w:rFonts w:cs="Arial"/>
          <w:lang w:val="es-ES"/>
        </w:rPr>
      </w:pPr>
      <w:r w:rsidRPr="00910618">
        <w:rPr>
          <w:rFonts w:cs="Arial"/>
          <w:lang w:val="es-ES" w:eastAsia="es-ES"/>
        </w:rPr>
        <w:t>Se recomienda a la Conferencia de las Partes que:</w:t>
      </w:r>
    </w:p>
    <w:p w14:paraId="08F7FDB9" w14:textId="77777777" w:rsidR="00155B1B" w:rsidRPr="00910618" w:rsidRDefault="00155B1B" w:rsidP="00155B1B">
      <w:pPr>
        <w:pStyle w:val="Secondnumbering"/>
        <w:jc w:val="both"/>
        <w:rPr>
          <w:rFonts w:cs="Arial"/>
          <w:lang w:val="es-ES"/>
        </w:rPr>
      </w:pPr>
    </w:p>
    <w:p w14:paraId="2CCD59CE" w14:textId="77777777" w:rsidR="00155B1B" w:rsidRDefault="00155B1B" w:rsidP="00155B1B">
      <w:pPr>
        <w:pStyle w:val="Secondnumbering"/>
        <w:numPr>
          <w:ilvl w:val="0"/>
          <w:numId w:val="16"/>
        </w:numPr>
        <w:ind w:left="1080" w:hanging="540"/>
        <w:jc w:val="both"/>
        <w:rPr>
          <w:rFonts w:cs="Arial"/>
          <w:lang w:val="es-ES"/>
        </w:rPr>
      </w:pPr>
      <w:r w:rsidRPr="00910618">
        <w:rPr>
          <w:rFonts w:cs="Arial"/>
          <w:lang w:val="es-ES"/>
        </w:rPr>
        <w:t>adopte los proyectos de Decisión incluidos en el Anexo 1 del presente documento; y</w:t>
      </w:r>
    </w:p>
    <w:p w14:paraId="74319572" w14:textId="77777777" w:rsidR="00155B1B" w:rsidRDefault="00155B1B" w:rsidP="00155B1B">
      <w:pPr>
        <w:pStyle w:val="Secondnumbering"/>
        <w:ind w:left="1080"/>
        <w:jc w:val="both"/>
        <w:rPr>
          <w:rFonts w:cs="Arial"/>
          <w:lang w:val="es-ES"/>
        </w:rPr>
      </w:pPr>
    </w:p>
    <w:p w14:paraId="04EEE926" w14:textId="77777777" w:rsidR="00155B1B" w:rsidRDefault="00155B1B" w:rsidP="00155B1B">
      <w:pPr>
        <w:pStyle w:val="Secondnumbering"/>
        <w:numPr>
          <w:ilvl w:val="0"/>
          <w:numId w:val="16"/>
        </w:numPr>
        <w:ind w:left="1080" w:hanging="540"/>
        <w:jc w:val="both"/>
        <w:rPr>
          <w:rFonts w:cs="Arial"/>
          <w:lang w:val="es-ES"/>
        </w:rPr>
        <w:sectPr w:rsidR="00155B1B" w:rsidSect="0032340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titlePg/>
          <w:docGrid w:linePitch="360"/>
        </w:sectPr>
      </w:pPr>
      <w:r w:rsidRPr="00155B1B">
        <w:rPr>
          <w:rFonts w:cs="Arial"/>
          <w:lang w:val="es-ES"/>
        </w:rPr>
        <w:t>derogue las Decisiones 14.11-14.14</w:t>
      </w:r>
      <w:r>
        <w:rPr>
          <w:rFonts w:cs="Arial"/>
          <w:lang w:val="es-ES"/>
        </w:rPr>
        <w:t xml:space="preserve">. </w:t>
      </w:r>
    </w:p>
    <w:p w14:paraId="3E5C82B9" w14:textId="0232C702" w:rsidR="00155B1B" w:rsidRPr="00910618" w:rsidRDefault="00155B1B" w:rsidP="00155B1B">
      <w:pPr>
        <w:spacing w:after="0" w:line="240" w:lineRule="auto"/>
        <w:jc w:val="right"/>
        <w:rPr>
          <w:rFonts w:cs="Arial"/>
          <w:b/>
          <w:bCs/>
          <w:lang w:val="es-ES"/>
        </w:rPr>
      </w:pPr>
      <w:r w:rsidRPr="00910618">
        <w:rPr>
          <w:rFonts w:cs="Arial"/>
          <w:b/>
          <w:lang w:val="es-ES"/>
        </w:rPr>
        <w:t>ANEXO</w:t>
      </w:r>
    </w:p>
    <w:p w14:paraId="7E0FCC25" w14:textId="77777777" w:rsidR="00155B1B" w:rsidRPr="00910618" w:rsidRDefault="00155B1B" w:rsidP="00155B1B">
      <w:pPr>
        <w:spacing w:after="0" w:line="240" w:lineRule="auto"/>
        <w:rPr>
          <w:rFonts w:cs="Arial"/>
          <w:lang w:val="es-ES"/>
        </w:rPr>
      </w:pPr>
    </w:p>
    <w:p w14:paraId="3F179895" w14:textId="77777777" w:rsidR="00155B1B" w:rsidRPr="00910618" w:rsidRDefault="00155B1B" w:rsidP="00155B1B">
      <w:pPr>
        <w:spacing w:after="0" w:line="240" w:lineRule="auto"/>
        <w:rPr>
          <w:rFonts w:cs="Arial"/>
          <w:lang w:val="es-ES"/>
        </w:rPr>
      </w:pPr>
    </w:p>
    <w:p w14:paraId="074570C3" w14:textId="77777777" w:rsidR="00155B1B" w:rsidRPr="00910618" w:rsidRDefault="00155B1B" w:rsidP="00155B1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r w:rsidRPr="00910618">
        <w:rPr>
          <w:rFonts w:cs="Arial"/>
          <w:bCs/>
          <w:lang w:val="es-ES"/>
        </w:rPr>
        <w:t>PROYECTOS DE DECISIÓN</w:t>
      </w:r>
    </w:p>
    <w:p w14:paraId="0E039A25" w14:textId="77777777" w:rsidR="00155B1B" w:rsidRPr="00910618" w:rsidRDefault="00155B1B" w:rsidP="00155B1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p>
    <w:p w14:paraId="3B3D44D9" w14:textId="77777777" w:rsidR="00155B1B" w:rsidRPr="00910618" w:rsidRDefault="00155B1B" w:rsidP="00155B1B">
      <w:pPr>
        <w:widowControl w:val="0"/>
        <w:spacing w:after="0" w:line="240" w:lineRule="auto"/>
        <w:jc w:val="center"/>
        <w:rPr>
          <w:rFonts w:eastAsia="Arial" w:cs="Arial"/>
          <w:b/>
          <w:bCs/>
          <w:lang w:val="es-ES"/>
        </w:rPr>
      </w:pPr>
      <w:r w:rsidRPr="00910618">
        <w:rPr>
          <w:rFonts w:eastAsia="Arial" w:cs="Arial"/>
          <w:b/>
          <w:bCs/>
          <w:lang w:val="es-ES"/>
        </w:rPr>
        <w:t>COOPERACIÓN ENTRE LA PLATAFORMA INTERGUBERNAMENTAL CIENTÍFICO-NORMATIVA SOBRE BIODIVERSIDAD Y SERCICIOS ECOSISTÉMICOS (IPBES) Y LA CMS</w:t>
      </w:r>
    </w:p>
    <w:p w14:paraId="388716A5" w14:textId="77777777" w:rsidR="00155B1B" w:rsidRPr="00910618" w:rsidRDefault="00155B1B" w:rsidP="00155B1B">
      <w:pPr>
        <w:spacing w:after="0" w:line="240" w:lineRule="auto"/>
        <w:jc w:val="both"/>
        <w:rPr>
          <w:rFonts w:eastAsia="Arial" w:cs="Arial"/>
          <w:i/>
          <w:iCs/>
          <w:sz w:val="20"/>
          <w:szCs w:val="20"/>
          <w:lang w:val="es-ES"/>
        </w:rPr>
      </w:pPr>
    </w:p>
    <w:p w14:paraId="317C7B4E" w14:textId="77777777" w:rsidR="00155B1B" w:rsidRPr="00910618" w:rsidRDefault="00155B1B" w:rsidP="00155B1B">
      <w:pPr>
        <w:spacing w:after="0" w:line="240" w:lineRule="auto"/>
        <w:jc w:val="both"/>
        <w:rPr>
          <w:rFonts w:cs="Arial"/>
          <w:lang w:val="es-ES"/>
        </w:rPr>
      </w:pPr>
    </w:p>
    <w:p w14:paraId="0F931E21" w14:textId="77777777" w:rsidR="00155B1B" w:rsidRPr="00910618" w:rsidRDefault="00155B1B" w:rsidP="00155B1B">
      <w:pPr>
        <w:spacing w:after="0" w:line="240" w:lineRule="auto"/>
        <w:jc w:val="both"/>
        <w:rPr>
          <w:rFonts w:cs="Arial"/>
          <w:lang w:val="es-ES"/>
        </w:rPr>
      </w:pPr>
      <w:r w:rsidRPr="00910618">
        <w:rPr>
          <w:rFonts w:cs="Arial"/>
          <w:b/>
          <w:i/>
          <w:lang w:val="es-ES"/>
        </w:rPr>
        <w:t xml:space="preserve">Dirigido al Consejo Científico </w:t>
      </w:r>
    </w:p>
    <w:p w14:paraId="19F793B5" w14:textId="77777777" w:rsidR="00155B1B" w:rsidRPr="00910618" w:rsidRDefault="00155B1B" w:rsidP="00155B1B">
      <w:pPr>
        <w:spacing w:after="0" w:line="240" w:lineRule="auto"/>
        <w:jc w:val="both"/>
        <w:rPr>
          <w:rFonts w:cs="Arial"/>
          <w:lang w:val="es-ES"/>
        </w:rPr>
      </w:pPr>
    </w:p>
    <w:p w14:paraId="49EA57AD" w14:textId="77777777" w:rsidR="00155B1B" w:rsidRPr="00910618" w:rsidRDefault="00155B1B" w:rsidP="00155B1B">
      <w:pPr>
        <w:spacing w:after="0" w:line="240" w:lineRule="auto"/>
        <w:ind w:left="900" w:hanging="900"/>
        <w:jc w:val="both"/>
        <w:rPr>
          <w:rFonts w:eastAsia="Arial" w:cs="Arial"/>
          <w:lang w:val="es-ES"/>
        </w:rPr>
      </w:pPr>
      <w:r w:rsidRPr="00910618">
        <w:rPr>
          <w:rFonts w:cs="Arial"/>
          <w:lang w:val="es-ES"/>
        </w:rPr>
        <w:t>15.AA</w:t>
      </w:r>
      <w:r w:rsidRPr="00910618">
        <w:rPr>
          <w:rFonts w:cs="Arial"/>
          <w:lang w:val="es-ES"/>
        </w:rPr>
        <w:tab/>
        <w:t>Se solicita al Consejo Científico, en función de la disponibilidad de recursos, que:</w:t>
      </w:r>
    </w:p>
    <w:p w14:paraId="3E326848" w14:textId="77777777" w:rsidR="00155B1B" w:rsidRPr="00910618" w:rsidRDefault="00155B1B" w:rsidP="00155B1B">
      <w:pPr>
        <w:spacing w:after="0" w:line="240" w:lineRule="auto"/>
        <w:ind w:left="851" w:hanging="851"/>
        <w:jc w:val="both"/>
        <w:rPr>
          <w:rFonts w:eastAsia="Arial" w:cs="Arial"/>
          <w:lang w:val="es-ES"/>
        </w:rPr>
      </w:pPr>
    </w:p>
    <w:p w14:paraId="2ED7633B" w14:textId="77777777" w:rsidR="00155B1B" w:rsidRPr="00910618" w:rsidRDefault="00155B1B" w:rsidP="00155B1B">
      <w:pPr>
        <w:pStyle w:val="ListParagraph"/>
        <w:numPr>
          <w:ilvl w:val="0"/>
          <w:numId w:val="17"/>
        </w:numPr>
        <w:spacing w:after="0" w:line="240" w:lineRule="auto"/>
        <w:ind w:left="1440" w:hanging="540"/>
        <w:jc w:val="both"/>
        <w:rPr>
          <w:rFonts w:cs="Arial"/>
          <w:lang w:val="es-ES"/>
        </w:rPr>
      </w:pPr>
      <w:r w:rsidRPr="00910618">
        <w:rPr>
          <w:rFonts w:eastAsia="Arial" w:cs="Arial"/>
          <w:lang w:val="es-ES"/>
        </w:rPr>
        <w:t>participe activamente en los procesos pertinentes de definición del alcance y revisión de las evaluaciones en curso y futuras de la IPBES, prestando especial atención a la evaluación metodológica sobre ordenación territorial inclusiva de la biodiversidad y conectividad ecológica, con el fin de garantizar que se aborden los elementos prioritarios de la CMS; y</w:t>
      </w:r>
    </w:p>
    <w:p w14:paraId="18069671" w14:textId="77777777" w:rsidR="00155B1B" w:rsidRPr="00910618" w:rsidRDefault="00155B1B" w:rsidP="00155B1B">
      <w:pPr>
        <w:pStyle w:val="ListParagraph"/>
        <w:spacing w:after="0" w:line="240" w:lineRule="auto"/>
        <w:ind w:left="1440" w:hanging="540"/>
        <w:jc w:val="both"/>
        <w:rPr>
          <w:rFonts w:cs="Arial"/>
          <w:lang w:val="es-ES"/>
        </w:rPr>
      </w:pPr>
    </w:p>
    <w:p w14:paraId="4FC635E1" w14:textId="77777777" w:rsidR="00155B1B" w:rsidRPr="00910618" w:rsidRDefault="00155B1B" w:rsidP="00155B1B">
      <w:pPr>
        <w:pStyle w:val="ListParagraph"/>
        <w:numPr>
          <w:ilvl w:val="0"/>
          <w:numId w:val="17"/>
        </w:numPr>
        <w:spacing w:after="0" w:line="240" w:lineRule="auto"/>
        <w:ind w:left="1440" w:hanging="540"/>
        <w:jc w:val="both"/>
        <w:rPr>
          <w:rFonts w:cs="Arial"/>
          <w:lang w:val="es-ES"/>
        </w:rPr>
      </w:pPr>
      <w:r w:rsidRPr="00910618">
        <w:rPr>
          <w:rFonts w:cs="Arial"/>
          <w:lang w:val="es-ES"/>
        </w:rPr>
        <w:t>examine los aspectos científicos de las evaluaciones seleccionadas de la IPBES y formule recomendaciones sobre su pertinencia para la aplicación de la CMS, a fin de que la Conferencia de las Partes las considere en su 16.a reunión.</w:t>
      </w:r>
    </w:p>
    <w:p w14:paraId="020DE7DC" w14:textId="77777777" w:rsidR="00155B1B" w:rsidRPr="00910618" w:rsidRDefault="00155B1B" w:rsidP="00155B1B">
      <w:pPr>
        <w:spacing w:after="0" w:line="240" w:lineRule="auto"/>
        <w:jc w:val="both"/>
        <w:rPr>
          <w:rFonts w:cs="Arial"/>
          <w:b/>
          <w:i/>
          <w:lang w:val="es-ES"/>
        </w:rPr>
      </w:pPr>
    </w:p>
    <w:p w14:paraId="6A84A4B5" w14:textId="77777777" w:rsidR="00155B1B" w:rsidRPr="00910618" w:rsidRDefault="00155B1B" w:rsidP="00155B1B">
      <w:pPr>
        <w:spacing w:after="0" w:line="240" w:lineRule="auto"/>
        <w:jc w:val="both"/>
        <w:rPr>
          <w:rFonts w:cs="Arial"/>
          <w:b/>
          <w:i/>
          <w:lang w:val="es-ES"/>
        </w:rPr>
      </w:pPr>
      <w:r w:rsidRPr="00910618">
        <w:rPr>
          <w:rFonts w:cs="Arial"/>
          <w:b/>
          <w:i/>
          <w:lang w:val="es-ES"/>
        </w:rPr>
        <w:t>Dirigido a la Secretaría</w:t>
      </w:r>
    </w:p>
    <w:p w14:paraId="7DAFA006" w14:textId="77777777" w:rsidR="00155B1B" w:rsidRPr="00910618" w:rsidRDefault="00155B1B" w:rsidP="00155B1B">
      <w:pPr>
        <w:spacing w:after="0" w:line="240" w:lineRule="auto"/>
        <w:jc w:val="both"/>
        <w:rPr>
          <w:rFonts w:cs="Arial"/>
          <w:lang w:val="es-ES"/>
        </w:rPr>
      </w:pPr>
    </w:p>
    <w:p w14:paraId="559B0914" w14:textId="77777777" w:rsidR="00155B1B" w:rsidRPr="00910618" w:rsidRDefault="00155B1B" w:rsidP="00155B1B">
      <w:pPr>
        <w:spacing w:after="0" w:line="240" w:lineRule="auto"/>
        <w:ind w:left="900" w:hanging="900"/>
        <w:jc w:val="both"/>
        <w:rPr>
          <w:rFonts w:cs="Arial"/>
          <w:iCs/>
          <w:lang w:val="es-ES"/>
        </w:rPr>
      </w:pPr>
      <w:r w:rsidRPr="00910618">
        <w:rPr>
          <w:rFonts w:cs="Arial"/>
          <w:lang w:val="es-ES"/>
        </w:rPr>
        <w:t>15.BB</w:t>
      </w:r>
      <w:r w:rsidRPr="00910618">
        <w:rPr>
          <w:rFonts w:cs="Arial"/>
          <w:lang w:val="es-ES"/>
        </w:rPr>
        <w:tab/>
        <w:t>La Secretaría, en función de la disponibilidad de recursos:</w:t>
      </w:r>
    </w:p>
    <w:p w14:paraId="37B82AB2" w14:textId="77777777" w:rsidR="00155B1B" w:rsidRPr="00910618" w:rsidRDefault="00155B1B" w:rsidP="00155B1B">
      <w:pPr>
        <w:spacing w:after="0" w:line="240" w:lineRule="auto"/>
        <w:ind w:left="720" w:hanging="720"/>
        <w:jc w:val="both"/>
        <w:rPr>
          <w:rFonts w:cs="Arial"/>
          <w:iCs/>
          <w:lang w:val="es-ES"/>
        </w:rPr>
      </w:pPr>
    </w:p>
    <w:p w14:paraId="2F4AADC1" w14:textId="77777777" w:rsidR="00155B1B" w:rsidRPr="00910618" w:rsidRDefault="00155B1B" w:rsidP="00155B1B">
      <w:pPr>
        <w:pStyle w:val="ListParagraph"/>
        <w:numPr>
          <w:ilvl w:val="0"/>
          <w:numId w:val="18"/>
        </w:numPr>
        <w:spacing w:after="0" w:line="240" w:lineRule="auto"/>
        <w:ind w:left="1440" w:hanging="540"/>
        <w:jc w:val="both"/>
        <w:rPr>
          <w:rFonts w:cs="Arial"/>
          <w:lang w:val="es-ES"/>
        </w:rPr>
      </w:pPr>
      <w:r w:rsidRPr="00910618">
        <w:rPr>
          <w:rFonts w:cs="Arial"/>
          <w:lang w:val="es-ES"/>
        </w:rPr>
        <w:t xml:space="preserve">apoyará al Consejo Científico en la aplicación de la Decisión </w:t>
      </w:r>
      <w:proofErr w:type="gramStart"/>
      <w:r w:rsidRPr="00910618">
        <w:rPr>
          <w:rFonts w:cs="Arial"/>
          <w:lang w:val="es-ES"/>
        </w:rPr>
        <w:t>15.AA</w:t>
      </w:r>
      <w:proofErr w:type="gramEnd"/>
      <w:r w:rsidRPr="00910618">
        <w:rPr>
          <w:rFonts w:cs="Arial"/>
          <w:lang w:val="es-ES"/>
        </w:rPr>
        <w:t>; y</w:t>
      </w:r>
    </w:p>
    <w:p w14:paraId="5EF89CB4" w14:textId="77777777" w:rsidR="00155B1B" w:rsidRPr="00910618" w:rsidRDefault="00155B1B" w:rsidP="00155B1B">
      <w:pPr>
        <w:pStyle w:val="ListParagraph"/>
        <w:spacing w:after="0" w:line="240" w:lineRule="auto"/>
        <w:ind w:left="1440" w:hanging="540"/>
        <w:jc w:val="both"/>
        <w:rPr>
          <w:rFonts w:cs="Arial"/>
          <w:lang w:val="es-ES"/>
        </w:rPr>
      </w:pPr>
    </w:p>
    <w:p w14:paraId="02A08C32" w14:textId="77777777" w:rsidR="00155B1B" w:rsidRPr="00910618" w:rsidRDefault="00155B1B" w:rsidP="00155B1B">
      <w:pPr>
        <w:pStyle w:val="ListParagraph"/>
        <w:numPr>
          <w:ilvl w:val="0"/>
          <w:numId w:val="18"/>
        </w:numPr>
        <w:spacing w:after="0" w:line="240" w:lineRule="auto"/>
        <w:ind w:left="1440" w:hanging="540"/>
        <w:jc w:val="both"/>
        <w:rPr>
          <w:rFonts w:cs="Arial"/>
          <w:lang w:val="es-ES"/>
        </w:rPr>
      </w:pPr>
      <w:r w:rsidRPr="00910618">
        <w:rPr>
          <w:rFonts w:cs="Arial"/>
          <w:lang w:val="es-ES"/>
        </w:rPr>
        <w:t>colaborará con la Secretaría de la IPBES para seguir cooperando en cuestiones de interés para las especies migratorias.</w:t>
      </w:r>
    </w:p>
    <w:p w14:paraId="642F15BB" w14:textId="77777777" w:rsidR="00155B1B" w:rsidRPr="00910618" w:rsidRDefault="00155B1B" w:rsidP="00155B1B">
      <w:pPr>
        <w:pStyle w:val="Secondnumbering"/>
        <w:ind w:left="540"/>
        <w:jc w:val="both"/>
        <w:rPr>
          <w:rFonts w:cs="Arial"/>
          <w:lang w:val="es-ES"/>
        </w:rPr>
      </w:pPr>
    </w:p>
    <w:p w14:paraId="559E8564" w14:textId="6DE85417" w:rsidR="002D5F2A" w:rsidRPr="00155B1B" w:rsidRDefault="002D5F2A" w:rsidP="00155B1B">
      <w:pPr>
        <w:pStyle w:val="Secondnumbering"/>
        <w:ind w:left="540"/>
        <w:jc w:val="both"/>
        <w:rPr>
          <w:rFonts w:cs="Arial"/>
          <w:lang w:val="es-ES"/>
        </w:rPr>
      </w:pPr>
    </w:p>
    <w:sectPr w:rsidR="002D5F2A" w:rsidRPr="00155B1B" w:rsidSect="00323406">
      <w:headerReference w:type="first" r:id="rId2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A307" w14:textId="77777777" w:rsidR="00C56D8F" w:rsidRDefault="00C56D8F" w:rsidP="00002A97">
      <w:pPr>
        <w:spacing w:after="0" w:line="240" w:lineRule="auto"/>
      </w:pPr>
      <w:r>
        <w:separator/>
      </w:r>
    </w:p>
  </w:endnote>
  <w:endnote w:type="continuationSeparator" w:id="0">
    <w:p w14:paraId="73AC70CF" w14:textId="77777777" w:rsidR="00C56D8F" w:rsidRDefault="00C56D8F"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155B1B">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61BC" w14:textId="77777777" w:rsidR="00C56D8F" w:rsidRDefault="00C56D8F" w:rsidP="00002A97">
      <w:pPr>
        <w:spacing w:after="0" w:line="240" w:lineRule="auto"/>
      </w:pPr>
      <w:r>
        <w:separator/>
      </w:r>
    </w:p>
  </w:footnote>
  <w:footnote w:type="continuationSeparator" w:id="0">
    <w:p w14:paraId="42DE6763" w14:textId="77777777" w:rsidR="00C56D8F" w:rsidRDefault="00C56D8F"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22925F3" w:rsidR="00D70275" w:rsidRPr="00002A97" w:rsidRDefault="00D70275" w:rsidP="00002A97">
    <w:pPr>
      <w:pStyle w:val="Header"/>
      <w:pBdr>
        <w:bottom w:val="single" w:sz="4" w:space="1" w:color="auto"/>
      </w:pBdr>
      <w:rPr>
        <w:i/>
        <w:sz w:val="18"/>
        <w:szCs w:val="18"/>
      </w:rPr>
    </w:pPr>
    <w:bookmarkStart w:id="2" w:name="_Hlk124847022"/>
    <w:bookmarkStart w:id="3" w:name="_Hlk124847023"/>
    <w:bookmarkStart w:id="4" w:name="_Hlk124847024"/>
    <w:bookmarkStart w:id="5" w:name="_Hlk124847025"/>
    <w:bookmarkStart w:id="6" w:name="_Hlk124847026"/>
    <w:bookmarkStart w:id="7" w:name="_Hlk124847027"/>
    <w:bookmarkStart w:id="8" w:name="_Hlk124847217"/>
    <w:bookmarkStart w:id="9"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2"/>
    <w:bookmarkEnd w:id="3"/>
    <w:bookmarkEnd w:id="4"/>
    <w:bookmarkEnd w:id="5"/>
    <w:bookmarkEnd w:id="6"/>
    <w:bookmarkEnd w:id="7"/>
    <w:bookmarkEnd w:id="8"/>
    <w:bookmarkEnd w:id="9"/>
    <w:r w:rsidR="00155B1B">
      <w:rPr>
        <w:rFonts w:eastAsia="Times New Roman" w:cs="Arial"/>
        <w:i/>
        <w:sz w:val="18"/>
        <w:szCs w:val="18"/>
        <w:lang w:val="fr-FR" w:eastAsia="es-ES"/>
      </w:rPr>
      <w:t>18.2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7152D8E"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155B1B">
      <w:rPr>
        <w:rFonts w:eastAsia="Times New Roman" w:cs="Arial"/>
        <w:i/>
        <w:sz w:val="18"/>
        <w:szCs w:val="18"/>
        <w:lang w:val="fr-FR" w:eastAsia="es-ES"/>
      </w:rPr>
      <w:t>18.2</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3A26" w14:textId="77777777" w:rsidR="00155B1B" w:rsidRPr="00945184" w:rsidRDefault="00155B1B" w:rsidP="00155B1B">
    <w:pPr>
      <w:pStyle w:val="Header"/>
      <w:pBdr>
        <w:bottom w:val="single" w:sz="4" w:space="1" w:color="auto"/>
      </w:pBdr>
      <w:jc w:val="right"/>
      <w:rPr>
        <w:i/>
        <w:sz w:val="18"/>
        <w:szCs w:val="18"/>
        <w:lang w:val="fr-FR"/>
      </w:rPr>
    </w:pPr>
    <w:r w:rsidRPr="00945184">
      <w:rPr>
        <w:rFonts w:eastAsia="Times New Roman" w:cs="Arial"/>
        <w:i/>
        <w:sz w:val="18"/>
        <w:szCs w:val="18"/>
        <w:lang w:val="fr-FR"/>
      </w:rPr>
      <w:t>UNEP/CMS/COP15/Doc.18.2/</w:t>
    </w:r>
    <w:proofErr w:type="spellStart"/>
    <w:r w:rsidRPr="00945184">
      <w:rPr>
        <w:rFonts w:eastAsia="Times New Roman" w:cs="Arial"/>
        <w:i/>
        <w:sz w:val="18"/>
        <w:szCs w:val="18"/>
        <w:lang w:val="fr-FR"/>
      </w:rPr>
      <w:t>Anexo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9080D"/>
    <w:multiLevelType w:val="hybridMultilevel"/>
    <w:tmpl w:val="417244A2"/>
    <w:lvl w:ilvl="0" w:tplc="5DB43398">
      <w:start w:val="1"/>
      <w:numFmt w:val="lowerLetter"/>
      <w:lvlText w:val="%1)"/>
      <w:lvlJc w:val="left"/>
      <w:pPr>
        <w:ind w:left="1080" w:hanging="360"/>
      </w:pPr>
    </w:lvl>
    <w:lvl w:ilvl="1" w:tplc="99F6FC92">
      <w:start w:val="1"/>
      <w:numFmt w:val="lowerLetter"/>
      <w:lvlText w:val="%2."/>
      <w:lvlJc w:val="left"/>
      <w:pPr>
        <w:ind w:left="1800" w:hanging="360"/>
      </w:pPr>
    </w:lvl>
    <w:lvl w:ilvl="2" w:tplc="39CCB772">
      <w:start w:val="1"/>
      <w:numFmt w:val="lowerRoman"/>
      <w:lvlText w:val="%3."/>
      <w:lvlJc w:val="right"/>
      <w:pPr>
        <w:ind w:left="2520" w:hanging="180"/>
      </w:pPr>
    </w:lvl>
    <w:lvl w:ilvl="3" w:tplc="234C73BC">
      <w:start w:val="1"/>
      <w:numFmt w:val="decimal"/>
      <w:lvlText w:val="%4."/>
      <w:lvlJc w:val="left"/>
      <w:pPr>
        <w:ind w:left="3240" w:hanging="360"/>
      </w:pPr>
    </w:lvl>
    <w:lvl w:ilvl="4" w:tplc="7860A026">
      <w:start w:val="1"/>
      <w:numFmt w:val="lowerLetter"/>
      <w:lvlText w:val="%5."/>
      <w:lvlJc w:val="left"/>
      <w:pPr>
        <w:ind w:left="3960" w:hanging="360"/>
      </w:pPr>
    </w:lvl>
    <w:lvl w:ilvl="5" w:tplc="4CF8541A">
      <w:start w:val="1"/>
      <w:numFmt w:val="lowerRoman"/>
      <w:lvlText w:val="%6."/>
      <w:lvlJc w:val="right"/>
      <w:pPr>
        <w:ind w:left="4680" w:hanging="180"/>
      </w:pPr>
    </w:lvl>
    <w:lvl w:ilvl="6" w:tplc="C2F60D58">
      <w:start w:val="1"/>
      <w:numFmt w:val="decimal"/>
      <w:lvlText w:val="%7."/>
      <w:lvlJc w:val="left"/>
      <w:pPr>
        <w:ind w:left="5400" w:hanging="360"/>
      </w:pPr>
    </w:lvl>
    <w:lvl w:ilvl="7" w:tplc="2C74CB82">
      <w:start w:val="1"/>
      <w:numFmt w:val="lowerLetter"/>
      <w:lvlText w:val="%8."/>
      <w:lvlJc w:val="left"/>
      <w:pPr>
        <w:ind w:left="6120" w:hanging="360"/>
      </w:pPr>
    </w:lvl>
    <w:lvl w:ilvl="8" w:tplc="B2A6414A">
      <w:start w:val="1"/>
      <w:numFmt w:val="lowerRoman"/>
      <w:lvlText w:val="%9."/>
      <w:lvlJc w:val="right"/>
      <w:pPr>
        <w:ind w:left="684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835A6"/>
    <w:multiLevelType w:val="hybridMultilevel"/>
    <w:tmpl w:val="A3766CDE"/>
    <w:lvl w:ilvl="0" w:tplc="20000017">
      <w:start w:val="1"/>
      <w:numFmt w:val="lowerLetter"/>
      <w:lvlText w:val="%1)"/>
      <w:lvlJc w:val="left"/>
      <w:pPr>
        <w:ind w:left="1575" w:hanging="360"/>
      </w:pPr>
    </w:lvl>
    <w:lvl w:ilvl="1" w:tplc="20000019" w:tentative="1">
      <w:start w:val="1"/>
      <w:numFmt w:val="lowerLetter"/>
      <w:lvlText w:val="%2."/>
      <w:lvlJc w:val="left"/>
      <w:pPr>
        <w:ind w:left="2295" w:hanging="360"/>
      </w:pPr>
    </w:lvl>
    <w:lvl w:ilvl="2" w:tplc="2000001B" w:tentative="1">
      <w:start w:val="1"/>
      <w:numFmt w:val="lowerRoman"/>
      <w:lvlText w:val="%3."/>
      <w:lvlJc w:val="right"/>
      <w:pPr>
        <w:ind w:left="3015" w:hanging="180"/>
      </w:pPr>
    </w:lvl>
    <w:lvl w:ilvl="3" w:tplc="2000000F" w:tentative="1">
      <w:start w:val="1"/>
      <w:numFmt w:val="decimal"/>
      <w:lvlText w:val="%4."/>
      <w:lvlJc w:val="left"/>
      <w:pPr>
        <w:ind w:left="3735" w:hanging="360"/>
      </w:pPr>
    </w:lvl>
    <w:lvl w:ilvl="4" w:tplc="20000019" w:tentative="1">
      <w:start w:val="1"/>
      <w:numFmt w:val="lowerLetter"/>
      <w:lvlText w:val="%5."/>
      <w:lvlJc w:val="left"/>
      <w:pPr>
        <w:ind w:left="4455" w:hanging="360"/>
      </w:pPr>
    </w:lvl>
    <w:lvl w:ilvl="5" w:tplc="2000001B" w:tentative="1">
      <w:start w:val="1"/>
      <w:numFmt w:val="lowerRoman"/>
      <w:lvlText w:val="%6."/>
      <w:lvlJc w:val="right"/>
      <w:pPr>
        <w:ind w:left="5175" w:hanging="180"/>
      </w:pPr>
    </w:lvl>
    <w:lvl w:ilvl="6" w:tplc="2000000F" w:tentative="1">
      <w:start w:val="1"/>
      <w:numFmt w:val="decimal"/>
      <w:lvlText w:val="%7."/>
      <w:lvlJc w:val="left"/>
      <w:pPr>
        <w:ind w:left="5895" w:hanging="360"/>
      </w:pPr>
    </w:lvl>
    <w:lvl w:ilvl="7" w:tplc="20000019" w:tentative="1">
      <w:start w:val="1"/>
      <w:numFmt w:val="lowerLetter"/>
      <w:lvlText w:val="%8."/>
      <w:lvlJc w:val="left"/>
      <w:pPr>
        <w:ind w:left="6615" w:hanging="360"/>
      </w:pPr>
    </w:lvl>
    <w:lvl w:ilvl="8" w:tplc="2000001B" w:tentative="1">
      <w:start w:val="1"/>
      <w:numFmt w:val="lowerRoman"/>
      <w:lvlText w:val="%9."/>
      <w:lvlJc w:val="right"/>
      <w:pPr>
        <w:ind w:left="7335" w:hanging="180"/>
      </w:pPr>
    </w:lvl>
  </w:abstractNum>
  <w:abstractNum w:abstractNumId="5" w15:restartNumberingAfterBreak="0">
    <w:nsid w:val="2E4A7DDE"/>
    <w:multiLevelType w:val="hybridMultilevel"/>
    <w:tmpl w:val="FE58080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69A23F83"/>
    <w:multiLevelType w:val="hybridMultilevel"/>
    <w:tmpl w:val="52805290"/>
    <w:lvl w:ilvl="0" w:tplc="C64A8680">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02B5ECF"/>
    <w:multiLevelType w:val="multilevel"/>
    <w:tmpl w:val="ED26715C"/>
    <w:lvl w:ilvl="0">
      <w:start w:val="14"/>
      <w:numFmt w:val="decimal"/>
      <w:lvlText w:val="%1"/>
      <w:lvlJc w:val="left"/>
      <w:pPr>
        <w:ind w:left="501" w:hanging="501"/>
      </w:pPr>
      <w:rPr>
        <w:rFonts w:hint="default"/>
      </w:rPr>
    </w:lvl>
    <w:lvl w:ilvl="1">
      <w:start w:val="12"/>
      <w:numFmt w:val="decimal"/>
      <w:lvlText w:val="%1.%2"/>
      <w:lvlJc w:val="left"/>
      <w:pPr>
        <w:ind w:left="1041" w:hanging="501"/>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654501C"/>
    <w:multiLevelType w:val="hybridMultilevel"/>
    <w:tmpl w:val="F2D6B14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3"/>
  </w:num>
  <w:num w:numId="4" w16cid:durableId="2146239410">
    <w:abstractNumId w:val="9"/>
  </w:num>
  <w:num w:numId="5" w16cid:durableId="37974177">
    <w:abstractNumId w:val="6"/>
  </w:num>
  <w:num w:numId="6" w16cid:durableId="1958830237">
    <w:abstractNumId w:val="10"/>
  </w:num>
  <w:num w:numId="7" w16cid:durableId="396439182">
    <w:abstractNumId w:val="12"/>
  </w:num>
  <w:num w:numId="8" w16cid:durableId="260603560">
    <w:abstractNumId w:val="8"/>
  </w:num>
  <w:num w:numId="9" w16cid:durableId="1356272424">
    <w:abstractNumId w:val="7"/>
  </w:num>
  <w:num w:numId="10" w16cid:durableId="630594039">
    <w:abstractNumId w:val="17"/>
  </w:num>
  <w:num w:numId="11" w16cid:durableId="2069759870">
    <w:abstractNumId w:val="11"/>
  </w:num>
  <w:num w:numId="12" w16cid:durableId="904724938">
    <w:abstractNumId w:val="13"/>
  </w:num>
  <w:num w:numId="13" w16cid:durableId="18085516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6301218">
    <w:abstractNumId w:val="2"/>
  </w:num>
  <w:num w:numId="15" w16cid:durableId="1373188306">
    <w:abstractNumId w:val="15"/>
  </w:num>
  <w:num w:numId="16" w16cid:durableId="721176196">
    <w:abstractNumId w:val="5"/>
  </w:num>
  <w:num w:numId="17" w16cid:durableId="1995645828">
    <w:abstractNumId w:val="4"/>
  </w:num>
  <w:num w:numId="18" w16cid:durableId="209773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E192F"/>
    <w:rsid w:val="000F4BDA"/>
    <w:rsid w:val="00127CCF"/>
    <w:rsid w:val="00154A11"/>
    <w:rsid w:val="00155B1B"/>
    <w:rsid w:val="00166CB7"/>
    <w:rsid w:val="001722A0"/>
    <w:rsid w:val="00192411"/>
    <w:rsid w:val="001E6CDF"/>
    <w:rsid w:val="0024152C"/>
    <w:rsid w:val="00256158"/>
    <w:rsid w:val="002A40B8"/>
    <w:rsid w:val="002A5ABE"/>
    <w:rsid w:val="002D5F2A"/>
    <w:rsid w:val="002F43C9"/>
    <w:rsid w:val="002F7EC2"/>
    <w:rsid w:val="00310600"/>
    <w:rsid w:val="003133A7"/>
    <w:rsid w:val="00323406"/>
    <w:rsid w:val="00430A25"/>
    <w:rsid w:val="00457C8A"/>
    <w:rsid w:val="004C7808"/>
    <w:rsid w:val="00515163"/>
    <w:rsid w:val="005330F7"/>
    <w:rsid w:val="00563598"/>
    <w:rsid w:val="00591364"/>
    <w:rsid w:val="0059243E"/>
    <w:rsid w:val="005C39FC"/>
    <w:rsid w:val="006114FC"/>
    <w:rsid w:val="006C2EF5"/>
    <w:rsid w:val="006F22B0"/>
    <w:rsid w:val="00790422"/>
    <w:rsid w:val="0079237D"/>
    <w:rsid w:val="007B53CC"/>
    <w:rsid w:val="007C212E"/>
    <w:rsid w:val="007E5A82"/>
    <w:rsid w:val="00800CB3"/>
    <w:rsid w:val="00810C64"/>
    <w:rsid w:val="008D686F"/>
    <w:rsid w:val="009059D0"/>
    <w:rsid w:val="00943D15"/>
    <w:rsid w:val="00A656E5"/>
    <w:rsid w:val="00A96EB9"/>
    <w:rsid w:val="00AC09AE"/>
    <w:rsid w:val="00B104EC"/>
    <w:rsid w:val="00B26725"/>
    <w:rsid w:val="00B40E07"/>
    <w:rsid w:val="00BA2F55"/>
    <w:rsid w:val="00BC5707"/>
    <w:rsid w:val="00BE6C85"/>
    <w:rsid w:val="00BF7838"/>
    <w:rsid w:val="00C1548E"/>
    <w:rsid w:val="00C22155"/>
    <w:rsid w:val="00C41DAD"/>
    <w:rsid w:val="00C56D8F"/>
    <w:rsid w:val="00C664E8"/>
    <w:rsid w:val="00CF660D"/>
    <w:rsid w:val="00D70275"/>
    <w:rsid w:val="00D84650"/>
    <w:rsid w:val="00E14AF0"/>
    <w:rsid w:val="00E607BD"/>
    <w:rsid w:val="00E77A9F"/>
    <w:rsid w:val="00E81B4A"/>
    <w:rsid w:val="00EF1D13"/>
    <w:rsid w:val="00F147ED"/>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155B1B"/>
    <w:pPr>
      <w:spacing w:after="0" w:line="240" w:lineRule="auto"/>
    </w:pPr>
    <w:rPr>
      <w:lang w:val="en-GB"/>
    </w:rPr>
  </w:style>
  <w:style w:type="character" w:customStyle="1" w:styleId="SecondnumberingChar">
    <w:name w:val="Second numbering Char"/>
    <w:basedOn w:val="DefaultParagraphFont"/>
    <w:link w:val="Secondnumbering"/>
    <w:rsid w:val="00155B1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s/news/2024023-convocatoria-de-candidaturas-para-la-evaluaci%C3%B3n-metodol%C3%B3gica-del-ipbes-de-la-ordenaci%C3%B3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ms.int/es/news/2024019-evaluaci%C3%B3n-de-la-ordenaci%C3%B3n-territorial-del-ipbes-convocatoria-de-ofertas-para-acog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pbes.net/es/node/5913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bes.net/es/node/71091"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0D3A7943-B9EF-4CF0-8546-FBEADD126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cp:revision>
  <dcterms:created xsi:type="dcterms:W3CDTF">2025-11-10T14:23:00Z</dcterms:created>
  <dcterms:modified xsi:type="dcterms:W3CDTF">2025-11-10T14:23:00Z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