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F4A3" w14:textId="77777777" w:rsidR="006F0FB8" w:rsidRPr="00604EBF" w:rsidRDefault="006F0FB8">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5347AE" w:rsidRPr="005347AE" w14:paraId="175FC001" w14:textId="77777777" w:rsidTr="004F55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25ADF30" w14:textId="77777777" w:rsidR="005347AE" w:rsidRPr="00EC2A58" w:rsidRDefault="005347AE" w:rsidP="004F5577">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7B5BD3A" wp14:editId="122950E9">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330FD0C" w14:textId="77777777" w:rsidR="005347AE" w:rsidRPr="00EC2A58" w:rsidRDefault="005347AE" w:rsidP="004F5577">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9686935" w14:textId="77777777" w:rsidR="005347AE" w:rsidRPr="00EC2A58" w:rsidRDefault="005347AE" w:rsidP="004F5577">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15990AC5" w14:textId="77777777" w:rsidR="005347AE" w:rsidRPr="00EC2A58" w:rsidRDefault="005347AE"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B3EEC5A" w14:textId="77777777" w:rsidR="005347AE" w:rsidRPr="00EC2A58" w:rsidRDefault="005347AE"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27FE08CC" w14:textId="77777777" w:rsidR="005347AE" w:rsidRPr="00EC2A58" w:rsidRDefault="005347AE" w:rsidP="004F557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57A43441" w14:textId="53EF457A" w:rsidR="005347AE" w:rsidRPr="00AF3AEC" w:rsidRDefault="005347AE" w:rsidP="004F557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1D6917">
              <w:rPr>
                <w:rFonts w:eastAsia="Arial" w:cs="Arial"/>
                <w:lang w:val="fr-FR"/>
              </w:rPr>
              <w:t>18.2</w:t>
            </w:r>
          </w:p>
          <w:p w14:paraId="517579A7" w14:textId="3AD6D384" w:rsidR="005347AE" w:rsidRPr="00AF3AEC" w:rsidRDefault="001D6917" w:rsidP="004F557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8 octobre </w:t>
            </w:r>
            <w:r w:rsidR="005347AE" w:rsidRPr="00AF3AEC">
              <w:rPr>
                <w:rFonts w:eastAsia="Arial" w:cs="Arial"/>
                <w:lang w:val="fr-FR"/>
              </w:rPr>
              <w:t>2025</w:t>
            </w:r>
          </w:p>
          <w:p w14:paraId="22C8E5EB" w14:textId="77777777" w:rsidR="005347AE" w:rsidRPr="00FC4F18" w:rsidRDefault="005347AE" w:rsidP="004F5577">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0293194" w14:textId="77777777" w:rsidR="005347AE" w:rsidRPr="00FC4F18" w:rsidRDefault="005347AE" w:rsidP="004F5577">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F55938B" w14:textId="77777777" w:rsidR="005347AE" w:rsidRPr="00EC2A58" w:rsidRDefault="005347AE" w:rsidP="005347AE">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10A29A5" w14:textId="77777777" w:rsidR="005347AE" w:rsidRPr="00EC2A58" w:rsidRDefault="005347AE" w:rsidP="005347A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1DEC52DE" w14:textId="77777777" w:rsidR="005347AE" w:rsidRPr="00EC2A58" w:rsidRDefault="005347AE" w:rsidP="005347A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0E33E3C5" w14:textId="60161CB5" w:rsidR="005347AE" w:rsidRPr="00EC2A58" w:rsidRDefault="005347AE" w:rsidP="005347AE">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1D6917">
        <w:rPr>
          <w:rFonts w:eastAsia="Arial" w:cs="Arial"/>
          <w:iCs/>
          <w:lang w:val="fr-FR"/>
        </w:rPr>
        <w:t>18.2</w:t>
      </w:r>
      <w:r w:rsidRPr="00EC2A58">
        <w:rPr>
          <w:rFonts w:eastAsia="Arial" w:cs="Arial"/>
          <w:iCs/>
          <w:lang w:val="fr-FR"/>
        </w:rPr>
        <w:t xml:space="preserve"> de l’ordre du jour</w:t>
      </w:r>
    </w:p>
    <w:bookmarkEnd w:id="1"/>
    <w:p w14:paraId="36A5CA76"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lang w:val="fr-FR"/>
        </w:rPr>
      </w:pPr>
    </w:p>
    <w:p w14:paraId="1154E205"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lang w:val="fr-FR"/>
        </w:rPr>
      </w:pPr>
    </w:p>
    <w:p w14:paraId="006F826F" w14:textId="77777777" w:rsidR="006F0FB8" w:rsidRPr="00604EBF" w:rsidRDefault="006E33B0">
      <w:pPr>
        <w:widowControl w:val="0"/>
        <w:suppressAutoHyphens/>
        <w:autoSpaceDE w:val="0"/>
        <w:autoSpaceDN w:val="0"/>
        <w:spacing w:after="120" w:line="240" w:lineRule="auto"/>
        <w:jc w:val="center"/>
        <w:textAlignment w:val="baseline"/>
        <w:rPr>
          <w:rFonts w:eastAsia="Times New Roman" w:cs="Arial"/>
          <w:b/>
          <w:bCs/>
          <w:lang w:val="fr-FR"/>
        </w:rPr>
      </w:pPr>
      <w:r w:rsidRPr="00604EBF">
        <w:rPr>
          <w:rFonts w:eastAsia="Arial" w:cs="Arial"/>
          <w:b/>
          <w:bCs/>
          <w:lang w:val="fr-FR"/>
        </w:rPr>
        <w:t>COOPÉRATION ENTRE LA PLATEFORME INTERGOUVERNEMENTALE SCIENTIFIQUE ET POLITIQUE SUR LA BIODIVERSITÉ ET LES SERVICES ÉCOSYSTÉMIQUES (IPBES) ET LA CMS</w:t>
      </w:r>
    </w:p>
    <w:p w14:paraId="50EB7AAB" w14:textId="77777777" w:rsidR="006F0FB8" w:rsidRPr="00604EBF" w:rsidRDefault="006E33B0">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604EBF">
        <w:rPr>
          <w:rFonts w:eastAsia="Times New Roman" w:cs="Arial"/>
          <w:i/>
          <w:lang w:val="fr-FR"/>
        </w:rPr>
        <w:t>(Préparé par le Secrétariat)</w:t>
      </w:r>
    </w:p>
    <w:p w14:paraId="74CDE19D" w14:textId="77777777" w:rsidR="006F0FB8" w:rsidRPr="00604EBF" w:rsidRDefault="006F0FB8">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19553421" w14:textId="7548A422"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74BDA5A2" w14:textId="7ECDAD26" w:rsidR="006F0FB8" w:rsidRPr="00604EBF" w:rsidRDefault="005347AE">
      <w:pPr>
        <w:widowControl w:val="0"/>
        <w:suppressAutoHyphens/>
        <w:autoSpaceDE w:val="0"/>
        <w:autoSpaceDN w:val="0"/>
        <w:spacing w:after="0" w:line="240" w:lineRule="auto"/>
        <w:jc w:val="both"/>
        <w:textAlignment w:val="baseline"/>
        <w:rPr>
          <w:rFonts w:eastAsia="Times New Roman" w:cs="Arial"/>
          <w:sz w:val="21"/>
          <w:szCs w:val="21"/>
          <w:lang w:val="fr-FR"/>
        </w:rPr>
      </w:pPr>
      <w:r>
        <w:rPr>
          <w:rFonts w:eastAsia="Times New Roman" w:cs="Arial"/>
          <w:sz w:val="21"/>
          <w:szCs w:val="21"/>
          <w:lang w:val="fr-FR"/>
        </w:rPr>
        <w:pict w14:anchorId="2773BA1A">
          <v:shapetype id="_x0000_t202" coordsize="21600,21600" o:spt="202" path="m,l,21600r21600,l21600,xe">
            <v:stroke joinstyle="miter"/>
            <v:path gradientshapeok="t" o:connecttype="rect"/>
          </v:shapetype>
          <v:shape id="Text Box 5" o:spid="_x0000_s2050" type="#_x0000_t202" style="position:absolute;left:0;text-align:left;margin-left:70.5pt;margin-top:251.7pt;width:338.95pt;height:177.8pt;z-index:-251658752;visibility:visible;mso-position-horizontal-relative:margin;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" strokeweight=".08811mm">
            <v:textbox>
              <w:txbxContent>
                <w:p w14:paraId="228FEB93" w14:textId="77777777" w:rsidR="00B454CF" w:rsidRPr="00B454CF" w:rsidRDefault="00B454CF" w:rsidP="00B454CF">
                  <w:pPr>
                    <w:shd w:val="clear" w:color="auto" w:fill="FFFFFF"/>
                    <w:spacing w:after="0" w:line="235" w:lineRule="atLeast"/>
                    <w:jc w:val="both"/>
                    <w:rPr>
                      <w:rFonts w:eastAsia="Times New Roman" w:cs="Arial"/>
                      <w:color w:val="222222"/>
                      <w:lang w:val="fr-FR" w:eastAsia="fr-FR"/>
                    </w:rPr>
                  </w:pPr>
                  <w:r w:rsidRPr="00B454CF">
                    <w:rPr>
                      <w:rFonts w:eastAsia="Times New Roman" w:cs="Arial"/>
                      <w:color w:val="222222"/>
                      <w:lang w:val="fr-FR" w:eastAsia="fr-FR"/>
                    </w:rPr>
                    <w:t>Résumé :</w:t>
                  </w:r>
                </w:p>
                <w:p w14:paraId="064D2F89" w14:textId="77777777" w:rsidR="00B454CF" w:rsidRPr="00B454CF" w:rsidRDefault="00B454CF" w:rsidP="00B454CF">
                  <w:pPr>
                    <w:shd w:val="clear" w:color="auto" w:fill="FFFFFF"/>
                    <w:spacing w:after="0" w:line="235" w:lineRule="atLeast"/>
                    <w:jc w:val="both"/>
                    <w:rPr>
                      <w:rFonts w:eastAsia="Times New Roman" w:cs="Arial"/>
                      <w:color w:val="222222"/>
                      <w:lang w:val="fr-FR" w:eastAsia="fr-FR"/>
                    </w:rPr>
                  </w:pPr>
                  <w:r w:rsidRPr="00B454CF">
                    <w:rPr>
                      <w:rFonts w:eastAsia="Times New Roman" w:cs="Arial"/>
                      <w:color w:val="222222"/>
                      <w:lang w:val="fr-FR" w:eastAsia="fr-FR"/>
                    </w:rPr>
                    <w:t> </w:t>
                  </w:r>
                </w:p>
                <w:p w14:paraId="5A255909" w14:textId="77777777" w:rsidR="00B454CF" w:rsidRPr="00B454CF" w:rsidRDefault="00B454CF" w:rsidP="00681321">
                  <w:pPr>
                    <w:shd w:val="clear" w:color="auto" w:fill="FFFFFF"/>
                    <w:spacing w:after="0" w:line="240" w:lineRule="auto"/>
                    <w:jc w:val="both"/>
                    <w:rPr>
                      <w:rFonts w:eastAsia="Times New Roman" w:cs="Arial"/>
                      <w:color w:val="222222"/>
                      <w:lang w:val="fr-FR" w:eastAsia="fr-FR"/>
                    </w:rPr>
                  </w:pPr>
                  <w:r w:rsidRPr="00B454CF">
                    <w:rPr>
                      <w:rFonts w:eastAsia="Times New Roman" w:cs="Arial"/>
                      <w:color w:val="222222"/>
                      <w:lang w:val="fr-FR" w:eastAsia="fr-FR"/>
                    </w:rPr>
                    <w:t>Le présent document fait état des avancées dans la mise en œuvre des décisions 14.12 à 14.14 </w:t>
                  </w:r>
                  <w:r w:rsidRPr="00B454CF">
                    <w:rPr>
                      <w:rFonts w:eastAsia="Times New Roman" w:cs="Arial"/>
                      <w:i/>
                      <w:iCs/>
                      <w:color w:val="222222"/>
                      <w:lang w:val="fr-FR" w:eastAsia="fr-FR"/>
                    </w:rPr>
                    <w:t>Coopération entre la Plateforme intergouvernementale scientifique </w:t>
                  </w:r>
                  <w:r w:rsidRPr="00B454CF">
                    <w:rPr>
                      <w:rFonts w:eastAsia="Times New Roman" w:cs="Arial"/>
                      <w:color w:val="222222"/>
                      <w:lang w:val="fr-FR" w:eastAsia="fr-FR"/>
                    </w:rPr>
                    <w:t>et</w:t>
                  </w:r>
                  <w:r w:rsidRPr="00B454CF">
                    <w:rPr>
                      <w:rFonts w:eastAsia="Times New Roman" w:cs="Arial"/>
                      <w:i/>
                      <w:iCs/>
                      <w:color w:val="222222"/>
                      <w:lang w:val="fr-FR" w:eastAsia="fr-FR"/>
                    </w:rPr>
                    <w:t> politique sur la biodiversité </w:t>
                  </w:r>
                  <w:r w:rsidRPr="00B454CF">
                    <w:rPr>
                      <w:rFonts w:eastAsia="Times New Roman" w:cs="Arial"/>
                      <w:i/>
                      <w:iCs/>
                      <w:color w:val="000000"/>
                      <w:lang w:val="fr-FR" w:eastAsia="fr-FR"/>
                    </w:rPr>
                    <w:t>et les services écosystémiques (IPBES) et la CMS</w:t>
                  </w:r>
                  <w:r w:rsidRPr="00B454CF">
                    <w:rPr>
                      <w:rFonts w:eastAsia="Times New Roman" w:cs="Arial"/>
                      <w:color w:val="000000"/>
                      <w:lang w:val="fr-FR" w:eastAsia="fr-FR"/>
                    </w:rPr>
                    <w:t>. Ce document contient de nouveaux projets de décisions et une proposition d'abrogation des décisions 14.11</w:t>
                  </w:r>
                  <w:r w:rsidRPr="00B454CF">
                    <w:rPr>
                      <w:rFonts w:eastAsia="Times New Roman" w:cs="Arial"/>
                      <w:color w:val="222222"/>
                      <w:lang w:val="fr-FR" w:eastAsia="fr-FR"/>
                    </w:rPr>
                    <w:t> à </w:t>
                  </w:r>
                  <w:r w:rsidRPr="00B454CF">
                    <w:rPr>
                      <w:rFonts w:eastAsia="Times New Roman" w:cs="Arial"/>
                      <w:color w:val="000000"/>
                      <w:lang w:val="fr-FR" w:eastAsia="fr-FR"/>
                    </w:rPr>
                    <w:t>14.14.</w:t>
                  </w:r>
                </w:p>
                <w:p w14:paraId="65D585EF" w14:textId="77777777" w:rsidR="00B454CF" w:rsidRPr="00B454CF" w:rsidRDefault="00B454CF" w:rsidP="00681321">
                  <w:pPr>
                    <w:shd w:val="clear" w:color="auto" w:fill="FFFFFF"/>
                    <w:spacing w:after="0" w:line="240" w:lineRule="auto"/>
                    <w:jc w:val="both"/>
                    <w:rPr>
                      <w:rFonts w:eastAsia="Times New Roman" w:cs="Arial"/>
                      <w:color w:val="222222"/>
                      <w:lang w:val="fr-FR" w:eastAsia="fr-FR"/>
                    </w:rPr>
                  </w:pPr>
                  <w:r w:rsidRPr="00B454CF">
                    <w:rPr>
                      <w:rFonts w:eastAsia="Times New Roman" w:cs="Arial"/>
                      <w:color w:val="000000"/>
                      <w:lang w:val="fr-FR" w:eastAsia="fr-FR"/>
                    </w:rPr>
                    <w:t> </w:t>
                  </w:r>
                </w:p>
                <w:p w14:paraId="0AE31808" w14:textId="1042E5B7" w:rsidR="006F0FB8" w:rsidRPr="00681321" w:rsidRDefault="00B454CF" w:rsidP="00681321">
                  <w:pPr>
                    <w:shd w:val="clear" w:color="auto" w:fill="FFFFFF"/>
                    <w:spacing w:after="0" w:line="240" w:lineRule="auto"/>
                    <w:jc w:val="both"/>
                    <w:rPr>
                      <w:rFonts w:eastAsia="Times New Roman" w:cs="Arial"/>
                      <w:color w:val="222222"/>
                      <w:lang w:val="fr-FR" w:eastAsia="fr-FR"/>
                    </w:rPr>
                  </w:pPr>
                  <w:r w:rsidRPr="00B454CF">
                    <w:rPr>
                      <w:rFonts w:eastAsia="Times New Roman" w:cs="Arial"/>
                      <w:color w:val="000000"/>
                      <w:lang w:val="fr-FR" w:eastAsia="fr-FR"/>
                    </w:rPr>
                    <w:t>Les projets de décisions figurant à l’Annexe 1 de ce document soutiendraient la réalisation de la Cible 5.3 du Plan stratégique de Samarcande pour </w:t>
                  </w:r>
                  <w:r w:rsidRPr="00B454CF">
                    <w:rPr>
                      <w:rFonts w:eastAsia="Times New Roman" w:cs="Arial"/>
                      <w:color w:val="222222"/>
                      <w:lang w:val="fr-FR" w:eastAsia="fr-FR"/>
                    </w:rPr>
                    <w:t>les espèces migratrices 2024–2032.</w:t>
                  </w:r>
                </w:p>
              </w:txbxContent>
            </v:textbox>
            <w10:wrap type="square" anchorx="margin" anchory="margin"/>
          </v:shape>
        </w:pict>
      </w:r>
    </w:p>
    <w:p w14:paraId="2A883B47"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4756DD59"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6A766EE7"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5C89905F"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24748167"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24950DAF"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053AAE12"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3734A48F"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7999C861"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1BA9278D"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435F1EDE"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sz w:val="21"/>
          <w:szCs w:val="21"/>
          <w:lang w:val="fr-FR"/>
        </w:rPr>
      </w:pPr>
    </w:p>
    <w:p w14:paraId="333011E7" w14:textId="77777777" w:rsidR="006F0FB8" w:rsidRPr="00604EBF" w:rsidRDefault="006F0FB8">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562B89EE"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lang w:val="fr-FR"/>
        </w:rPr>
      </w:pPr>
    </w:p>
    <w:p w14:paraId="5F576672" w14:textId="77777777" w:rsidR="006F0FB8" w:rsidRPr="00604EBF" w:rsidRDefault="006F0FB8">
      <w:pPr>
        <w:widowControl w:val="0"/>
        <w:suppressAutoHyphens/>
        <w:autoSpaceDE w:val="0"/>
        <w:autoSpaceDN w:val="0"/>
        <w:spacing w:after="0" w:line="240" w:lineRule="auto"/>
        <w:jc w:val="both"/>
        <w:textAlignment w:val="baseline"/>
        <w:rPr>
          <w:rFonts w:eastAsia="Times New Roman" w:cs="Arial"/>
          <w:lang w:val="fr-FR"/>
        </w:rPr>
      </w:pPr>
    </w:p>
    <w:p w14:paraId="37020E56" w14:textId="77777777" w:rsidR="006F0FB8" w:rsidRPr="00604EBF" w:rsidRDefault="006F0FB8">
      <w:pPr>
        <w:spacing w:after="0" w:line="240" w:lineRule="auto"/>
        <w:jc w:val="both"/>
        <w:rPr>
          <w:lang w:val="fr-FR"/>
        </w:rPr>
      </w:pPr>
    </w:p>
    <w:p w14:paraId="64ECDACC" w14:textId="77777777" w:rsidR="006F0FB8" w:rsidRPr="00604EBF" w:rsidRDefault="006F0FB8">
      <w:pPr>
        <w:spacing w:after="0" w:line="240" w:lineRule="auto"/>
        <w:jc w:val="both"/>
        <w:rPr>
          <w:lang w:val="fr-FR"/>
        </w:rPr>
      </w:pPr>
    </w:p>
    <w:p w14:paraId="6D92B0FA" w14:textId="77777777" w:rsidR="006F0FB8" w:rsidRPr="00604EBF" w:rsidRDefault="006F0FB8">
      <w:pPr>
        <w:spacing w:after="0" w:line="240" w:lineRule="auto"/>
        <w:jc w:val="both"/>
        <w:rPr>
          <w:lang w:val="fr-FR"/>
        </w:rPr>
      </w:pPr>
    </w:p>
    <w:p w14:paraId="2F9C641A" w14:textId="77777777" w:rsidR="006F0FB8" w:rsidRPr="00604EBF" w:rsidRDefault="006F0FB8">
      <w:pPr>
        <w:spacing w:after="0" w:line="240" w:lineRule="auto"/>
        <w:jc w:val="both"/>
        <w:rPr>
          <w:lang w:val="fr-FR"/>
        </w:rPr>
      </w:pPr>
    </w:p>
    <w:p w14:paraId="1DB907E6" w14:textId="77777777" w:rsidR="006F0FB8" w:rsidRPr="00604EBF" w:rsidRDefault="006F0FB8">
      <w:pPr>
        <w:spacing w:after="0" w:line="240" w:lineRule="auto"/>
        <w:jc w:val="both"/>
        <w:rPr>
          <w:lang w:val="fr-FR"/>
        </w:rPr>
      </w:pPr>
    </w:p>
    <w:p w14:paraId="5E70BCD9" w14:textId="77777777" w:rsidR="006F0FB8" w:rsidRPr="00604EBF" w:rsidRDefault="006F0FB8">
      <w:pPr>
        <w:spacing w:after="0" w:line="240" w:lineRule="auto"/>
        <w:jc w:val="both"/>
        <w:rPr>
          <w:lang w:val="fr-FR"/>
        </w:rPr>
      </w:pPr>
    </w:p>
    <w:p w14:paraId="2609B6D0" w14:textId="77777777" w:rsidR="006F0FB8" w:rsidRPr="00604EBF" w:rsidRDefault="006F0FB8">
      <w:pPr>
        <w:spacing w:after="0" w:line="240" w:lineRule="auto"/>
        <w:jc w:val="both"/>
        <w:rPr>
          <w:lang w:val="fr-FR"/>
        </w:rPr>
      </w:pPr>
    </w:p>
    <w:p w14:paraId="5DB70534" w14:textId="77777777" w:rsidR="006F0FB8" w:rsidRPr="00604EBF" w:rsidRDefault="006F0FB8">
      <w:pPr>
        <w:spacing w:after="0" w:line="240" w:lineRule="auto"/>
        <w:jc w:val="both"/>
        <w:rPr>
          <w:lang w:val="fr-FR"/>
        </w:rPr>
      </w:pPr>
    </w:p>
    <w:p w14:paraId="514F8C35" w14:textId="77777777" w:rsidR="006F0FB8" w:rsidRPr="00604EBF" w:rsidRDefault="006F0FB8">
      <w:pPr>
        <w:spacing w:after="0" w:line="240" w:lineRule="auto"/>
        <w:jc w:val="both"/>
        <w:rPr>
          <w:lang w:val="fr-FR"/>
        </w:rPr>
      </w:pPr>
    </w:p>
    <w:p w14:paraId="73C2B1CE" w14:textId="77777777" w:rsidR="006F0FB8" w:rsidRPr="00604EBF" w:rsidRDefault="006F0FB8">
      <w:pPr>
        <w:spacing w:after="0" w:line="240" w:lineRule="auto"/>
        <w:jc w:val="both"/>
        <w:rPr>
          <w:lang w:val="fr-FR"/>
        </w:rPr>
      </w:pPr>
    </w:p>
    <w:p w14:paraId="0F2C22E6" w14:textId="77777777" w:rsidR="006F0FB8" w:rsidRPr="00604EBF" w:rsidRDefault="006E33B0">
      <w:pPr>
        <w:jc w:val="both"/>
        <w:rPr>
          <w:lang w:val="fr-FR"/>
        </w:rPr>
      </w:pPr>
      <w:r w:rsidRPr="00604EBF">
        <w:rPr>
          <w:lang w:val="fr-FR"/>
        </w:rPr>
        <w:br w:type="page"/>
      </w:r>
    </w:p>
    <w:p w14:paraId="2B439D29" w14:textId="77777777" w:rsidR="006F0FB8" w:rsidRPr="00604EBF" w:rsidRDefault="006E33B0">
      <w:pPr>
        <w:widowControl w:val="0"/>
        <w:spacing w:after="0" w:line="240" w:lineRule="auto"/>
        <w:jc w:val="center"/>
        <w:rPr>
          <w:rFonts w:eastAsia="Arial" w:cs="Arial"/>
          <w:b/>
          <w:bCs/>
          <w:lang w:val="fr-FR"/>
        </w:rPr>
      </w:pPr>
      <w:r w:rsidRPr="00604EBF">
        <w:rPr>
          <w:rFonts w:eastAsia="Arial" w:cs="Arial"/>
          <w:b/>
          <w:bCs/>
          <w:lang w:val="fr-FR"/>
        </w:rPr>
        <w:lastRenderedPageBreak/>
        <w:t xml:space="preserve">COOPÉRATION ENTRE LA PLATEFORME INTERGOUVERNEMENTALE SCIENTIFIQUE </w:t>
      </w:r>
      <w:r w:rsidRPr="00604EBF">
        <w:rPr>
          <w:rFonts w:cs="Arial"/>
          <w:b/>
          <w:bCs/>
          <w:lang w:val="fr-FR"/>
        </w:rPr>
        <w:t>ET</w:t>
      </w:r>
      <w:r w:rsidRPr="00604EBF">
        <w:rPr>
          <w:rFonts w:eastAsia="Arial" w:cs="Arial"/>
          <w:b/>
          <w:bCs/>
          <w:lang w:val="fr-FR"/>
        </w:rPr>
        <w:t xml:space="preserve"> POLITIQUE SUR LA BIODIVERSITÉ ET LES SERVICES ÉCOSYSTÉMIQUES (IPBES) ET LA CMS</w:t>
      </w:r>
    </w:p>
    <w:p w14:paraId="5BF0EBEF" w14:textId="77777777" w:rsidR="006F0FB8" w:rsidRPr="00604EBF" w:rsidRDefault="006F0FB8">
      <w:pPr>
        <w:suppressAutoHyphens/>
        <w:autoSpaceDN w:val="0"/>
        <w:spacing w:after="0" w:line="240" w:lineRule="auto"/>
        <w:textAlignment w:val="baseline"/>
        <w:rPr>
          <w:rFonts w:eastAsia="Calibri" w:cs="Arial"/>
          <w:lang w:val="fr-FR"/>
        </w:rPr>
      </w:pPr>
    </w:p>
    <w:p w14:paraId="449818F3" w14:textId="77777777" w:rsidR="006F0FB8" w:rsidRPr="00604EBF" w:rsidRDefault="006F0FB8">
      <w:pPr>
        <w:spacing w:after="0" w:line="240" w:lineRule="auto"/>
        <w:jc w:val="both"/>
        <w:rPr>
          <w:rFonts w:cs="Arial"/>
          <w:i/>
          <w:lang w:val="fr-FR"/>
        </w:rPr>
      </w:pPr>
    </w:p>
    <w:p w14:paraId="1A01F60D" w14:textId="77777777" w:rsidR="006F0FB8" w:rsidRPr="00604EBF" w:rsidRDefault="006E33B0">
      <w:pPr>
        <w:suppressAutoHyphens/>
        <w:autoSpaceDN w:val="0"/>
        <w:spacing w:after="0" w:line="240" w:lineRule="auto"/>
        <w:jc w:val="both"/>
        <w:textAlignment w:val="baseline"/>
        <w:rPr>
          <w:rFonts w:eastAsia="Calibri" w:cs="Arial"/>
          <w:u w:val="single"/>
          <w:lang w:val="fr-FR"/>
        </w:rPr>
      </w:pPr>
      <w:r w:rsidRPr="00604EBF">
        <w:rPr>
          <w:rFonts w:eastAsia="Calibri" w:cs="Arial"/>
          <w:u w:val="single"/>
          <w:lang w:val="fr-FR"/>
        </w:rPr>
        <w:t>Contexte</w:t>
      </w:r>
    </w:p>
    <w:p w14:paraId="5849070B" w14:textId="77777777" w:rsidR="006F0FB8" w:rsidRPr="00604EBF" w:rsidRDefault="006F0FB8">
      <w:pPr>
        <w:spacing w:after="0" w:line="240" w:lineRule="auto"/>
        <w:jc w:val="both"/>
        <w:rPr>
          <w:rFonts w:cs="Arial"/>
          <w:lang w:val="fr-FR"/>
        </w:rPr>
      </w:pPr>
    </w:p>
    <w:p w14:paraId="04A0254A" w14:textId="77777777" w:rsidR="006F0FB8" w:rsidRPr="00604EBF" w:rsidRDefault="006E33B0">
      <w:pPr>
        <w:widowControl w:val="0"/>
        <w:numPr>
          <w:ilvl w:val="0"/>
          <w:numId w:val="4"/>
        </w:numPr>
        <w:autoSpaceDE w:val="0"/>
        <w:autoSpaceDN w:val="0"/>
        <w:adjustRightInd w:val="0"/>
        <w:spacing w:after="0" w:line="240" w:lineRule="auto"/>
        <w:ind w:left="567" w:hanging="567"/>
        <w:contextualSpacing/>
        <w:jc w:val="both"/>
        <w:rPr>
          <w:rFonts w:cs="Arial"/>
          <w:lang w:val="fr-FR"/>
        </w:rPr>
      </w:pPr>
      <w:bookmarkStart w:id="2" w:name="_Hlk19517251"/>
      <w:bookmarkEnd w:id="2"/>
      <w:r w:rsidRPr="00604EBF">
        <w:rPr>
          <w:rFonts w:eastAsia="Arial" w:cs="Arial"/>
          <w:lang w:val="fr-FR"/>
        </w:rPr>
        <w:t xml:space="preserve">La Plateforme intergouvernementale scientifique </w:t>
      </w:r>
      <w:r w:rsidRPr="00604EBF">
        <w:rPr>
          <w:rFonts w:cs="Arial"/>
          <w:lang w:val="fr-FR"/>
        </w:rPr>
        <w:t>et</w:t>
      </w:r>
      <w:r w:rsidRPr="00604EBF">
        <w:rPr>
          <w:rFonts w:eastAsia="Arial" w:cs="Arial"/>
          <w:lang w:val="fr-FR"/>
        </w:rPr>
        <w:t xml:space="preserve"> politique sur la biodiversité et les services écosystémiques (IPBES) est un organisme intergouvernemental indépendant créé en 2012 sous l’égide des Nations Unies. Elle vise à renforcer l’interface science-politique pour la biodiversité et les services écosystémiques afin de soutenir la conservation et l’utilisation durable de la biodiversité, le bien-être humain à long terme et le développement durable. Reconnaissant l’importance des travaux de l’IPBES pour la mise en œuvre de la Convention, la CMS collabore avec l’IPBES depuis sa création, en tirant parti de ses évaluations sur l’état des connaissances relatives à la biodiversité et aux services écosystémiques.</w:t>
      </w:r>
    </w:p>
    <w:p w14:paraId="0EC337C4" w14:textId="77777777" w:rsidR="006F0FB8" w:rsidRPr="00604EBF" w:rsidRDefault="006F0FB8">
      <w:pPr>
        <w:widowControl w:val="0"/>
        <w:autoSpaceDE w:val="0"/>
        <w:autoSpaceDN w:val="0"/>
        <w:adjustRightInd w:val="0"/>
        <w:spacing w:after="0" w:line="240" w:lineRule="auto"/>
        <w:contextualSpacing/>
        <w:jc w:val="both"/>
        <w:rPr>
          <w:rFonts w:cs="Arial"/>
          <w:lang w:val="fr-FR"/>
        </w:rPr>
      </w:pPr>
    </w:p>
    <w:p w14:paraId="723F104C" w14:textId="77777777" w:rsidR="006F0FB8" w:rsidRPr="00604EBF" w:rsidRDefault="006E33B0">
      <w:pPr>
        <w:widowControl w:val="0"/>
        <w:numPr>
          <w:ilvl w:val="0"/>
          <w:numId w:val="4"/>
        </w:numPr>
        <w:autoSpaceDE w:val="0"/>
        <w:autoSpaceDN w:val="0"/>
        <w:adjustRightInd w:val="0"/>
        <w:spacing w:after="0" w:line="240" w:lineRule="auto"/>
        <w:ind w:left="567" w:hanging="567"/>
        <w:jc w:val="both"/>
        <w:rPr>
          <w:rFonts w:cs="Arial"/>
          <w:lang w:val="fr-FR"/>
        </w:rPr>
      </w:pPr>
      <w:r w:rsidRPr="00604EBF">
        <w:rPr>
          <w:rFonts w:eastAsia="Arial" w:cs="Arial"/>
          <w:lang w:val="fr-FR"/>
        </w:rPr>
        <w:t>Afin de renforcer davantage la coopération avec l’IPBES, la 14</w:t>
      </w:r>
      <w:r w:rsidRPr="00604EBF">
        <w:rPr>
          <w:rFonts w:eastAsia="Arial" w:cs="Arial"/>
          <w:vertAlign w:val="superscript"/>
          <w:lang w:val="fr-FR"/>
        </w:rPr>
        <w:t>e</w:t>
      </w:r>
      <w:r w:rsidRPr="00604EBF">
        <w:rPr>
          <w:rFonts w:eastAsia="Arial" w:cs="Arial"/>
          <w:lang w:val="fr-FR"/>
        </w:rPr>
        <w:t xml:space="preserve"> Session de la Conférence des Parties (COP14) a adopté les décisions 14.11 </w:t>
      </w:r>
      <w:r w:rsidRPr="00604EBF">
        <w:rPr>
          <w:rFonts w:cs="Arial"/>
          <w:lang w:val="fr-FR"/>
        </w:rPr>
        <w:t>à</w:t>
      </w:r>
      <w:r w:rsidRPr="00604EBF">
        <w:rPr>
          <w:rFonts w:eastAsia="Arial" w:cs="Arial"/>
          <w:lang w:val="fr-FR"/>
        </w:rPr>
        <w:t xml:space="preserve"> 14.14. </w:t>
      </w:r>
      <w:r w:rsidRPr="00604EBF">
        <w:rPr>
          <w:rFonts w:eastAsia="Arial" w:cs="Arial"/>
          <w:i/>
          <w:iCs/>
          <w:lang w:val="fr-FR"/>
        </w:rPr>
        <w:t>La coopération entre la Plateforme intergouvernementale scientifique et politique sur la biodiversité et les services écosystémiques (IPBES) et la CMS</w:t>
      </w:r>
      <w:r w:rsidRPr="00604EBF">
        <w:rPr>
          <w:rFonts w:eastAsia="Arial" w:cs="Arial"/>
          <w:lang w:val="fr-FR"/>
        </w:rPr>
        <w:t>, qui</w:t>
      </w:r>
      <w:r w:rsidRPr="00604EBF">
        <w:rPr>
          <w:rFonts w:cs="Arial"/>
          <w:lang w:val="fr-FR"/>
        </w:rPr>
        <w:t xml:space="preserve"> confère des mandats spécifiques au Conseil scientifique et au Secrétariat pour s'engager dans les processus pertinents de l'IPBES :</w:t>
      </w:r>
    </w:p>
    <w:p w14:paraId="7861395A" w14:textId="77777777" w:rsidR="006F0FB8" w:rsidRPr="00604EBF" w:rsidRDefault="006F0FB8">
      <w:pPr>
        <w:widowControl w:val="0"/>
        <w:autoSpaceDE w:val="0"/>
        <w:autoSpaceDN w:val="0"/>
        <w:adjustRightInd w:val="0"/>
        <w:spacing w:after="0" w:line="240" w:lineRule="auto"/>
        <w:ind w:left="567"/>
        <w:jc w:val="both"/>
        <w:rPr>
          <w:rFonts w:cs="Arial"/>
          <w:lang w:val="fr-FR"/>
        </w:rPr>
      </w:pPr>
    </w:p>
    <w:p w14:paraId="44E23ABD" w14:textId="49C2C086" w:rsidR="006F0FB8" w:rsidRPr="006728CD" w:rsidRDefault="006E33B0" w:rsidP="00C44938">
      <w:pPr>
        <w:pStyle w:val="ListParagraph"/>
        <w:numPr>
          <w:ilvl w:val="1"/>
          <w:numId w:val="12"/>
        </w:numPr>
        <w:spacing w:after="0" w:line="240" w:lineRule="auto"/>
        <w:ind w:left="851" w:firstLine="0"/>
        <w:contextualSpacing w:val="0"/>
        <w:jc w:val="both"/>
        <w:rPr>
          <w:rFonts w:eastAsia="Arial" w:cs="Arial"/>
          <w:b/>
          <w:bCs/>
          <w:i/>
          <w:iCs/>
          <w:sz w:val="20"/>
          <w:szCs w:val="20"/>
          <w:lang w:val="fr-FR"/>
        </w:rPr>
      </w:pPr>
      <w:r w:rsidRPr="006728CD">
        <w:rPr>
          <w:rFonts w:eastAsia="Arial" w:cs="Arial"/>
          <w:b/>
          <w:bCs/>
          <w:i/>
          <w:iCs/>
          <w:sz w:val="20"/>
          <w:szCs w:val="20"/>
          <w:lang w:val="fr-FR"/>
        </w:rPr>
        <w:t xml:space="preserve"> </w:t>
      </w:r>
      <w:r w:rsidR="00604EBF" w:rsidRPr="006728CD">
        <w:rPr>
          <w:rFonts w:cs="Arial"/>
          <w:b/>
          <w:bCs/>
          <w:i/>
          <w:iCs/>
          <w:sz w:val="20"/>
          <w:szCs w:val="20"/>
          <w:lang w:val="fr-FR"/>
        </w:rPr>
        <w:t>À l'adresse du Conseil scientifique</w:t>
      </w:r>
      <w:r w:rsidRPr="006728CD">
        <w:rPr>
          <w:rFonts w:eastAsia="Arial" w:cs="Arial"/>
          <w:b/>
          <w:bCs/>
          <w:i/>
          <w:iCs/>
          <w:sz w:val="20"/>
          <w:szCs w:val="20"/>
          <w:lang w:val="fr-FR"/>
        </w:rPr>
        <w:t>:</w:t>
      </w:r>
    </w:p>
    <w:p w14:paraId="35F4470B" w14:textId="77777777" w:rsidR="006F0FB8" w:rsidRPr="006728CD" w:rsidRDefault="006F0FB8" w:rsidP="00C44938">
      <w:pPr>
        <w:pStyle w:val="ListParagraph"/>
        <w:spacing w:after="0" w:line="240" w:lineRule="auto"/>
        <w:contextualSpacing w:val="0"/>
        <w:jc w:val="both"/>
        <w:rPr>
          <w:rFonts w:eastAsia="Arial" w:cs="Arial"/>
          <w:i/>
          <w:iCs/>
          <w:sz w:val="20"/>
          <w:szCs w:val="20"/>
          <w:lang w:val="fr-FR"/>
        </w:rPr>
      </w:pPr>
    </w:p>
    <w:p w14:paraId="23CE6D5D" w14:textId="77777777" w:rsidR="00604EBF" w:rsidRPr="006728CD" w:rsidRDefault="00604EBF" w:rsidP="00C44938">
      <w:pPr>
        <w:shd w:val="clear" w:color="auto" w:fill="FFFFFF"/>
        <w:suppressAutoHyphens/>
        <w:spacing w:after="0" w:line="240" w:lineRule="auto"/>
        <w:ind w:left="851"/>
        <w:jc w:val="both"/>
        <w:rPr>
          <w:rFonts w:cs="Arial"/>
          <w:i/>
          <w:iCs/>
          <w:sz w:val="20"/>
          <w:szCs w:val="20"/>
          <w:lang w:val="fr-FR"/>
        </w:rPr>
      </w:pPr>
      <w:r w:rsidRPr="006728CD">
        <w:rPr>
          <w:rFonts w:cs="Arial"/>
          <w:i/>
          <w:iCs/>
          <w:sz w:val="20"/>
          <w:szCs w:val="20"/>
          <w:lang w:val="fr-FR"/>
        </w:rPr>
        <w:t>Le Conseil scientifique est invité, sous réserve de la disponibilité des ressources, à s'engager activement dans les processus pertinents de cadrage et d'examen des évaluations de l'IPBES qui ont été décidés en plénière par l'IPBES à sa dixième session, en particulier en ce qui concerne l'évaluation de la planification spatiale intégrée tenant compte de la biodiversité et de la connectivité écologique, et une deuxième évaluation mondiale de la biodiversité et des services écosystémiques, afin de s'assurer que les priorités de la CMS sont prises en compte.</w:t>
      </w:r>
    </w:p>
    <w:p w14:paraId="419946E9" w14:textId="77777777" w:rsidR="006F0FB8" w:rsidRPr="00604EBF" w:rsidRDefault="006F0FB8" w:rsidP="00C44938">
      <w:pPr>
        <w:pStyle w:val="ListParagraph"/>
        <w:spacing w:after="0" w:line="240" w:lineRule="auto"/>
        <w:contextualSpacing w:val="0"/>
        <w:jc w:val="both"/>
        <w:rPr>
          <w:rFonts w:eastAsia="Arial" w:cs="Arial"/>
          <w:i/>
          <w:iCs/>
          <w:sz w:val="20"/>
          <w:szCs w:val="20"/>
          <w:highlight w:val="yellow"/>
          <w:lang w:val="fr-FR"/>
        </w:rPr>
      </w:pPr>
    </w:p>
    <w:p w14:paraId="30422B4B" w14:textId="5FFBABC2" w:rsidR="006F0FB8" w:rsidRPr="00C44938" w:rsidRDefault="006E33B0" w:rsidP="00C44938">
      <w:pPr>
        <w:pStyle w:val="ListParagraph"/>
        <w:spacing w:after="0" w:line="240" w:lineRule="auto"/>
        <w:ind w:left="851"/>
        <w:contextualSpacing w:val="0"/>
        <w:jc w:val="both"/>
        <w:rPr>
          <w:rFonts w:eastAsia="Arial" w:cs="Arial"/>
          <w:b/>
          <w:bCs/>
          <w:i/>
          <w:iCs/>
          <w:sz w:val="20"/>
          <w:szCs w:val="20"/>
          <w:lang w:val="fr-FR"/>
        </w:rPr>
      </w:pPr>
      <w:r w:rsidRPr="00C44938">
        <w:rPr>
          <w:rFonts w:eastAsia="Arial" w:cs="Arial"/>
          <w:b/>
          <w:bCs/>
          <w:i/>
          <w:iCs/>
          <w:sz w:val="20"/>
          <w:szCs w:val="20"/>
          <w:lang w:val="fr-FR"/>
        </w:rPr>
        <w:t xml:space="preserve">14.13 </w:t>
      </w:r>
      <w:r w:rsidR="00604EBF" w:rsidRPr="00C44938">
        <w:rPr>
          <w:rFonts w:cs="Arial"/>
          <w:b/>
          <w:bCs/>
          <w:i/>
          <w:iCs/>
          <w:sz w:val="20"/>
          <w:szCs w:val="20"/>
          <w:lang w:val="fr-FR"/>
        </w:rPr>
        <w:t>À l'adresse du Conseil scientifique</w:t>
      </w:r>
      <w:r w:rsidRPr="00C44938">
        <w:rPr>
          <w:rFonts w:eastAsia="Arial" w:cs="Arial"/>
          <w:b/>
          <w:bCs/>
          <w:i/>
          <w:iCs/>
          <w:sz w:val="20"/>
          <w:szCs w:val="20"/>
          <w:lang w:val="fr-FR"/>
        </w:rPr>
        <w:t>:</w:t>
      </w:r>
    </w:p>
    <w:p w14:paraId="75839D22" w14:textId="77777777" w:rsidR="006F0FB8" w:rsidRPr="00C44938" w:rsidRDefault="006F0FB8" w:rsidP="00C44938">
      <w:pPr>
        <w:pStyle w:val="ListParagraph"/>
        <w:spacing w:after="0" w:line="240" w:lineRule="auto"/>
        <w:ind w:left="851"/>
        <w:contextualSpacing w:val="0"/>
        <w:jc w:val="both"/>
        <w:rPr>
          <w:rFonts w:eastAsia="Arial" w:cs="Arial"/>
          <w:b/>
          <w:bCs/>
          <w:i/>
          <w:iCs/>
          <w:sz w:val="20"/>
          <w:szCs w:val="20"/>
          <w:lang w:val="fr-FR"/>
        </w:rPr>
      </w:pPr>
    </w:p>
    <w:p w14:paraId="2E7F04A2" w14:textId="478A38F9" w:rsidR="006F0FB8" w:rsidRPr="00604EBF" w:rsidRDefault="00604EBF" w:rsidP="00C44938">
      <w:pPr>
        <w:pStyle w:val="ListParagraph"/>
        <w:spacing w:after="0" w:line="240" w:lineRule="auto"/>
        <w:ind w:left="851"/>
        <w:contextualSpacing w:val="0"/>
        <w:jc w:val="both"/>
        <w:rPr>
          <w:rFonts w:cs="Arial"/>
          <w:i/>
          <w:iCs/>
          <w:sz w:val="20"/>
          <w:szCs w:val="20"/>
          <w:lang w:val="fr-FR"/>
        </w:rPr>
      </w:pPr>
      <w:bookmarkStart w:id="3" w:name="_Hlk210915064"/>
      <w:r w:rsidRPr="00C44938">
        <w:rPr>
          <w:rFonts w:cs="Arial"/>
          <w:i/>
          <w:iCs/>
          <w:sz w:val="20"/>
          <w:szCs w:val="20"/>
          <w:lang w:val="fr-FR"/>
        </w:rPr>
        <w:t>Le Conseil scientifique est invité, sous réserve de la disponibilité des ressources, à examiner les résultats des travaux récents et à venir de l'IPBES, notamment l'évaluation de l'utilisation durable des espèces sauvages, l'évaluation de la diversité des valeurs de la nature et leur estimation, l'évaluation des espèces exotiques envahissantes et leur contrôle, le rapport de l'atelier coparrainé par l'IPBES et le GIEC sur la biodiversité et les changements climatiques, l'évaluation des liens entre la biodiversité, l'eau, l'alimentation et la santé, l'évaluation des causes sous-jacentes de la biodiversité, l'évaluation de l'impact du changement climatique et l'évaluation de l'impact du changement climatique sur la biodiversité, l'évaluation des causes sous-jacentes de la perte de biodiversité et des moteurs du changement, et les options qui permettraient de réaliser la Vision 2050 pour la biodiversité, l'évaluation de l'impact des entreprises sur une biodiversité dont elles dépendent et des contribution de la nature aux personnes, et l'évaluation sur la surveillance de la biodiversité et des contributions de la nature aux personnes, et à préparer des recommandations relatives à la mise en œuvre de la Convention pour examen par la Conférence des Parties lors de sa 15e session.</w:t>
      </w:r>
    </w:p>
    <w:p w14:paraId="13E702BD" w14:textId="77777777" w:rsidR="00995708" w:rsidRDefault="00995708" w:rsidP="00F450D6">
      <w:pPr>
        <w:pStyle w:val="ListParagraph"/>
        <w:spacing w:after="0" w:line="240" w:lineRule="auto"/>
        <w:ind w:left="851"/>
        <w:jc w:val="both"/>
        <w:rPr>
          <w:rFonts w:eastAsia="Arial" w:cs="Arial"/>
          <w:b/>
          <w:bCs/>
          <w:i/>
          <w:iCs/>
          <w:sz w:val="20"/>
          <w:szCs w:val="20"/>
          <w:lang w:val="fr-FR"/>
        </w:rPr>
      </w:pPr>
    </w:p>
    <w:p w14:paraId="59E18661" w14:textId="243B598C" w:rsidR="006F0FB8" w:rsidRPr="00F450D6" w:rsidRDefault="006E33B0" w:rsidP="00F450D6">
      <w:pPr>
        <w:pStyle w:val="ListParagraph"/>
        <w:spacing w:after="0" w:line="240" w:lineRule="auto"/>
        <w:ind w:left="851"/>
        <w:jc w:val="both"/>
        <w:rPr>
          <w:rFonts w:eastAsia="Arial" w:cs="Arial"/>
          <w:b/>
          <w:bCs/>
          <w:i/>
          <w:iCs/>
          <w:sz w:val="20"/>
          <w:szCs w:val="20"/>
          <w:lang w:val="fr-FR"/>
        </w:rPr>
      </w:pPr>
      <w:r w:rsidRPr="00F450D6">
        <w:rPr>
          <w:rFonts w:eastAsia="Arial" w:cs="Arial"/>
          <w:b/>
          <w:bCs/>
          <w:i/>
          <w:iCs/>
          <w:sz w:val="20"/>
          <w:szCs w:val="20"/>
          <w:lang w:val="fr-FR"/>
        </w:rPr>
        <w:t xml:space="preserve">14.14 </w:t>
      </w:r>
      <w:r w:rsidR="00604EBF" w:rsidRPr="00F450D6">
        <w:rPr>
          <w:rFonts w:cs="Arial"/>
          <w:b/>
          <w:i/>
          <w:sz w:val="20"/>
          <w:szCs w:val="20"/>
          <w:lang w:val="fr-FR"/>
        </w:rPr>
        <w:t>À l'adresse du Secrétariat</w:t>
      </w:r>
      <w:r w:rsidRPr="00F450D6">
        <w:rPr>
          <w:rFonts w:eastAsia="Arial" w:cs="Arial"/>
          <w:b/>
          <w:i/>
          <w:sz w:val="20"/>
          <w:szCs w:val="20"/>
          <w:lang w:val="fr-FR"/>
        </w:rPr>
        <w:t>:</w:t>
      </w:r>
    </w:p>
    <w:p w14:paraId="3BED14AD" w14:textId="77777777" w:rsidR="006F0FB8" w:rsidRPr="00F450D6" w:rsidRDefault="006F0FB8" w:rsidP="00F450D6">
      <w:pPr>
        <w:pStyle w:val="ListParagraph"/>
        <w:spacing w:after="0" w:line="240" w:lineRule="auto"/>
        <w:ind w:left="851"/>
        <w:jc w:val="both"/>
        <w:rPr>
          <w:rFonts w:eastAsia="Arial" w:cs="Arial"/>
          <w:i/>
          <w:iCs/>
          <w:sz w:val="20"/>
          <w:szCs w:val="20"/>
          <w:lang w:val="fr-FR"/>
        </w:rPr>
      </w:pPr>
    </w:p>
    <w:p w14:paraId="2F89259A" w14:textId="77777777" w:rsidR="00604EBF" w:rsidRPr="00F450D6" w:rsidRDefault="00604EBF" w:rsidP="00F450D6">
      <w:pPr>
        <w:suppressAutoHyphens/>
        <w:spacing w:line="240" w:lineRule="auto"/>
        <w:ind w:left="851" w:firstLine="391"/>
        <w:rPr>
          <w:rFonts w:cs="Arial"/>
          <w:sz w:val="20"/>
          <w:szCs w:val="20"/>
          <w:lang w:val="fr-FR"/>
        </w:rPr>
      </w:pPr>
      <w:r w:rsidRPr="00F450D6">
        <w:rPr>
          <w:rFonts w:cs="Arial"/>
          <w:i/>
          <w:iCs/>
          <w:sz w:val="20"/>
          <w:szCs w:val="20"/>
          <w:lang w:val="fr-FR"/>
        </w:rPr>
        <w:t>Le Secrétariat est prié</w:t>
      </w:r>
      <w:r w:rsidRPr="00F450D6">
        <w:rPr>
          <w:rFonts w:cs="Arial"/>
          <w:sz w:val="20"/>
          <w:szCs w:val="20"/>
          <w:lang w:val="fr-FR"/>
        </w:rPr>
        <w:t xml:space="preserve"> :</w:t>
      </w:r>
    </w:p>
    <w:p w14:paraId="59B5DCA7" w14:textId="77777777" w:rsidR="00604EBF" w:rsidRPr="00F450D6" w:rsidRDefault="00604EBF" w:rsidP="00F450D6">
      <w:pPr>
        <w:numPr>
          <w:ilvl w:val="0"/>
          <w:numId w:val="11"/>
        </w:numPr>
        <w:suppressAutoHyphens/>
        <w:spacing w:after="0" w:line="240" w:lineRule="auto"/>
        <w:ind w:left="1276"/>
        <w:jc w:val="both"/>
        <w:textAlignment w:val="baseline"/>
        <w:rPr>
          <w:rFonts w:cs="Arial"/>
          <w:sz w:val="20"/>
          <w:szCs w:val="20"/>
          <w:lang w:val="fr-FR"/>
        </w:rPr>
      </w:pPr>
      <w:r w:rsidRPr="00F450D6">
        <w:rPr>
          <w:rFonts w:cs="Arial"/>
          <w:sz w:val="20"/>
          <w:szCs w:val="20"/>
          <w:shd w:val="clear" w:color="auto" w:fill="FFFFFF"/>
          <w:lang w:val="fr-FR"/>
        </w:rPr>
        <w:t xml:space="preserve">d’aider le Conseil scientifique à s'engager dans les processus pertinents de délimitation du champs d’application des évaluations de l’IPBES approuvés lors de la plénière de </w:t>
      </w:r>
      <w:r w:rsidRPr="00F450D6">
        <w:rPr>
          <w:rFonts w:cs="Arial"/>
          <w:sz w:val="20"/>
          <w:szCs w:val="20"/>
          <w:shd w:val="clear" w:color="auto" w:fill="FFFFFF"/>
          <w:lang w:val="fr-FR"/>
        </w:rPr>
        <w:lastRenderedPageBreak/>
        <w:t>l’IPBES-10,</w:t>
      </w:r>
      <w:r w:rsidRPr="00F450D6">
        <w:rPr>
          <w:rFonts w:cs="Arial"/>
          <w:sz w:val="20"/>
          <w:szCs w:val="20"/>
          <w:lang w:val="fr-FR"/>
        </w:rPr>
        <w:t xml:space="preserve"> notamment en ce qui concerne l'évaluation de l’aménagement de l’espace tenant compte de la biodiversité et de la connectivité écologique et une deuxième évaluation mondiale de la biodiversité et des services écosystémiques </w:t>
      </w:r>
      <w:r w:rsidRPr="00F450D6">
        <w:rPr>
          <w:rFonts w:cs="Arial"/>
          <w:sz w:val="20"/>
          <w:szCs w:val="20"/>
          <w:shd w:val="clear" w:color="auto" w:fill="FFFFFF"/>
          <w:lang w:val="fr-FR"/>
        </w:rPr>
        <w:t>;</w:t>
      </w:r>
    </w:p>
    <w:p w14:paraId="404D9476" w14:textId="77777777" w:rsidR="00604EBF" w:rsidRPr="00F450D6" w:rsidRDefault="00604EBF" w:rsidP="00F450D6">
      <w:pPr>
        <w:numPr>
          <w:ilvl w:val="0"/>
          <w:numId w:val="11"/>
        </w:numPr>
        <w:suppressAutoHyphens/>
        <w:spacing w:after="0" w:line="240" w:lineRule="auto"/>
        <w:ind w:left="1276"/>
        <w:jc w:val="both"/>
        <w:textAlignment w:val="baseline"/>
        <w:rPr>
          <w:rFonts w:cs="Arial"/>
          <w:i/>
          <w:iCs/>
          <w:sz w:val="20"/>
          <w:szCs w:val="20"/>
          <w:lang w:val="fr-FR"/>
        </w:rPr>
      </w:pPr>
      <w:r w:rsidRPr="00F450D6">
        <w:rPr>
          <w:rFonts w:cs="Arial"/>
          <w:i/>
          <w:iCs/>
          <w:sz w:val="20"/>
          <w:szCs w:val="20"/>
          <w:lang w:val="fr-FR"/>
        </w:rPr>
        <w:t>de s'engager avec le Secrétariat de l'IPBES à poursuivre la coopération sur les questions relatives aux espèces migratrices ; et</w:t>
      </w:r>
    </w:p>
    <w:p w14:paraId="08279647" w14:textId="77777777" w:rsidR="00604EBF" w:rsidRPr="00F450D6" w:rsidRDefault="00604EBF" w:rsidP="00F450D6">
      <w:pPr>
        <w:suppressAutoHyphens/>
        <w:spacing w:after="0" w:line="240" w:lineRule="auto"/>
        <w:ind w:left="1276" w:hanging="360"/>
        <w:jc w:val="both"/>
        <w:textAlignment w:val="baseline"/>
        <w:rPr>
          <w:rFonts w:cs="Arial"/>
          <w:i/>
          <w:iCs/>
          <w:sz w:val="20"/>
          <w:szCs w:val="20"/>
          <w:lang w:val="fr-FR"/>
        </w:rPr>
      </w:pPr>
    </w:p>
    <w:bookmarkEnd w:id="3"/>
    <w:p w14:paraId="0721FA9E" w14:textId="36440572" w:rsidR="006F0FB8" w:rsidRPr="00F450D6" w:rsidRDefault="00604EBF" w:rsidP="00F450D6">
      <w:pPr>
        <w:pStyle w:val="ListParagraph"/>
        <w:widowControl w:val="0"/>
        <w:numPr>
          <w:ilvl w:val="0"/>
          <w:numId w:val="11"/>
        </w:numPr>
        <w:autoSpaceDE w:val="0"/>
        <w:autoSpaceDN w:val="0"/>
        <w:adjustRightInd w:val="0"/>
        <w:spacing w:after="0" w:line="240" w:lineRule="auto"/>
        <w:ind w:left="1276"/>
        <w:jc w:val="both"/>
        <w:rPr>
          <w:rFonts w:cs="Arial"/>
          <w:i/>
          <w:iCs/>
          <w:u w:val="single"/>
          <w:lang w:val="fr-FR"/>
        </w:rPr>
      </w:pPr>
      <w:r w:rsidRPr="00F450D6">
        <w:rPr>
          <w:rFonts w:cs="Arial"/>
          <w:i/>
          <w:iCs/>
          <w:sz w:val="20"/>
          <w:szCs w:val="20"/>
          <w:shd w:val="clear" w:color="auto" w:fill="FFFFFF"/>
          <w:lang w:val="fr-FR"/>
        </w:rPr>
        <w:t>de faire rapport au Comité permanent lors de ses 56e et 57e réunions et à la Conférence des Parties lors de sa 15e session, sur les progrès réalisés en faveur de la mise en œuvre de cette Décision.</w:t>
      </w:r>
    </w:p>
    <w:p w14:paraId="229D1BC2" w14:textId="77777777" w:rsidR="00F450D6" w:rsidRDefault="00F450D6">
      <w:pPr>
        <w:widowControl w:val="0"/>
        <w:spacing w:after="0" w:line="240" w:lineRule="auto"/>
        <w:jc w:val="both"/>
        <w:rPr>
          <w:rFonts w:cs="Arial"/>
          <w:u w:val="single"/>
          <w:lang w:val="fr-FR"/>
        </w:rPr>
      </w:pPr>
    </w:p>
    <w:p w14:paraId="3D982C5B" w14:textId="515AC750" w:rsidR="006F0FB8" w:rsidRPr="00604EBF" w:rsidRDefault="006E33B0">
      <w:pPr>
        <w:widowControl w:val="0"/>
        <w:spacing w:after="0" w:line="240" w:lineRule="auto"/>
        <w:jc w:val="both"/>
        <w:rPr>
          <w:rFonts w:cs="Arial"/>
          <w:lang w:val="fr-FR"/>
        </w:rPr>
      </w:pPr>
      <w:r w:rsidRPr="00604EBF">
        <w:rPr>
          <w:rFonts w:cs="Arial"/>
          <w:u w:val="single"/>
          <w:lang w:val="fr-FR"/>
        </w:rPr>
        <w:t>Activités pertinentes de la CMS visant à participer et à renforcer la collaboration avec l’IPBES</w:t>
      </w:r>
    </w:p>
    <w:p w14:paraId="11EA784D" w14:textId="77777777" w:rsidR="006F0FB8" w:rsidRPr="00604EBF" w:rsidRDefault="006F0FB8">
      <w:pPr>
        <w:widowControl w:val="0"/>
        <w:autoSpaceDE w:val="0"/>
        <w:autoSpaceDN w:val="0"/>
        <w:adjustRightInd w:val="0"/>
        <w:spacing w:after="0" w:line="240" w:lineRule="auto"/>
        <w:jc w:val="both"/>
        <w:rPr>
          <w:rFonts w:cs="Arial"/>
          <w:lang w:val="fr-FR"/>
        </w:rPr>
      </w:pPr>
    </w:p>
    <w:p w14:paraId="6B15E242" w14:textId="11DA9D2E" w:rsidR="006F0FB8" w:rsidRPr="00604EBF" w:rsidRDefault="006E33B0">
      <w:pPr>
        <w:widowControl w:val="0"/>
        <w:numPr>
          <w:ilvl w:val="0"/>
          <w:numId w:val="4"/>
        </w:numPr>
        <w:spacing w:after="0" w:line="240" w:lineRule="auto"/>
        <w:ind w:left="567" w:hanging="567"/>
        <w:jc w:val="both"/>
        <w:rPr>
          <w:rFonts w:eastAsia="Calibri" w:cs="Arial"/>
          <w:color w:val="000000" w:themeColor="text1"/>
          <w:lang w:val="fr-FR"/>
        </w:rPr>
      </w:pPr>
      <w:r w:rsidRPr="00604EBF">
        <w:rPr>
          <w:rFonts w:eastAsia="Calibri" w:cs="Arial"/>
          <w:color w:val="000000" w:themeColor="text1"/>
          <w:lang w:val="fr-FR"/>
        </w:rPr>
        <w:t xml:space="preserve">Le Président du Conseil scientifique de la CMS est un observateur permanent du Groupe d'experts multidisciplinaire (GEM) de l'IPBES et est invité à toutes ses réunions. L'objectif principal de l'invitation d'observateurs est de mettre en évidence les volets de travail synergiques en cours. En cas d'empêchement du Président du Conseil scientifique, le Secrétariat de la CMS le représente. Depuis la COP14, trois réunions du GEM et du Bureau de l’IPBES ont eu lieu, auxquelles le Président du Conseil scientifique de la CMS a participé à deux reprises, le Secrétariat ayant assisté à une réunion au nom du Président, afin d’informer le GEM des développements pertinents concernant la CMS. </w:t>
      </w:r>
    </w:p>
    <w:p w14:paraId="4195F856" w14:textId="77777777" w:rsidR="006F0FB8" w:rsidRPr="00604EBF" w:rsidRDefault="006F0FB8">
      <w:pPr>
        <w:widowControl w:val="0"/>
        <w:spacing w:after="0" w:line="240" w:lineRule="auto"/>
        <w:ind w:left="567"/>
        <w:jc w:val="both"/>
        <w:rPr>
          <w:rFonts w:eastAsia="Calibri" w:cs="Arial"/>
          <w:color w:val="000000" w:themeColor="text1"/>
          <w:lang w:val="fr-FR"/>
        </w:rPr>
      </w:pPr>
    </w:p>
    <w:p w14:paraId="3164C68C" w14:textId="77777777" w:rsidR="006F0FB8" w:rsidRPr="00604EBF" w:rsidRDefault="006E33B0">
      <w:pPr>
        <w:widowControl w:val="0"/>
        <w:spacing w:after="0" w:line="240" w:lineRule="auto"/>
        <w:jc w:val="both"/>
        <w:rPr>
          <w:rFonts w:eastAsia="Calibri" w:cs="Arial"/>
          <w:color w:val="000000" w:themeColor="text1"/>
          <w:u w:val="single"/>
          <w:lang w:val="fr-FR"/>
        </w:rPr>
      </w:pPr>
      <w:r w:rsidRPr="00604EBF">
        <w:rPr>
          <w:rFonts w:eastAsia="Calibri" w:cs="Arial"/>
          <w:color w:val="000000" w:themeColor="text1"/>
          <w:u w:val="single"/>
          <w:lang w:val="fr-FR"/>
        </w:rPr>
        <w:t>Mise en œuvre de la décision 14.12</w:t>
      </w:r>
    </w:p>
    <w:p w14:paraId="0221B165" w14:textId="77777777" w:rsidR="006F0FB8" w:rsidRPr="00604EBF" w:rsidRDefault="006F0FB8">
      <w:pPr>
        <w:spacing w:after="0" w:line="240" w:lineRule="auto"/>
        <w:ind w:left="360"/>
        <w:jc w:val="both"/>
        <w:rPr>
          <w:rFonts w:eastAsia="Calibri" w:cs="Arial"/>
          <w:color w:val="000000" w:themeColor="text1"/>
          <w:lang w:val="fr-FR"/>
        </w:rPr>
      </w:pPr>
    </w:p>
    <w:p w14:paraId="619F1C92" w14:textId="77777777" w:rsidR="006F0FB8" w:rsidRPr="00604EBF" w:rsidRDefault="006E33B0">
      <w:pPr>
        <w:widowControl w:val="0"/>
        <w:numPr>
          <w:ilvl w:val="0"/>
          <w:numId w:val="4"/>
        </w:numPr>
        <w:autoSpaceDE w:val="0"/>
        <w:autoSpaceDN w:val="0"/>
        <w:adjustRightInd w:val="0"/>
        <w:spacing w:after="0" w:line="240" w:lineRule="auto"/>
        <w:ind w:left="567" w:hanging="567"/>
        <w:jc w:val="both"/>
        <w:rPr>
          <w:rFonts w:cs="Arial"/>
          <w:color w:val="0000FF"/>
          <w:lang w:val="fr-FR"/>
        </w:rPr>
      </w:pPr>
      <w:r w:rsidRPr="00604EBF">
        <w:rPr>
          <w:rFonts w:eastAsia="Arial" w:cs="Arial"/>
          <w:lang w:val="fr-FR"/>
        </w:rPr>
        <w:t>La 7</w:t>
      </w:r>
      <w:r w:rsidRPr="00604EBF">
        <w:rPr>
          <w:rFonts w:eastAsia="Arial" w:cs="Arial"/>
          <w:vertAlign w:val="superscript"/>
          <w:lang w:val="fr-FR"/>
        </w:rPr>
        <w:t>e</w:t>
      </w:r>
      <w:r w:rsidRPr="00604EBF">
        <w:rPr>
          <w:rFonts w:eastAsia="Arial" w:cs="Arial"/>
          <w:lang w:val="fr-FR"/>
        </w:rPr>
        <w:t xml:space="preserve"> réunion du Comité de session du Conseil scientifique (ScC-SC7, 2024) a mis en évidence des opportunités pour renforcer les synergies entre la CMS et l’IPBES. La réunion a salué l’approbation par l’Assemblée plénière de l’IPBES, en 2023, de l’évaluation accélérée sur l’aménagement du territoire intégrant la biodiversité et la connectivité écologique (</w:t>
      </w:r>
      <w:hyperlink r:id="rId12" w:history="1">
        <w:r w:rsidRPr="00604EBF">
          <w:rPr>
            <w:rStyle w:val="Hyperlink"/>
            <w:rFonts w:eastAsia="Arial" w:cs="Arial"/>
            <w:lang w:val="fr-FR"/>
          </w:rPr>
          <w:t>évaluation de l’aménagement et de la connectivité</w:t>
        </w:r>
      </w:hyperlink>
      <w:r w:rsidRPr="00604EBF">
        <w:rPr>
          <w:rFonts w:eastAsia="Arial" w:cs="Arial"/>
          <w:lang w:val="fr-FR"/>
        </w:rPr>
        <w:t xml:space="preserve">). </w:t>
      </w:r>
    </w:p>
    <w:p w14:paraId="301805AD" w14:textId="77777777" w:rsidR="006F0FB8" w:rsidRPr="00604EBF" w:rsidRDefault="006F0FB8">
      <w:pPr>
        <w:pStyle w:val="ListParagraph"/>
        <w:spacing w:after="0"/>
        <w:rPr>
          <w:rFonts w:eastAsia="Arial" w:cs="Arial"/>
          <w:lang w:val="fr-FR"/>
        </w:rPr>
      </w:pPr>
    </w:p>
    <w:p w14:paraId="249E9943" w14:textId="77777777" w:rsidR="006F0FB8" w:rsidRPr="00604EBF" w:rsidRDefault="006E33B0">
      <w:pPr>
        <w:widowControl w:val="0"/>
        <w:numPr>
          <w:ilvl w:val="0"/>
          <w:numId w:val="4"/>
        </w:numPr>
        <w:autoSpaceDE w:val="0"/>
        <w:autoSpaceDN w:val="0"/>
        <w:adjustRightInd w:val="0"/>
        <w:spacing w:after="0" w:line="240" w:lineRule="auto"/>
        <w:ind w:left="567" w:hanging="567"/>
        <w:jc w:val="both"/>
        <w:rPr>
          <w:rFonts w:cs="Arial"/>
          <w:lang w:val="fr-FR"/>
        </w:rPr>
      </w:pPr>
      <w:r w:rsidRPr="00604EBF">
        <w:rPr>
          <w:rFonts w:eastAsia="Arial" w:cs="Arial"/>
          <w:lang w:val="fr-FR"/>
        </w:rPr>
        <w:t xml:space="preserve">Par les Notifications </w:t>
      </w:r>
      <w:hyperlink r:id="rId13">
        <w:r w:rsidRPr="00604EBF">
          <w:rPr>
            <w:rStyle w:val="Hyperlink"/>
            <w:rFonts w:eastAsia="Arial" w:cs="Arial"/>
            <w:lang w:val="fr-FR"/>
          </w:rPr>
          <w:t>2024/019</w:t>
        </w:r>
      </w:hyperlink>
      <w:r w:rsidRPr="00604EBF">
        <w:rPr>
          <w:rFonts w:eastAsia="Arial" w:cs="Arial"/>
          <w:lang w:val="fr-FR"/>
        </w:rPr>
        <w:t xml:space="preserve"> et </w:t>
      </w:r>
      <w:hyperlink r:id="rId14">
        <w:r w:rsidRPr="00604EBF">
          <w:rPr>
            <w:rStyle w:val="Hyperlink"/>
            <w:rFonts w:eastAsia="Arial" w:cs="Arial"/>
            <w:lang w:val="fr-FR"/>
          </w:rPr>
          <w:t>2024/023</w:t>
        </w:r>
      </w:hyperlink>
      <w:r w:rsidRPr="00604EBF">
        <w:rPr>
          <w:rFonts w:eastAsia="Arial" w:cs="Arial"/>
          <w:lang w:val="fr-FR"/>
        </w:rPr>
        <w:t>, le Secrétariat a porté à l’attention des Parties les appels associés pour l’accueil de l’Unité de soutien technique et pour la nomination d’experts. Les membres du Conseil scientifique ont été encouragés à participer à l’évaluation et aux processus connexes</w:t>
      </w:r>
      <w:r w:rsidRPr="00604EBF">
        <w:rPr>
          <w:rFonts w:cs="Arial"/>
          <w:lang w:val="fr-FR"/>
        </w:rPr>
        <w:t>.</w:t>
      </w:r>
    </w:p>
    <w:p w14:paraId="736A69E4" w14:textId="77777777" w:rsidR="006F0FB8" w:rsidRPr="00604EBF" w:rsidRDefault="006F0FB8">
      <w:pPr>
        <w:widowControl w:val="0"/>
        <w:autoSpaceDE w:val="0"/>
        <w:autoSpaceDN w:val="0"/>
        <w:adjustRightInd w:val="0"/>
        <w:spacing w:after="0" w:line="240" w:lineRule="auto"/>
        <w:ind w:left="567"/>
        <w:jc w:val="both"/>
        <w:rPr>
          <w:rFonts w:cs="Arial"/>
          <w:lang w:val="fr-FR"/>
        </w:rPr>
      </w:pPr>
    </w:p>
    <w:p w14:paraId="546D45C4" w14:textId="77777777" w:rsidR="006F0FB8" w:rsidRPr="00604EBF" w:rsidRDefault="006E33B0">
      <w:pPr>
        <w:spacing w:after="0" w:line="240" w:lineRule="auto"/>
        <w:jc w:val="both"/>
        <w:rPr>
          <w:rFonts w:cs="Arial"/>
          <w:u w:val="single"/>
          <w:lang w:val="fr-FR"/>
        </w:rPr>
      </w:pPr>
      <w:r w:rsidRPr="00604EBF">
        <w:rPr>
          <w:rFonts w:cs="Arial"/>
          <w:u w:val="single"/>
          <w:lang w:val="fr-FR"/>
        </w:rPr>
        <w:t>Mise en œuvre de la décision 14.13</w:t>
      </w:r>
    </w:p>
    <w:p w14:paraId="7F1A4671" w14:textId="77777777" w:rsidR="006F0FB8" w:rsidRPr="00604EBF" w:rsidRDefault="006F0FB8">
      <w:pPr>
        <w:spacing w:after="0" w:line="240" w:lineRule="auto"/>
        <w:jc w:val="both"/>
        <w:rPr>
          <w:rFonts w:cs="Arial"/>
          <w:lang w:val="fr-FR"/>
        </w:rPr>
      </w:pPr>
    </w:p>
    <w:p w14:paraId="2E0D5FE1" w14:textId="77777777" w:rsidR="006F0FB8" w:rsidRPr="00604EBF" w:rsidRDefault="006E33B0">
      <w:pPr>
        <w:pStyle w:val="ListParagraph"/>
        <w:numPr>
          <w:ilvl w:val="0"/>
          <w:numId w:val="4"/>
        </w:numPr>
        <w:spacing w:after="0"/>
        <w:ind w:left="567" w:hanging="567"/>
        <w:jc w:val="both"/>
        <w:rPr>
          <w:rFonts w:cs="Arial"/>
          <w:color w:val="000000" w:themeColor="text1"/>
          <w:lang w:val="fr-FR"/>
        </w:rPr>
      </w:pPr>
      <w:r w:rsidRPr="00604EBF">
        <w:rPr>
          <w:rFonts w:eastAsia="Arial" w:cs="Arial"/>
          <w:lang w:val="fr-FR"/>
        </w:rPr>
        <w:t xml:space="preserve">En raison du manque de ressources, cette décision n'a pas encore été mise en œuvre. </w:t>
      </w:r>
      <w:r w:rsidRPr="00604EBF">
        <w:rPr>
          <w:rFonts w:eastAsia="Arial" w:cs="Arial"/>
          <w:color w:val="000000" w:themeColor="text1"/>
          <w:lang w:val="fr-FR"/>
        </w:rPr>
        <w:t xml:space="preserve">Les activités prévues dans le cadre de cette décision sont donc proposées pour la période intersessions après la COP15. </w:t>
      </w:r>
    </w:p>
    <w:p w14:paraId="5223F3E8" w14:textId="77777777" w:rsidR="006F0FB8" w:rsidRPr="00604EBF" w:rsidRDefault="006F0FB8">
      <w:pPr>
        <w:pStyle w:val="ListParagraph"/>
        <w:spacing w:after="0"/>
        <w:ind w:left="567"/>
        <w:rPr>
          <w:rFonts w:cs="Arial"/>
          <w:color w:val="000000" w:themeColor="text1"/>
          <w:lang w:val="fr-FR"/>
        </w:rPr>
      </w:pPr>
    </w:p>
    <w:p w14:paraId="4850FBD3" w14:textId="77777777" w:rsidR="006F0FB8" w:rsidRPr="00604EBF" w:rsidRDefault="006E33B0">
      <w:pPr>
        <w:spacing w:after="0" w:line="240" w:lineRule="auto"/>
        <w:jc w:val="both"/>
        <w:rPr>
          <w:rFonts w:cs="Arial"/>
          <w:u w:val="single"/>
          <w:lang w:val="fr-FR"/>
        </w:rPr>
      </w:pPr>
      <w:r w:rsidRPr="00604EBF">
        <w:rPr>
          <w:rFonts w:cs="Arial"/>
          <w:u w:val="single"/>
          <w:lang w:val="fr-FR"/>
        </w:rPr>
        <w:t>Discussion et analyse</w:t>
      </w:r>
    </w:p>
    <w:p w14:paraId="65D9A0BF" w14:textId="77777777" w:rsidR="006F0FB8" w:rsidRPr="00604EBF" w:rsidRDefault="006F0FB8">
      <w:pPr>
        <w:spacing w:after="0" w:line="240" w:lineRule="auto"/>
        <w:jc w:val="both"/>
        <w:rPr>
          <w:rFonts w:cs="Arial"/>
          <w:lang w:val="fr-FR"/>
        </w:rPr>
      </w:pPr>
    </w:p>
    <w:p w14:paraId="68F8AA15" w14:textId="77777777" w:rsidR="006F0FB8" w:rsidRPr="00604EBF" w:rsidRDefault="006E33B0">
      <w:pPr>
        <w:widowControl w:val="0"/>
        <w:numPr>
          <w:ilvl w:val="0"/>
          <w:numId w:val="4"/>
        </w:numPr>
        <w:spacing w:after="0" w:line="240" w:lineRule="auto"/>
        <w:ind w:left="567" w:hanging="567"/>
        <w:jc w:val="both"/>
        <w:rPr>
          <w:rFonts w:cs="Arial"/>
          <w:lang w:val="fr-FR"/>
        </w:rPr>
      </w:pPr>
      <w:r w:rsidRPr="00604EBF">
        <w:rPr>
          <w:rFonts w:eastAsia="Arial" w:cs="Arial"/>
          <w:lang w:val="fr-FR"/>
        </w:rPr>
        <w:t xml:space="preserve">Dans le contexte du Plan stratégique de Samarcande </w:t>
      </w:r>
      <w:r w:rsidRPr="00604EBF">
        <w:rPr>
          <w:rFonts w:cs="Arial"/>
          <w:lang w:val="fr-FR"/>
        </w:rPr>
        <w:t>pour les espèces migratrices 2024-2032</w:t>
      </w:r>
      <w:r w:rsidRPr="00604EBF">
        <w:rPr>
          <w:rFonts w:eastAsia="Arial" w:cs="Arial"/>
          <w:lang w:val="fr-FR"/>
        </w:rPr>
        <w:t xml:space="preserve"> et en soutien à une prise de décision mieux fondée sur les connaissances, une coopération accrue entre la CMS et l’IPBES constitue une occasion stratégique et opportune pour renforcer l’interface science</w:t>
      </w:r>
      <w:r w:rsidRPr="00604EBF">
        <w:rPr>
          <w:rFonts w:cs="Arial"/>
          <w:lang w:val="fr-FR"/>
        </w:rPr>
        <w:t>-</w:t>
      </w:r>
      <w:r w:rsidRPr="00604EBF">
        <w:rPr>
          <w:rFonts w:eastAsia="Arial" w:cs="Arial"/>
          <w:lang w:val="fr-FR"/>
        </w:rPr>
        <w:t>politique en matière de conservation des espèces migratrices</w:t>
      </w:r>
      <w:r w:rsidRPr="00604EBF">
        <w:rPr>
          <w:rFonts w:cs="Arial"/>
          <w:lang w:val="fr-FR"/>
        </w:rPr>
        <w:t xml:space="preserve">. </w:t>
      </w:r>
    </w:p>
    <w:p w14:paraId="26A1DAA5" w14:textId="77777777" w:rsidR="006F0FB8" w:rsidRPr="00604EBF" w:rsidRDefault="006F0FB8">
      <w:pPr>
        <w:widowControl w:val="0"/>
        <w:spacing w:after="0" w:line="240" w:lineRule="auto"/>
        <w:ind w:left="567"/>
        <w:jc w:val="both"/>
        <w:rPr>
          <w:rFonts w:cs="Arial"/>
          <w:lang w:val="fr-FR"/>
        </w:rPr>
      </w:pPr>
    </w:p>
    <w:p w14:paraId="2A4DBED0" w14:textId="77777777" w:rsidR="006F0FB8" w:rsidRPr="00604EBF" w:rsidRDefault="006E33B0">
      <w:pPr>
        <w:widowControl w:val="0"/>
        <w:numPr>
          <w:ilvl w:val="0"/>
          <w:numId w:val="4"/>
        </w:numPr>
        <w:spacing w:after="0" w:line="240" w:lineRule="auto"/>
        <w:ind w:left="567" w:hanging="567"/>
        <w:jc w:val="both"/>
        <w:rPr>
          <w:rFonts w:cs="Arial"/>
          <w:lang w:val="fr-FR"/>
        </w:rPr>
      </w:pPr>
      <w:r w:rsidRPr="00604EBF">
        <w:rPr>
          <w:rFonts w:cs="Arial"/>
          <w:lang w:val="fr-FR"/>
        </w:rPr>
        <w:t xml:space="preserve">Le projet de décision 15.AAa) mandate le Conseil scientifique à continuer de participer aux processus de cadrage et de révision pertinents de l’IPBES, afin de garantir que les priorités de la CMS soient prises en considération dans les évaluations pertinentes adoptées par l’IPBES-10 et l’IPBES-11. </w:t>
      </w:r>
    </w:p>
    <w:p w14:paraId="039E075C" w14:textId="77777777" w:rsidR="006F0FB8" w:rsidRPr="00604EBF" w:rsidRDefault="006F0FB8">
      <w:pPr>
        <w:pStyle w:val="ListParagraph"/>
        <w:spacing w:after="0"/>
        <w:rPr>
          <w:rFonts w:cs="Arial"/>
          <w:lang w:val="fr-FR"/>
        </w:rPr>
      </w:pPr>
    </w:p>
    <w:p w14:paraId="608D0712" w14:textId="77777777" w:rsidR="006F0FB8" w:rsidRPr="00604EBF" w:rsidRDefault="006E33B0">
      <w:pPr>
        <w:pStyle w:val="ListParagraph"/>
        <w:widowControl w:val="0"/>
        <w:numPr>
          <w:ilvl w:val="0"/>
          <w:numId w:val="4"/>
        </w:numPr>
        <w:spacing w:after="0" w:line="240" w:lineRule="auto"/>
        <w:ind w:left="567" w:hanging="567"/>
        <w:jc w:val="both"/>
        <w:rPr>
          <w:rFonts w:cs="Arial"/>
          <w:lang w:val="fr-FR"/>
        </w:rPr>
      </w:pPr>
      <w:r w:rsidRPr="00604EBF">
        <w:rPr>
          <w:rFonts w:cs="Arial"/>
          <w:lang w:val="fr-FR"/>
        </w:rPr>
        <w:lastRenderedPageBreak/>
        <w:t>Le projet de décision 15.AAb) propose que le Conseil scientifique examine certaines évaluations de l’IPBES et formule des recommandations à la COP16 sur leur pertinence pour la mise en œuvre de la Convention, en vue de leur examen.</w:t>
      </w:r>
    </w:p>
    <w:p w14:paraId="1D5535A7" w14:textId="77777777" w:rsidR="006F0FB8" w:rsidRPr="00604EBF" w:rsidRDefault="006F0FB8">
      <w:pPr>
        <w:pStyle w:val="ListParagraph"/>
        <w:spacing w:after="0"/>
        <w:rPr>
          <w:rFonts w:cs="Arial"/>
          <w:lang w:val="fr-FR"/>
        </w:rPr>
      </w:pPr>
    </w:p>
    <w:p w14:paraId="68F801A9" w14:textId="77777777" w:rsidR="006F0FB8" w:rsidRPr="00604EBF" w:rsidRDefault="006E33B0">
      <w:pPr>
        <w:widowControl w:val="0"/>
        <w:numPr>
          <w:ilvl w:val="0"/>
          <w:numId w:val="4"/>
        </w:numPr>
        <w:spacing w:after="0" w:line="240" w:lineRule="auto"/>
        <w:ind w:left="567" w:hanging="567"/>
        <w:jc w:val="both"/>
        <w:rPr>
          <w:rFonts w:cs="Arial"/>
          <w:lang w:val="fr-FR"/>
        </w:rPr>
      </w:pPr>
      <w:r w:rsidRPr="00604EBF">
        <w:rPr>
          <w:rFonts w:cs="Arial"/>
          <w:lang w:val="fr-FR"/>
        </w:rPr>
        <w:t>Au cours du prochain triennat, une attention particulière devrait être accordée à l’</w:t>
      </w:r>
      <w:hyperlink r:id="rId15" w:history="1">
        <w:r w:rsidRPr="00604EBF">
          <w:rPr>
            <w:rStyle w:val="Hyperlink"/>
            <w:rFonts w:eastAsia="Calibri" w:cs="Arial"/>
            <w:lang w:val="fr-FR"/>
          </w:rPr>
          <w:t>évaluation de l’aménagement spatial et de la connectivité</w:t>
        </w:r>
      </w:hyperlink>
      <w:r w:rsidRPr="00604EBF">
        <w:rPr>
          <w:rFonts w:eastAsia="Calibri" w:cs="Arial"/>
          <w:lang w:val="fr-FR"/>
        </w:rPr>
        <w:t xml:space="preserve"> </w:t>
      </w:r>
      <w:r w:rsidRPr="00604EBF">
        <w:rPr>
          <w:rFonts w:cs="Arial"/>
          <w:lang w:val="fr-FR"/>
        </w:rPr>
        <w:t xml:space="preserve">ainsi qu’à la </w:t>
      </w:r>
      <w:hyperlink r:id="rId16" w:history="1">
        <w:r w:rsidRPr="00604EBF">
          <w:rPr>
            <w:rStyle w:val="Hyperlink"/>
            <w:rFonts w:cs="Arial"/>
            <w:lang w:val="fr-FR"/>
          </w:rPr>
          <w:t>deuxième évaluation mondiale de la biodiversité et des services écosystémiques</w:t>
        </w:r>
      </w:hyperlink>
      <w:r w:rsidRPr="00604EBF">
        <w:rPr>
          <w:rFonts w:cs="Arial"/>
          <w:lang w:val="fr-FR"/>
        </w:rPr>
        <w:t>, toutes deux pertinentes pour les priorités de la CMS :</w:t>
      </w:r>
    </w:p>
    <w:p w14:paraId="0D64A0DE" w14:textId="77777777" w:rsidR="006F0FB8" w:rsidRPr="00604EBF" w:rsidRDefault="006F0FB8">
      <w:pPr>
        <w:pStyle w:val="ListParagraph"/>
        <w:spacing w:after="0"/>
        <w:rPr>
          <w:rFonts w:cs="Arial"/>
          <w:lang w:val="fr-FR"/>
        </w:rPr>
      </w:pPr>
    </w:p>
    <w:p w14:paraId="687C0A69" w14:textId="77777777" w:rsidR="006F0FB8" w:rsidRPr="00604EBF" w:rsidRDefault="006E33B0">
      <w:pPr>
        <w:widowControl w:val="0"/>
        <w:numPr>
          <w:ilvl w:val="1"/>
          <w:numId w:val="4"/>
        </w:numPr>
        <w:spacing w:after="80" w:line="240" w:lineRule="auto"/>
        <w:ind w:left="1094" w:hanging="547"/>
        <w:jc w:val="both"/>
        <w:rPr>
          <w:rFonts w:cs="Arial"/>
          <w:lang w:val="fr-FR"/>
        </w:rPr>
      </w:pPr>
      <w:r w:rsidRPr="00604EBF">
        <w:rPr>
          <w:rFonts w:cs="Arial"/>
          <w:lang w:val="fr-FR"/>
        </w:rPr>
        <w:t>L’« évaluation de l’aménagement spatial et de la connectivité » devrait être achevée en 2027 et examinée par la suite lors de la 14</w:t>
      </w:r>
      <w:r w:rsidRPr="00604EBF">
        <w:rPr>
          <w:rFonts w:cs="Arial"/>
          <w:vertAlign w:val="superscript"/>
          <w:lang w:val="fr-FR"/>
        </w:rPr>
        <w:t>e</w:t>
      </w:r>
      <w:r w:rsidRPr="00604EBF">
        <w:rPr>
          <w:rFonts w:cs="Arial"/>
          <w:lang w:val="fr-FR"/>
        </w:rPr>
        <w:t xml:space="preserve"> session de l’Assemblée plénière de l’IPBES. D’ici là, elle progressera au travers de réunions d’auteurs et de sessions de rédaction, incluant un travail coordonné sur le « résumé à l’intention des décideurs ». Les Parties à la CMS, les organisations observatrices et le Secrétariat seront invités à contribuer tout au long des processus d’examen externe. Le premier examen externe est prévu pour le deuxième trimestre 2026 et comprendra la diffusion des chapitres provisoires ainsi que d’un projet de « résumé à l’intention des décideurs » pour examen par les gouvernements et les experts. Un deuxième examen externe est prévu pour le quatrième trimestre 2026, et une phase d’examen final pour le troisième trimestre 2027. </w:t>
      </w:r>
    </w:p>
    <w:p w14:paraId="79A84CF6" w14:textId="77777777" w:rsidR="006F0FB8" w:rsidRPr="00604EBF" w:rsidRDefault="006E33B0">
      <w:pPr>
        <w:widowControl w:val="0"/>
        <w:numPr>
          <w:ilvl w:val="1"/>
          <w:numId w:val="4"/>
        </w:numPr>
        <w:spacing w:after="80" w:line="240" w:lineRule="auto"/>
        <w:ind w:left="1094" w:hanging="547"/>
        <w:jc w:val="both"/>
        <w:rPr>
          <w:rFonts w:cs="Arial"/>
          <w:lang w:val="fr-FR"/>
        </w:rPr>
      </w:pPr>
      <w:r w:rsidRPr="00604EBF">
        <w:rPr>
          <w:rFonts w:cs="Arial"/>
          <w:lang w:val="fr-FR"/>
        </w:rPr>
        <w:t>La « deuxième évaluation mondiale de la biodiversité et des services écosystémiques » sera préparée entre la 11</w:t>
      </w:r>
      <w:r w:rsidRPr="00604EBF">
        <w:rPr>
          <w:rFonts w:cs="Arial"/>
          <w:vertAlign w:val="superscript"/>
          <w:lang w:val="fr-FR"/>
        </w:rPr>
        <w:t>e</w:t>
      </w:r>
      <w:r w:rsidRPr="00604EBF">
        <w:rPr>
          <w:rFonts w:cs="Arial"/>
          <w:lang w:val="fr-FR"/>
        </w:rPr>
        <w:t xml:space="preserve"> et la 14</w:t>
      </w:r>
      <w:r w:rsidRPr="00604EBF">
        <w:rPr>
          <w:rFonts w:cs="Arial"/>
          <w:vertAlign w:val="superscript"/>
          <w:lang w:val="fr-FR"/>
        </w:rPr>
        <w:t>e</w:t>
      </w:r>
      <w:r w:rsidRPr="00604EBF">
        <w:rPr>
          <w:rFonts w:cs="Arial"/>
          <w:lang w:val="fr-FR"/>
        </w:rPr>
        <w:t xml:space="preserve"> session de l’Assemblée plénière et sera examinée par celle-ci en 2028. </w:t>
      </w:r>
    </w:p>
    <w:p w14:paraId="489D6C02" w14:textId="77777777" w:rsidR="006F0FB8" w:rsidRPr="00604EBF" w:rsidRDefault="006E33B0">
      <w:pPr>
        <w:widowControl w:val="0"/>
        <w:numPr>
          <w:ilvl w:val="1"/>
          <w:numId w:val="4"/>
        </w:numPr>
        <w:spacing w:after="0" w:line="240" w:lineRule="auto"/>
        <w:ind w:hanging="540"/>
        <w:jc w:val="both"/>
        <w:rPr>
          <w:rFonts w:cs="Arial"/>
          <w:lang w:val="fr-FR"/>
        </w:rPr>
      </w:pPr>
      <w:r w:rsidRPr="00604EBF">
        <w:rPr>
          <w:rFonts w:cs="Arial"/>
          <w:lang w:val="fr-FR"/>
        </w:rPr>
        <w:t>Parmi les autres évaluations de l’IPBES devant être achevées au cours de la prochaine période intersessions figurent l’« évaluation de l’impact et de la dépendance des entreprises vis-à-vis de la biodiversité et des contributions de la nature aux populations » et l’« évaluation sur le suivi de la biodiversité et des contributions de la nature aux populations ».</w:t>
      </w:r>
    </w:p>
    <w:p w14:paraId="5A455F44" w14:textId="77777777" w:rsidR="006F0FB8" w:rsidRPr="00604EBF" w:rsidRDefault="006F0FB8">
      <w:pPr>
        <w:pStyle w:val="ListParagraph"/>
        <w:spacing w:after="0"/>
        <w:rPr>
          <w:rFonts w:cs="Arial"/>
          <w:lang w:val="fr-FR"/>
        </w:rPr>
      </w:pPr>
    </w:p>
    <w:p w14:paraId="3264AC0A" w14:textId="77777777" w:rsidR="006F0FB8" w:rsidRPr="00604EBF" w:rsidRDefault="006E33B0">
      <w:pPr>
        <w:pStyle w:val="ListParagraph"/>
        <w:widowControl w:val="0"/>
        <w:numPr>
          <w:ilvl w:val="0"/>
          <w:numId w:val="4"/>
        </w:numPr>
        <w:spacing w:after="0" w:line="240" w:lineRule="auto"/>
        <w:ind w:left="567" w:hanging="567"/>
        <w:jc w:val="both"/>
        <w:rPr>
          <w:rFonts w:cs="Arial"/>
          <w:lang w:val="fr-FR"/>
        </w:rPr>
      </w:pPr>
      <w:r w:rsidRPr="00604EBF">
        <w:rPr>
          <w:rFonts w:cs="Arial"/>
          <w:lang w:val="fr-FR"/>
        </w:rPr>
        <w:t xml:space="preserve">Le Secrétariat de la CMS, avec l’apport du Conseil scientifique, prévoit de participer à l’examen externe de l’« évaluation de l’aménagement spatial et de la connectivité » ainsi qu’aux examens externes d’autres évaluations, le cas échéant. L’élaboration de la contribution de la CMS sera dirigée par le Secrétariat, en coopération avec le Conseiller pour la connectivité nommé par la COP de la CMS, et s’appuiera sur les contributions reçues des membres du ScC-SC et des membres du Groupe de travail sur la connectivité écologique. </w:t>
      </w:r>
    </w:p>
    <w:p w14:paraId="5B28CA88" w14:textId="77777777" w:rsidR="006F0FB8" w:rsidRPr="00604EBF" w:rsidRDefault="006F0FB8">
      <w:pPr>
        <w:pStyle w:val="ListParagraph"/>
        <w:spacing w:after="0"/>
        <w:rPr>
          <w:rFonts w:cs="Arial"/>
          <w:lang w:val="fr-FR"/>
        </w:rPr>
      </w:pPr>
    </w:p>
    <w:p w14:paraId="46EEA783" w14:textId="77777777" w:rsidR="006F0FB8" w:rsidRPr="00604EBF" w:rsidRDefault="006E33B0">
      <w:pPr>
        <w:pStyle w:val="ListParagraph"/>
        <w:widowControl w:val="0"/>
        <w:numPr>
          <w:ilvl w:val="0"/>
          <w:numId w:val="4"/>
        </w:numPr>
        <w:spacing w:after="0" w:line="240" w:lineRule="auto"/>
        <w:ind w:left="567" w:hanging="567"/>
        <w:jc w:val="both"/>
        <w:rPr>
          <w:rFonts w:cs="Arial"/>
          <w:lang w:val="fr-FR"/>
        </w:rPr>
      </w:pPr>
      <w:r w:rsidRPr="00604EBF">
        <w:rPr>
          <w:rFonts w:cs="Arial"/>
          <w:lang w:val="fr-FR"/>
        </w:rPr>
        <w:t>Le projet de décision 15.BB mandaterait le Secrétariat à soutenir la participation du Conseil scientifique</w:t>
      </w:r>
      <w:r w:rsidRPr="00604EBF">
        <w:rPr>
          <w:rFonts w:eastAsia="Arial" w:cs="Arial"/>
          <w:lang w:val="fr-FR"/>
        </w:rPr>
        <w:t xml:space="preserve"> aux processus de cadrage et de révision pertinents. Il demande également au Secrétariat </w:t>
      </w:r>
      <w:r w:rsidRPr="00604EBF">
        <w:rPr>
          <w:rFonts w:cs="Arial"/>
          <w:lang w:val="fr-FR"/>
        </w:rPr>
        <w:t xml:space="preserve">de renforcer davantage la collaboration avec le Secrétariat de l’IPBES afin de coopérer davantage sur les questions pertinentes pour les espèces migratrices </w:t>
      </w:r>
    </w:p>
    <w:p w14:paraId="4C9D19D7" w14:textId="77777777" w:rsidR="006F0FB8" w:rsidRPr="00604EBF" w:rsidRDefault="006F0FB8">
      <w:pPr>
        <w:spacing w:after="0" w:line="240" w:lineRule="auto"/>
        <w:jc w:val="both"/>
        <w:rPr>
          <w:rFonts w:cs="Arial"/>
          <w:lang w:val="fr-FR"/>
        </w:rPr>
      </w:pPr>
    </w:p>
    <w:p w14:paraId="41F5315C" w14:textId="77777777" w:rsidR="006F0FB8" w:rsidRPr="00604EBF" w:rsidRDefault="006E33B0">
      <w:pPr>
        <w:spacing w:after="0" w:line="240" w:lineRule="auto"/>
        <w:jc w:val="both"/>
        <w:rPr>
          <w:rFonts w:cs="Arial"/>
          <w:lang w:val="fr-FR"/>
        </w:rPr>
      </w:pPr>
      <w:r w:rsidRPr="00604EBF">
        <w:rPr>
          <w:rFonts w:cs="Arial"/>
          <w:u w:val="single"/>
          <w:lang w:val="fr-FR"/>
        </w:rPr>
        <w:t>Actions recommandées</w:t>
      </w:r>
    </w:p>
    <w:p w14:paraId="7673719B" w14:textId="77777777" w:rsidR="006F0FB8" w:rsidRPr="00604EBF" w:rsidRDefault="006F0FB8">
      <w:pPr>
        <w:spacing w:after="0" w:line="240" w:lineRule="auto"/>
        <w:jc w:val="both"/>
        <w:rPr>
          <w:rFonts w:cs="Arial"/>
          <w:lang w:val="fr-FR"/>
        </w:rPr>
      </w:pPr>
    </w:p>
    <w:p w14:paraId="45DA49AF" w14:textId="77777777" w:rsidR="006F0FB8" w:rsidRPr="00604EBF" w:rsidRDefault="006E33B0">
      <w:pPr>
        <w:widowControl w:val="0"/>
        <w:numPr>
          <w:ilvl w:val="0"/>
          <w:numId w:val="4"/>
        </w:numPr>
        <w:autoSpaceDE w:val="0"/>
        <w:autoSpaceDN w:val="0"/>
        <w:adjustRightInd w:val="0"/>
        <w:spacing w:after="0" w:line="240" w:lineRule="auto"/>
        <w:ind w:left="567" w:hanging="567"/>
        <w:jc w:val="both"/>
        <w:rPr>
          <w:rFonts w:cs="Arial"/>
          <w:lang w:val="fr-FR"/>
        </w:rPr>
      </w:pPr>
      <w:r w:rsidRPr="00604EBF">
        <w:rPr>
          <w:rFonts w:cs="Arial"/>
          <w:lang w:val="fr-FR" w:eastAsia="en-GB"/>
        </w:rPr>
        <w:t>Il est recommandé à la Conférence des Parties</w:t>
      </w:r>
      <w:r w:rsidRPr="00604EBF">
        <w:rPr>
          <w:rFonts w:cs="Arial"/>
          <w:lang w:val="fr-FR"/>
        </w:rPr>
        <w:t xml:space="preserve"> :</w:t>
      </w:r>
    </w:p>
    <w:p w14:paraId="62499A82" w14:textId="77777777" w:rsidR="006F0FB8" w:rsidRPr="00604EBF" w:rsidRDefault="006F0FB8">
      <w:pPr>
        <w:pStyle w:val="Secondnumbering"/>
        <w:jc w:val="both"/>
        <w:rPr>
          <w:rFonts w:cs="Arial"/>
          <w:lang w:val="fr-FR"/>
        </w:rPr>
      </w:pPr>
    </w:p>
    <w:p w14:paraId="3CB9688F" w14:textId="77777777" w:rsidR="006F0FB8" w:rsidRPr="00604EBF" w:rsidRDefault="006E33B0">
      <w:pPr>
        <w:pStyle w:val="Secondnumbering"/>
        <w:numPr>
          <w:ilvl w:val="0"/>
          <w:numId w:val="13"/>
        </w:numPr>
        <w:ind w:left="1080" w:hanging="540"/>
        <w:jc w:val="both"/>
        <w:rPr>
          <w:rFonts w:cs="Arial"/>
          <w:lang w:val="fr-FR"/>
        </w:rPr>
      </w:pPr>
      <w:r w:rsidRPr="00604EBF">
        <w:rPr>
          <w:rFonts w:cs="Arial"/>
          <w:lang w:val="fr-FR"/>
        </w:rPr>
        <w:t>d'adopter les projets de décisions figurant à l'Annexe 1 du présent document ;</w:t>
      </w:r>
    </w:p>
    <w:p w14:paraId="2FED0F0A" w14:textId="77777777" w:rsidR="006F0FB8" w:rsidRPr="00604EBF" w:rsidRDefault="006F0FB8">
      <w:pPr>
        <w:pStyle w:val="Secondnumbering"/>
        <w:ind w:left="1080"/>
        <w:jc w:val="both"/>
        <w:rPr>
          <w:rFonts w:cs="Arial"/>
          <w:lang w:val="fr-FR"/>
        </w:rPr>
      </w:pPr>
    </w:p>
    <w:p w14:paraId="3466CB59" w14:textId="77777777" w:rsidR="006F0FB8" w:rsidRPr="00604EBF" w:rsidRDefault="006E33B0">
      <w:pPr>
        <w:pStyle w:val="Secondnumbering"/>
        <w:numPr>
          <w:ilvl w:val="0"/>
          <w:numId w:val="13"/>
        </w:numPr>
        <w:ind w:left="1080" w:hanging="540"/>
        <w:jc w:val="both"/>
        <w:rPr>
          <w:rFonts w:cs="Arial"/>
          <w:lang w:val="fr-FR"/>
        </w:rPr>
      </w:pPr>
      <w:r w:rsidRPr="00604EBF">
        <w:rPr>
          <w:rFonts w:cs="Arial"/>
          <w:lang w:val="fr-FR"/>
        </w:rPr>
        <w:t>d'abroger les décisions 14.11 à 14.14</w:t>
      </w:r>
    </w:p>
    <w:p w14:paraId="6693F191" w14:textId="77777777" w:rsidR="006F0FB8" w:rsidRPr="00604EBF" w:rsidRDefault="006F0FB8">
      <w:pPr>
        <w:pStyle w:val="Secondnumbering"/>
        <w:ind w:left="540"/>
        <w:jc w:val="both"/>
        <w:rPr>
          <w:rFonts w:cs="Arial"/>
          <w:lang w:val="fr-FR"/>
        </w:rPr>
      </w:pPr>
    </w:p>
    <w:p w14:paraId="54A73884" w14:textId="77777777" w:rsidR="006F0FB8" w:rsidRPr="00604EBF" w:rsidRDefault="006F0FB8">
      <w:pPr>
        <w:pStyle w:val="Secondnumbering"/>
        <w:ind w:left="540"/>
        <w:jc w:val="both"/>
        <w:rPr>
          <w:rFonts w:cs="Arial"/>
          <w:lang w:val="fr-FR"/>
        </w:rPr>
        <w:sectPr w:rsidR="006F0FB8" w:rsidRPr="00604EBF">
          <w:headerReference w:type="even" r:id="rId17"/>
          <w:headerReference w:type="default" r:id="rId18"/>
          <w:footerReference w:type="even" r:id="rId19"/>
          <w:footerReference w:type="default" r:id="rId20"/>
          <w:headerReference w:type="first" r:id="rId21"/>
          <w:pgSz w:w="11906" w:h="16838" w:code="9"/>
          <w:pgMar w:top="1440" w:right="1440" w:bottom="1440" w:left="1440" w:header="720" w:footer="720" w:gutter="0"/>
          <w:cols w:space="720"/>
          <w:titlePg/>
          <w:docGrid w:linePitch="360"/>
        </w:sectPr>
      </w:pPr>
    </w:p>
    <w:p w14:paraId="2E300EEC" w14:textId="77777777" w:rsidR="006F0FB8" w:rsidRPr="00604EBF" w:rsidRDefault="006E33B0">
      <w:pPr>
        <w:spacing w:after="0" w:line="240" w:lineRule="auto"/>
        <w:jc w:val="right"/>
        <w:rPr>
          <w:rFonts w:cs="Arial"/>
          <w:b/>
          <w:bCs/>
          <w:caps/>
          <w:lang w:val="fr-FR"/>
        </w:rPr>
      </w:pPr>
      <w:r w:rsidRPr="00604EBF">
        <w:rPr>
          <w:rFonts w:cs="Arial"/>
          <w:b/>
          <w:caps/>
          <w:lang w:val="fr-FR"/>
        </w:rPr>
        <w:lastRenderedPageBreak/>
        <w:t>Annexe</w:t>
      </w:r>
    </w:p>
    <w:p w14:paraId="04B94DF4" w14:textId="77777777" w:rsidR="006F0FB8" w:rsidRPr="00604EBF" w:rsidRDefault="006F0FB8">
      <w:pPr>
        <w:spacing w:after="0" w:line="240" w:lineRule="auto"/>
        <w:rPr>
          <w:rFonts w:cs="Arial"/>
          <w:lang w:val="fr-FR"/>
        </w:rPr>
      </w:pPr>
    </w:p>
    <w:p w14:paraId="53F0316D" w14:textId="77777777" w:rsidR="006F0FB8" w:rsidRPr="00604EBF" w:rsidRDefault="006F0FB8">
      <w:pPr>
        <w:spacing w:after="0" w:line="240" w:lineRule="auto"/>
        <w:rPr>
          <w:rFonts w:cs="Arial"/>
          <w:lang w:val="fr-FR"/>
        </w:rPr>
      </w:pPr>
    </w:p>
    <w:p w14:paraId="40A50DBF" w14:textId="77777777" w:rsidR="006F0FB8" w:rsidRPr="00604EBF" w:rsidRDefault="006E33B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sidRPr="00604EBF">
        <w:rPr>
          <w:rFonts w:cs="Arial"/>
          <w:bCs/>
          <w:caps/>
          <w:lang w:val="fr-FR"/>
        </w:rPr>
        <w:t>PROJET de décisions</w:t>
      </w:r>
    </w:p>
    <w:p w14:paraId="170D287D" w14:textId="77777777" w:rsidR="006F0FB8" w:rsidRPr="00604EBF" w:rsidRDefault="006F0FB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p>
    <w:p w14:paraId="6ED6FD8D" w14:textId="77777777" w:rsidR="006F0FB8" w:rsidRPr="00604EBF" w:rsidRDefault="006E33B0">
      <w:pPr>
        <w:widowControl w:val="0"/>
        <w:spacing w:after="0" w:line="240" w:lineRule="auto"/>
        <w:jc w:val="center"/>
        <w:rPr>
          <w:rFonts w:eastAsia="Arial" w:cs="Arial"/>
          <w:b/>
          <w:bCs/>
          <w:lang w:val="fr-FR"/>
        </w:rPr>
      </w:pPr>
      <w:r w:rsidRPr="00604EBF">
        <w:rPr>
          <w:rFonts w:eastAsia="Arial" w:cs="Arial"/>
          <w:b/>
          <w:bCs/>
          <w:lang w:val="fr-FR"/>
        </w:rPr>
        <w:t xml:space="preserve">COOPÉRATION ENTRE LA PLATEFORME INTERGOUVERNEMENTALE SCIENTIFIQUE </w:t>
      </w:r>
      <w:r w:rsidRPr="00604EBF">
        <w:rPr>
          <w:rFonts w:cs="Arial"/>
          <w:b/>
          <w:bCs/>
          <w:lang w:val="fr-FR"/>
        </w:rPr>
        <w:t>ET</w:t>
      </w:r>
      <w:r w:rsidRPr="00604EBF">
        <w:rPr>
          <w:rFonts w:eastAsia="Arial" w:cs="Arial"/>
          <w:b/>
          <w:bCs/>
          <w:lang w:val="fr-FR"/>
        </w:rPr>
        <w:t xml:space="preserve"> POLITIQUE SUR LA BIODIVERSITÉ ET LES SERVICES ÉCOSYSTÉMIQUES (IPBES) ET LA CMS</w:t>
      </w:r>
    </w:p>
    <w:p w14:paraId="48CA08A0" w14:textId="77777777" w:rsidR="006F0FB8" w:rsidRPr="00604EBF" w:rsidRDefault="006F0FB8">
      <w:pPr>
        <w:spacing w:after="0" w:line="240" w:lineRule="auto"/>
        <w:jc w:val="both"/>
        <w:rPr>
          <w:rFonts w:eastAsia="Arial" w:cs="Arial"/>
          <w:i/>
          <w:iCs/>
          <w:sz w:val="20"/>
          <w:szCs w:val="20"/>
          <w:lang w:val="fr-FR"/>
        </w:rPr>
      </w:pPr>
    </w:p>
    <w:p w14:paraId="09B9CC74" w14:textId="77777777" w:rsidR="006F0FB8" w:rsidRPr="00604EBF" w:rsidRDefault="006F0FB8">
      <w:pPr>
        <w:spacing w:after="0" w:line="240" w:lineRule="auto"/>
        <w:jc w:val="both"/>
        <w:rPr>
          <w:rFonts w:cs="Arial"/>
          <w:lang w:val="fr-FR"/>
        </w:rPr>
      </w:pPr>
    </w:p>
    <w:p w14:paraId="37E527F4" w14:textId="77777777" w:rsidR="006F0FB8" w:rsidRPr="00604EBF" w:rsidRDefault="006E33B0">
      <w:pPr>
        <w:spacing w:after="0" w:line="240" w:lineRule="auto"/>
        <w:jc w:val="both"/>
        <w:rPr>
          <w:rFonts w:cs="Arial"/>
          <w:lang w:val="fr-FR"/>
        </w:rPr>
      </w:pPr>
      <w:r w:rsidRPr="00604EBF">
        <w:rPr>
          <w:rFonts w:cs="Arial"/>
          <w:b/>
          <w:i/>
          <w:lang w:val="fr-FR"/>
        </w:rPr>
        <w:t xml:space="preserve">À l'adresse du Conseil scientifique </w:t>
      </w:r>
    </w:p>
    <w:p w14:paraId="6D3A7CC0" w14:textId="77777777" w:rsidR="006F0FB8" w:rsidRPr="00604EBF" w:rsidRDefault="006F0FB8">
      <w:pPr>
        <w:spacing w:after="0" w:line="240" w:lineRule="auto"/>
        <w:jc w:val="both"/>
        <w:rPr>
          <w:rFonts w:cs="Arial"/>
          <w:lang w:val="fr-FR"/>
        </w:rPr>
      </w:pPr>
    </w:p>
    <w:p w14:paraId="77D0CC08" w14:textId="77777777" w:rsidR="006F0FB8" w:rsidRPr="00604EBF" w:rsidRDefault="006E33B0">
      <w:pPr>
        <w:spacing w:after="0" w:line="240" w:lineRule="auto"/>
        <w:ind w:left="900" w:hanging="900"/>
        <w:jc w:val="both"/>
        <w:rPr>
          <w:rFonts w:eastAsia="Arial" w:cs="Arial"/>
          <w:lang w:val="fr-FR"/>
        </w:rPr>
      </w:pPr>
      <w:r w:rsidRPr="00604EBF">
        <w:rPr>
          <w:rFonts w:cs="Arial"/>
          <w:lang w:val="fr-FR"/>
        </w:rPr>
        <w:t>15.AA</w:t>
      </w:r>
      <w:r w:rsidRPr="00604EBF">
        <w:rPr>
          <w:rFonts w:cs="Arial"/>
          <w:lang w:val="fr-FR"/>
        </w:rPr>
        <w:tab/>
        <w:t xml:space="preserve">Le Conseil scientifique est prié, </w:t>
      </w:r>
      <w:r w:rsidRPr="00604EBF">
        <w:rPr>
          <w:rFonts w:eastAsia="Arial" w:cs="Arial"/>
          <w:lang w:val="fr-FR"/>
        </w:rPr>
        <w:t>sous réserve de la disponibilité des ressources :</w:t>
      </w:r>
    </w:p>
    <w:p w14:paraId="20303988" w14:textId="77777777" w:rsidR="006F0FB8" w:rsidRPr="00604EBF" w:rsidRDefault="006F0FB8">
      <w:pPr>
        <w:spacing w:after="0" w:line="240" w:lineRule="auto"/>
        <w:ind w:left="851" w:hanging="851"/>
        <w:jc w:val="both"/>
        <w:rPr>
          <w:rFonts w:eastAsia="Arial" w:cs="Arial"/>
          <w:lang w:val="fr-FR"/>
        </w:rPr>
      </w:pPr>
    </w:p>
    <w:p w14:paraId="751BDC29" w14:textId="77777777" w:rsidR="006F0FB8" w:rsidRPr="00604EBF" w:rsidRDefault="006E33B0">
      <w:pPr>
        <w:pStyle w:val="ListParagraph"/>
        <w:numPr>
          <w:ilvl w:val="0"/>
          <w:numId w:val="14"/>
        </w:numPr>
        <w:spacing w:after="0" w:line="240" w:lineRule="auto"/>
        <w:ind w:left="1440" w:hanging="540"/>
        <w:jc w:val="both"/>
        <w:rPr>
          <w:rFonts w:cs="Arial"/>
          <w:lang w:val="fr-FR"/>
        </w:rPr>
      </w:pPr>
      <w:r w:rsidRPr="00604EBF">
        <w:rPr>
          <w:rFonts w:eastAsia="Arial" w:cs="Arial"/>
          <w:lang w:val="fr-FR"/>
        </w:rPr>
        <w:t>de s’impliquer activement dans les processus de cadrage et de révision pertinents des évaluations en cours et à venir de l’IPBES, en mettant un accent particulier sur l’évaluation méthodologique de l’aménagement spatial intégré incluant la biodiversité et la connectivité écologique, afin de garantir que les éléments prioritaires de la CMS soient pris en considération ;</w:t>
      </w:r>
    </w:p>
    <w:p w14:paraId="48DA1538" w14:textId="77777777" w:rsidR="006F0FB8" w:rsidRPr="00604EBF" w:rsidRDefault="006F0FB8">
      <w:pPr>
        <w:pStyle w:val="ListParagraph"/>
        <w:spacing w:after="0" w:line="240" w:lineRule="auto"/>
        <w:ind w:left="1440" w:hanging="540"/>
        <w:jc w:val="both"/>
        <w:rPr>
          <w:rFonts w:cs="Arial"/>
          <w:lang w:val="fr-FR"/>
        </w:rPr>
      </w:pPr>
    </w:p>
    <w:p w14:paraId="716CD6CA" w14:textId="77777777" w:rsidR="006F0FB8" w:rsidRPr="00604EBF" w:rsidRDefault="006E33B0">
      <w:pPr>
        <w:pStyle w:val="ListParagraph"/>
        <w:numPr>
          <w:ilvl w:val="0"/>
          <w:numId w:val="14"/>
        </w:numPr>
        <w:spacing w:after="0" w:line="240" w:lineRule="auto"/>
        <w:ind w:left="1440" w:hanging="540"/>
        <w:jc w:val="both"/>
        <w:rPr>
          <w:rFonts w:cs="Arial"/>
          <w:lang w:val="fr-FR"/>
        </w:rPr>
      </w:pPr>
      <w:r w:rsidRPr="00604EBF">
        <w:rPr>
          <w:rFonts w:cs="Arial"/>
          <w:lang w:val="fr-FR"/>
        </w:rPr>
        <w:t>d'examiner les aspects scientifiques de certaines évaluations de l’IPBES et de formuler des recommandations sur leur pertinence pour la mise en œuvre de la CMS, en vue de leur examen par la Conférence des Parties lors de sa 16</w:t>
      </w:r>
      <w:r w:rsidRPr="00604EBF">
        <w:rPr>
          <w:rFonts w:cs="Arial"/>
          <w:vertAlign w:val="superscript"/>
          <w:lang w:val="fr-FR"/>
        </w:rPr>
        <w:t>e</w:t>
      </w:r>
      <w:r w:rsidRPr="00604EBF">
        <w:rPr>
          <w:rFonts w:cs="Arial"/>
          <w:lang w:val="fr-FR"/>
        </w:rPr>
        <w:t xml:space="preserve"> réunion.</w:t>
      </w:r>
    </w:p>
    <w:p w14:paraId="7778EE3A" w14:textId="77777777" w:rsidR="006F0FB8" w:rsidRPr="00604EBF" w:rsidRDefault="006F0FB8">
      <w:pPr>
        <w:spacing w:after="0" w:line="240" w:lineRule="auto"/>
        <w:jc w:val="both"/>
        <w:rPr>
          <w:rFonts w:cs="Arial"/>
          <w:b/>
          <w:i/>
          <w:lang w:val="fr-FR"/>
        </w:rPr>
      </w:pPr>
    </w:p>
    <w:p w14:paraId="7558282B" w14:textId="77777777" w:rsidR="006F0FB8" w:rsidRPr="00604EBF" w:rsidRDefault="006E33B0">
      <w:pPr>
        <w:spacing w:after="0" w:line="240" w:lineRule="auto"/>
        <w:jc w:val="both"/>
        <w:rPr>
          <w:rFonts w:cs="Arial"/>
          <w:b/>
          <w:i/>
          <w:lang w:val="fr-FR"/>
        </w:rPr>
      </w:pPr>
      <w:r w:rsidRPr="00604EBF">
        <w:rPr>
          <w:rFonts w:cs="Arial"/>
          <w:b/>
          <w:i/>
          <w:lang w:val="fr-FR"/>
        </w:rPr>
        <w:t>À l'adresse du Secrétariat</w:t>
      </w:r>
    </w:p>
    <w:p w14:paraId="5209F8A0" w14:textId="77777777" w:rsidR="006F0FB8" w:rsidRPr="00604EBF" w:rsidRDefault="006F0FB8">
      <w:pPr>
        <w:spacing w:after="0" w:line="240" w:lineRule="auto"/>
        <w:jc w:val="both"/>
        <w:rPr>
          <w:rFonts w:cs="Arial"/>
          <w:lang w:val="fr-FR"/>
        </w:rPr>
      </w:pPr>
    </w:p>
    <w:p w14:paraId="6393E777" w14:textId="77777777" w:rsidR="006F0FB8" w:rsidRPr="00604EBF" w:rsidRDefault="006E33B0">
      <w:pPr>
        <w:spacing w:after="0" w:line="240" w:lineRule="auto"/>
        <w:ind w:left="900" w:hanging="900"/>
        <w:jc w:val="both"/>
        <w:rPr>
          <w:rFonts w:cs="Arial"/>
          <w:iCs/>
          <w:lang w:val="fr-FR"/>
        </w:rPr>
      </w:pPr>
      <w:r w:rsidRPr="00604EBF">
        <w:rPr>
          <w:rFonts w:cs="Arial"/>
          <w:lang w:val="fr-FR"/>
        </w:rPr>
        <w:t>15.BB</w:t>
      </w:r>
      <w:r w:rsidRPr="00604EBF">
        <w:rPr>
          <w:rFonts w:cs="Arial"/>
          <w:lang w:val="fr-FR"/>
        </w:rPr>
        <w:tab/>
        <w:t>Le Secrétariat, est prié, sous réserve de la disponibilité des ressources :</w:t>
      </w:r>
    </w:p>
    <w:p w14:paraId="3C23BC2A" w14:textId="77777777" w:rsidR="006F0FB8" w:rsidRPr="00604EBF" w:rsidRDefault="006F0FB8">
      <w:pPr>
        <w:spacing w:after="0" w:line="240" w:lineRule="auto"/>
        <w:ind w:left="720" w:hanging="720"/>
        <w:jc w:val="both"/>
        <w:rPr>
          <w:rFonts w:cs="Arial"/>
          <w:iCs/>
          <w:lang w:val="fr-FR"/>
        </w:rPr>
      </w:pPr>
    </w:p>
    <w:p w14:paraId="41F65B5E" w14:textId="77777777" w:rsidR="006F0FB8" w:rsidRPr="00604EBF" w:rsidRDefault="006E33B0">
      <w:pPr>
        <w:pStyle w:val="ListParagraph"/>
        <w:numPr>
          <w:ilvl w:val="0"/>
          <w:numId w:val="15"/>
        </w:numPr>
        <w:spacing w:after="0" w:line="240" w:lineRule="auto"/>
        <w:ind w:left="1440" w:hanging="540"/>
        <w:jc w:val="both"/>
        <w:rPr>
          <w:rFonts w:cs="Arial"/>
          <w:lang w:val="fr-FR"/>
        </w:rPr>
      </w:pPr>
      <w:r w:rsidRPr="00604EBF">
        <w:rPr>
          <w:rFonts w:cs="Arial"/>
          <w:lang w:val="fr-FR"/>
        </w:rPr>
        <w:t>de soutenir le Conseil scientifique dans la mise en œuvre de la décision 15.AA ;</w:t>
      </w:r>
    </w:p>
    <w:p w14:paraId="231C0343" w14:textId="77777777" w:rsidR="006F0FB8" w:rsidRPr="00604EBF" w:rsidRDefault="006F0FB8">
      <w:pPr>
        <w:pStyle w:val="ListParagraph"/>
        <w:spacing w:after="0" w:line="240" w:lineRule="auto"/>
        <w:ind w:left="1440" w:hanging="540"/>
        <w:jc w:val="both"/>
        <w:rPr>
          <w:rFonts w:cs="Arial"/>
          <w:lang w:val="fr-FR"/>
        </w:rPr>
      </w:pPr>
    </w:p>
    <w:p w14:paraId="04B5DA37" w14:textId="77777777" w:rsidR="006F0FB8" w:rsidRPr="00604EBF" w:rsidRDefault="006E33B0">
      <w:pPr>
        <w:pStyle w:val="ListParagraph"/>
        <w:numPr>
          <w:ilvl w:val="0"/>
          <w:numId w:val="15"/>
        </w:numPr>
        <w:spacing w:after="0" w:line="240" w:lineRule="auto"/>
        <w:ind w:left="1440" w:hanging="540"/>
        <w:jc w:val="both"/>
        <w:rPr>
          <w:rFonts w:cs="Arial"/>
          <w:lang w:val="fr-FR"/>
        </w:rPr>
      </w:pPr>
      <w:r w:rsidRPr="00604EBF">
        <w:rPr>
          <w:rFonts w:cs="Arial"/>
          <w:lang w:val="fr-FR"/>
        </w:rPr>
        <w:t>de collaborer avec le Secrétariat de l’IPBES afin de renforcer la coopération sur les questions pertinentes pour les espèces migratrices.</w:t>
      </w:r>
    </w:p>
    <w:p w14:paraId="4F811E49" w14:textId="77777777" w:rsidR="006F0FB8" w:rsidRPr="00604EBF" w:rsidRDefault="006F0FB8">
      <w:pPr>
        <w:pStyle w:val="Secondnumbering"/>
        <w:ind w:left="540"/>
        <w:jc w:val="both"/>
        <w:rPr>
          <w:rFonts w:cs="Arial"/>
          <w:lang w:val="fr-FR"/>
        </w:rPr>
      </w:pPr>
    </w:p>
    <w:sectPr w:rsidR="006F0FB8" w:rsidRPr="00604EBF" w:rsidSect="006F0FB8">
      <w:headerReference w:type="first" r:id="rId22"/>
      <w:foot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4E00" w14:textId="77777777" w:rsidR="00792A67" w:rsidRDefault="00792A67">
      <w:pPr>
        <w:spacing w:after="0" w:line="240" w:lineRule="auto"/>
        <w:rPr>
          <w:lang w:val="fr-FR"/>
        </w:rPr>
      </w:pPr>
      <w:r>
        <w:rPr>
          <w:lang w:val="fr-FR"/>
        </w:rPr>
        <w:separator/>
      </w:r>
    </w:p>
  </w:endnote>
  <w:endnote w:type="continuationSeparator" w:id="0">
    <w:p w14:paraId="268B6966" w14:textId="77777777" w:rsidR="00792A67" w:rsidRDefault="00792A67">
      <w:pPr>
        <w:spacing w:after="0" w:line="240" w:lineRule="auto"/>
        <w:rPr>
          <w:lang w:val="fr-FR"/>
        </w:rPr>
      </w:pPr>
      <w:r>
        <w:rPr>
          <w:lang w:val="fr-FR"/>
        </w:rPr>
        <w:continuationSeparator/>
      </w:r>
    </w:p>
  </w:endnote>
  <w:endnote w:type="continuationNotice" w:id="1">
    <w:p w14:paraId="22F60CD9" w14:textId="77777777" w:rsidR="00792A67" w:rsidRDefault="00792A67">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66739B39" w14:textId="77777777" w:rsidR="002E0DE9" w:rsidRPr="002E0DE9" w:rsidRDefault="006F0FB8">
        <w:pPr>
          <w:pStyle w:val="Footer"/>
          <w:jc w:val="center"/>
          <w:rPr>
            <w:sz w:val="18"/>
            <w:szCs w:val="18"/>
          </w:rPr>
        </w:pPr>
        <w:r w:rsidRPr="002E0DE9">
          <w:rPr>
            <w:sz w:val="18"/>
            <w:szCs w:val="18"/>
          </w:rPr>
          <w:fldChar w:fldCharType="begin"/>
        </w:r>
        <w:r w:rsidR="002E0DE9" w:rsidRPr="002E0DE9">
          <w:rPr>
            <w:sz w:val="18"/>
            <w:szCs w:val="18"/>
          </w:rPr>
          <w:instrText xml:space="preserve"> PAGE   \* MERGEFORMAT </w:instrText>
        </w:r>
        <w:r w:rsidRPr="002E0DE9">
          <w:rPr>
            <w:sz w:val="18"/>
            <w:szCs w:val="18"/>
          </w:rPr>
          <w:fldChar w:fldCharType="separate"/>
        </w:r>
        <w:r w:rsidR="00B454CF">
          <w:rPr>
            <w:noProof/>
            <w:sz w:val="18"/>
            <w:szCs w:val="18"/>
          </w:rPr>
          <w:t>4</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1364F4D0" w14:textId="77777777" w:rsidR="0035024E" w:rsidRPr="0035024E" w:rsidRDefault="006F0FB8" w:rsidP="0035024E">
        <w:pPr>
          <w:pStyle w:val="Footer"/>
          <w:jc w:val="center"/>
          <w:rPr>
            <w:sz w:val="18"/>
            <w:szCs w:val="18"/>
          </w:rPr>
        </w:pPr>
        <w:r w:rsidRPr="0035024E">
          <w:rPr>
            <w:sz w:val="18"/>
            <w:szCs w:val="18"/>
          </w:rPr>
          <w:fldChar w:fldCharType="begin"/>
        </w:r>
        <w:r w:rsidR="0035024E" w:rsidRPr="0035024E">
          <w:rPr>
            <w:sz w:val="18"/>
            <w:szCs w:val="18"/>
          </w:rPr>
          <w:instrText xml:space="preserve"> PAGE   \* MERGEFORMAT </w:instrText>
        </w:r>
        <w:r w:rsidRPr="0035024E">
          <w:rPr>
            <w:sz w:val="18"/>
            <w:szCs w:val="18"/>
          </w:rPr>
          <w:fldChar w:fldCharType="separate"/>
        </w:r>
        <w:r w:rsidR="00B454CF">
          <w:rPr>
            <w:noProof/>
            <w:sz w:val="18"/>
            <w:szCs w:val="18"/>
          </w:rPr>
          <w:t>3</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552155"/>
      <w:docPartObj>
        <w:docPartGallery w:val="Page Numbers (Bottom of Page)"/>
        <w:docPartUnique/>
      </w:docPartObj>
    </w:sdtPr>
    <w:sdtEndPr>
      <w:rPr>
        <w:noProof/>
        <w:sz w:val="18"/>
        <w:szCs w:val="18"/>
      </w:rPr>
    </w:sdtEndPr>
    <w:sdtContent>
      <w:p w14:paraId="2C6C0F71" w14:textId="77777777" w:rsidR="000F6BBB" w:rsidRPr="000F6BBB" w:rsidRDefault="006F0FB8">
        <w:pPr>
          <w:pStyle w:val="Footer"/>
          <w:jc w:val="center"/>
          <w:rPr>
            <w:sz w:val="18"/>
            <w:szCs w:val="18"/>
          </w:rPr>
        </w:pPr>
        <w:r w:rsidRPr="000F6BBB">
          <w:rPr>
            <w:sz w:val="18"/>
            <w:szCs w:val="18"/>
          </w:rPr>
          <w:fldChar w:fldCharType="begin"/>
        </w:r>
        <w:r w:rsidR="000F6BBB" w:rsidRPr="000F6BBB">
          <w:rPr>
            <w:sz w:val="18"/>
            <w:szCs w:val="18"/>
          </w:rPr>
          <w:instrText xml:space="preserve"> PAGE   \* MERGEFORMAT </w:instrText>
        </w:r>
        <w:r w:rsidRPr="000F6BBB">
          <w:rPr>
            <w:sz w:val="18"/>
            <w:szCs w:val="18"/>
          </w:rPr>
          <w:fldChar w:fldCharType="separate"/>
        </w:r>
        <w:r w:rsidR="00B454CF">
          <w:rPr>
            <w:noProof/>
            <w:sz w:val="18"/>
            <w:szCs w:val="18"/>
          </w:rPr>
          <w:t>5</w:t>
        </w:r>
        <w:r w:rsidRPr="000F6BB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F7F7" w14:textId="77777777" w:rsidR="00792A67" w:rsidRDefault="00792A67">
      <w:pPr>
        <w:spacing w:after="0" w:line="240" w:lineRule="auto"/>
        <w:rPr>
          <w:lang w:val="fr-FR"/>
        </w:rPr>
      </w:pPr>
      <w:r>
        <w:rPr>
          <w:lang w:val="fr-FR"/>
        </w:rPr>
        <w:separator/>
      </w:r>
    </w:p>
  </w:footnote>
  <w:footnote w:type="continuationSeparator" w:id="0">
    <w:p w14:paraId="4363315E" w14:textId="77777777" w:rsidR="00792A67" w:rsidRDefault="00792A67">
      <w:pPr>
        <w:spacing w:after="0" w:line="240" w:lineRule="auto"/>
        <w:rPr>
          <w:lang w:val="fr-FR"/>
        </w:rPr>
      </w:pPr>
      <w:r>
        <w:rPr>
          <w:lang w:val="fr-FR"/>
        </w:rPr>
        <w:continuationSeparator/>
      </w:r>
    </w:p>
  </w:footnote>
  <w:footnote w:type="continuationNotice" w:id="1">
    <w:p w14:paraId="237ECA5F" w14:textId="77777777" w:rsidR="00792A67" w:rsidRDefault="00792A67">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536D" w14:textId="77777777"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0F6BBB">
      <w:rPr>
        <w:rFonts w:eastAsia="Times New Roman" w:cs="Arial"/>
        <w:i/>
        <w:sz w:val="18"/>
        <w:szCs w:val="18"/>
        <w:lang w:val="en-GB"/>
      </w:rPr>
      <w:t>18.2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8AB8" w14:textId="77777777" w:rsidR="002E0DE9" w:rsidRPr="002E0DE9" w:rsidRDefault="002E0DE9" w:rsidP="00842B75">
    <w:pPr>
      <w:pStyle w:val="Header"/>
      <w:pBdr>
        <w:bottom w:val="single" w:sz="4" w:space="1" w:color="auto"/>
      </w:pBdr>
      <w:jc w:val="right"/>
      <w:rPr>
        <w:i/>
        <w:sz w:val="18"/>
        <w:szCs w:val="18"/>
      </w:rPr>
    </w:pPr>
    <w:r w:rsidRPr="000F6BBB">
      <w:rPr>
        <w:rFonts w:eastAsia="Times New Roman" w:cs="Arial"/>
        <w:i/>
        <w:sz w:val="18"/>
        <w:szCs w:val="18"/>
        <w:lang w:val="en-GB"/>
      </w:rPr>
      <w:t>UNEP/CMS/COP1</w:t>
    </w:r>
    <w:r w:rsidR="006A689A" w:rsidRPr="000F6BBB">
      <w:rPr>
        <w:rFonts w:eastAsia="Times New Roman" w:cs="Arial"/>
        <w:i/>
        <w:sz w:val="18"/>
        <w:szCs w:val="18"/>
        <w:lang w:val="en-GB"/>
      </w:rPr>
      <w:t>5</w:t>
    </w:r>
    <w:r w:rsidRPr="000F6BBB">
      <w:rPr>
        <w:rFonts w:eastAsia="Times New Roman" w:cs="Arial"/>
        <w:i/>
        <w:sz w:val="18"/>
        <w:szCs w:val="18"/>
        <w:lang w:val="en-GB"/>
      </w:rPr>
      <w:t>/</w:t>
    </w:r>
    <w:r w:rsidR="006A7DC4" w:rsidRPr="000F6BBB">
      <w:rPr>
        <w:rFonts w:eastAsia="Times New Roman" w:cs="Arial"/>
        <w:i/>
        <w:sz w:val="18"/>
        <w:szCs w:val="18"/>
        <w:lang w:val="en-GB"/>
      </w:rPr>
      <w:t>Doc.</w:t>
    </w:r>
    <w:r w:rsidR="000F6BBB">
      <w:rPr>
        <w:rFonts w:eastAsia="Times New Roman" w:cs="Arial"/>
        <w:i/>
        <w:sz w:val="18"/>
        <w:szCs w:val="18"/>
        <w:lang w:val="en-GB"/>
      </w:rPr>
      <w:t>18.2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CD03" w14:textId="77777777" w:rsidR="00EF35C9" w:rsidRPr="00FF59D5" w:rsidRDefault="00EF35C9" w:rsidP="00EF35C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61312" behindDoc="0" locked="0" layoutInCell="1" allowOverlap="1" wp14:anchorId="1E93DAD6" wp14:editId="293F090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724B123C" wp14:editId="02CCEDB2">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49A66007" wp14:editId="0EBEC51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p w14:paraId="69EA4685" w14:textId="77777777" w:rsidR="00EF35C9" w:rsidRDefault="00EF35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EF8C" w14:textId="77777777" w:rsidR="006F0FB8" w:rsidRDefault="006E33B0">
    <w:pPr>
      <w:pStyle w:val="Header"/>
      <w:pBdr>
        <w:bottom w:val="single" w:sz="4" w:space="1" w:color="auto"/>
      </w:pBdr>
      <w:jc w:val="right"/>
      <w:rPr>
        <w:i/>
        <w:sz w:val="18"/>
        <w:szCs w:val="18"/>
        <w:lang w:val="fr-FR"/>
      </w:rPr>
    </w:pPr>
    <w:r>
      <w:rPr>
        <w:rFonts w:eastAsia="Times New Roman" w:cs="Arial"/>
        <w:i/>
        <w:sz w:val="18"/>
        <w:szCs w:val="18"/>
        <w:lang w:val="fr-FR"/>
      </w:rPr>
      <w:t>UNEP/CMS/COP15/Doc.18.2/Annexe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09080D"/>
    <w:multiLevelType w:val="hybridMultilevel"/>
    <w:tmpl w:val="417244A2"/>
    <w:lvl w:ilvl="0" w:tplc="5DB43398">
      <w:start w:val="1"/>
      <w:numFmt w:val="lowerLetter"/>
      <w:lvlText w:val="%1)"/>
      <w:lvlJc w:val="left"/>
      <w:pPr>
        <w:ind w:left="1080" w:hanging="360"/>
      </w:pPr>
    </w:lvl>
    <w:lvl w:ilvl="1" w:tplc="99F6FC92">
      <w:start w:val="1"/>
      <w:numFmt w:val="lowerLetter"/>
      <w:lvlText w:val="%2."/>
      <w:lvlJc w:val="left"/>
      <w:pPr>
        <w:ind w:left="1800" w:hanging="360"/>
      </w:pPr>
    </w:lvl>
    <w:lvl w:ilvl="2" w:tplc="39CCB772">
      <w:start w:val="1"/>
      <w:numFmt w:val="lowerRoman"/>
      <w:lvlText w:val="%3."/>
      <w:lvlJc w:val="right"/>
      <w:pPr>
        <w:ind w:left="2520" w:hanging="180"/>
      </w:pPr>
    </w:lvl>
    <w:lvl w:ilvl="3" w:tplc="234C73BC">
      <w:start w:val="1"/>
      <w:numFmt w:val="decimal"/>
      <w:lvlText w:val="%4."/>
      <w:lvlJc w:val="left"/>
      <w:pPr>
        <w:ind w:left="3240" w:hanging="360"/>
      </w:pPr>
    </w:lvl>
    <w:lvl w:ilvl="4" w:tplc="7860A026">
      <w:start w:val="1"/>
      <w:numFmt w:val="lowerLetter"/>
      <w:lvlText w:val="%5."/>
      <w:lvlJc w:val="left"/>
      <w:pPr>
        <w:ind w:left="3960" w:hanging="360"/>
      </w:pPr>
    </w:lvl>
    <w:lvl w:ilvl="5" w:tplc="4CF8541A">
      <w:start w:val="1"/>
      <w:numFmt w:val="lowerRoman"/>
      <w:lvlText w:val="%6."/>
      <w:lvlJc w:val="right"/>
      <w:pPr>
        <w:ind w:left="4680" w:hanging="180"/>
      </w:pPr>
    </w:lvl>
    <w:lvl w:ilvl="6" w:tplc="C2F60D58">
      <w:start w:val="1"/>
      <w:numFmt w:val="decimal"/>
      <w:lvlText w:val="%7."/>
      <w:lvlJc w:val="left"/>
      <w:pPr>
        <w:ind w:left="5400" w:hanging="360"/>
      </w:pPr>
    </w:lvl>
    <w:lvl w:ilvl="7" w:tplc="2C74CB82">
      <w:start w:val="1"/>
      <w:numFmt w:val="lowerLetter"/>
      <w:lvlText w:val="%8."/>
      <w:lvlJc w:val="left"/>
      <w:pPr>
        <w:ind w:left="6120" w:hanging="360"/>
      </w:pPr>
    </w:lvl>
    <w:lvl w:ilvl="8" w:tplc="B2A6414A">
      <w:start w:val="1"/>
      <w:numFmt w:val="lowerRoman"/>
      <w:lvlText w:val="%9."/>
      <w:lvlJc w:val="right"/>
      <w:pPr>
        <w:ind w:left="684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835A6"/>
    <w:multiLevelType w:val="hybridMultilevel"/>
    <w:tmpl w:val="A3766CDE"/>
    <w:lvl w:ilvl="0" w:tplc="20000017">
      <w:start w:val="1"/>
      <w:numFmt w:val="lowerLetter"/>
      <w:lvlText w:val="%1)"/>
      <w:lvlJc w:val="left"/>
      <w:pPr>
        <w:ind w:left="1575" w:hanging="360"/>
      </w:pPr>
    </w:lvl>
    <w:lvl w:ilvl="1" w:tplc="20000019" w:tentative="1">
      <w:start w:val="1"/>
      <w:numFmt w:val="lowerLetter"/>
      <w:lvlText w:val="%2."/>
      <w:lvlJc w:val="left"/>
      <w:pPr>
        <w:ind w:left="2295" w:hanging="360"/>
      </w:pPr>
    </w:lvl>
    <w:lvl w:ilvl="2" w:tplc="2000001B" w:tentative="1">
      <w:start w:val="1"/>
      <w:numFmt w:val="lowerRoman"/>
      <w:lvlText w:val="%3."/>
      <w:lvlJc w:val="right"/>
      <w:pPr>
        <w:ind w:left="3015" w:hanging="180"/>
      </w:pPr>
    </w:lvl>
    <w:lvl w:ilvl="3" w:tplc="2000000F" w:tentative="1">
      <w:start w:val="1"/>
      <w:numFmt w:val="decimal"/>
      <w:lvlText w:val="%4."/>
      <w:lvlJc w:val="left"/>
      <w:pPr>
        <w:ind w:left="3735" w:hanging="360"/>
      </w:pPr>
    </w:lvl>
    <w:lvl w:ilvl="4" w:tplc="20000019" w:tentative="1">
      <w:start w:val="1"/>
      <w:numFmt w:val="lowerLetter"/>
      <w:lvlText w:val="%5."/>
      <w:lvlJc w:val="left"/>
      <w:pPr>
        <w:ind w:left="4455" w:hanging="360"/>
      </w:pPr>
    </w:lvl>
    <w:lvl w:ilvl="5" w:tplc="2000001B" w:tentative="1">
      <w:start w:val="1"/>
      <w:numFmt w:val="lowerRoman"/>
      <w:lvlText w:val="%6."/>
      <w:lvlJc w:val="right"/>
      <w:pPr>
        <w:ind w:left="5175" w:hanging="180"/>
      </w:pPr>
    </w:lvl>
    <w:lvl w:ilvl="6" w:tplc="2000000F" w:tentative="1">
      <w:start w:val="1"/>
      <w:numFmt w:val="decimal"/>
      <w:lvlText w:val="%7."/>
      <w:lvlJc w:val="left"/>
      <w:pPr>
        <w:ind w:left="5895" w:hanging="360"/>
      </w:pPr>
    </w:lvl>
    <w:lvl w:ilvl="7" w:tplc="20000019" w:tentative="1">
      <w:start w:val="1"/>
      <w:numFmt w:val="lowerLetter"/>
      <w:lvlText w:val="%8."/>
      <w:lvlJc w:val="left"/>
      <w:pPr>
        <w:ind w:left="6615" w:hanging="360"/>
      </w:pPr>
    </w:lvl>
    <w:lvl w:ilvl="8" w:tplc="2000001B" w:tentative="1">
      <w:start w:val="1"/>
      <w:numFmt w:val="lowerRoman"/>
      <w:lvlText w:val="%9."/>
      <w:lvlJc w:val="right"/>
      <w:pPr>
        <w:ind w:left="7335" w:hanging="180"/>
      </w:pPr>
    </w:lvl>
  </w:abstractNum>
  <w:abstractNum w:abstractNumId="4" w15:restartNumberingAfterBreak="0">
    <w:nsid w:val="2E4A7DDE"/>
    <w:multiLevelType w:val="hybridMultilevel"/>
    <w:tmpl w:val="FE58080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6017D"/>
    <w:multiLevelType w:val="hybridMultilevel"/>
    <w:tmpl w:val="DB9EE452"/>
    <w:lvl w:ilvl="0" w:tplc="AF6C4738">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A23F83"/>
    <w:multiLevelType w:val="hybridMultilevel"/>
    <w:tmpl w:val="52805290"/>
    <w:lvl w:ilvl="0" w:tplc="C64A8680">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02B5ECF"/>
    <w:multiLevelType w:val="multilevel"/>
    <w:tmpl w:val="ED26715C"/>
    <w:lvl w:ilvl="0">
      <w:start w:val="14"/>
      <w:numFmt w:val="decimal"/>
      <w:lvlText w:val="%1"/>
      <w:lvlJc w:val="left"/>
      <w:pPr>
        <w:ind w:left="501" w:hanging="501"/>
      </w:pPr>
      <w:rPr>
        <w:rFonts w:hint="default"/>
      </w:rPr>
    </w:lvl>
    <w:lvl w:ilvl="1">
      <w:start w:val="12"/>
      <w:numFmt w:val="decimal"/>
      <w:lvlText w:val="%1.%2"/>
      <w:lvlJc w:val="left"/>
      <w:pPr>
        <w:ind w:left="5321" w:hanging="501"/>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654501C"/>
    <w:multiLevelType w:val="hybridMultilevel"/>
    <w:tmpl w:val="F2D6B14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477690">
    <w:abstractNumId w:val="7"/>
  </w:num>
  <w:num w:numId="2" w16cid:durableId="873928814">
    <w:abstractNumId w:val="12"/>
  </w:num>
  <w:num w:numId="3" w16cid:durableId="682317959">
    <w:abstractNumId w:val="0"/>
  </w:num>
  <w:num w:numId="4" w16cid:durableId="1705446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8301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16617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800080">
    <w:abstractNumId w:val="5"/>
  </w:num>
  <w:num w:numId="8" w16cid:durableId="1453863254">
    <w:abstractNumId w:val="15"/>
  </w:num>
  <w:num w:numId="9" w16cid:durableId="134420317">
    <w:abstractNumId w:val="8"/>
  </w:num>
  <w:num w:numId="10" w16cid:durableId="1809859239">
    <w:abstractNumId w:val="2"/>
  </w:num>
  <w:num w:numId="11" w16cid:durableId="1958558295">
    <w:abstractNumId w:val="1"/>
  </w:num>
  <w:num w:numId="12" w16cid:durableId="41443079">
    <w:abstractNumId w:val="11"/>
  </w:num>
  <w:num w:numId="13" w16cid:durableId="911893265">
    <w:abstractNumId w:val="4"/>
  </w:num>
  <w:num w:numId="14" w16cid:durableId="1176382681">
    <w:abstractNumId w:val="3"/>
  </w:num>
  <w:num w:numId="15" w16cid:durableId="621420974">
    <w:abstractNumId w:val="13"/>
  </w:num>
  <w:num w:numId="16" w16cid:durableId="2123643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32253"/>
    <w:rsid w:val="000539AB"/>
    <w:rsid w:val="0006101D"/>
    <w:rsid w:val="00063C40"/>
    <w:rsid w:val="000661B2"/>
    <w:rsid w:val="00081045"/>
    <w:rsid w:val="0009245E"/>
    <w:rsid w:val="000F08F1"/>
    <w:rsid w:val="000F13BB"/>
    <w:rsid w:val="000F6BBB"/>
    <w:rsid w:val="00103C7C"/>
    <w:rsid w:val="00137609"/>
    <w:rsid w:val="00177179"/>
    <w:rsid w:val="00184004"/>
    <w:rsid w:val="00184287"/>
    <w:rsid w:val="00190ADA"/>
    <w:rsid w:val="001B144D"/>
    <w:rsid w:val="001C6C56"/>
    <w:rsid w:val="001D6917"/>
    <w:rsid w:val="002326AB"/>
    <w:rsid w:val="00235010"/>
    <w:rsid w:val="00237692"/>
    <w:rsid w:val="00254906"/>
    <w:rsid w:val="00282A74"/>
    <w:rsid w:val="00284272"/>
    <w:rsid w:val="00284880"/>
    <w:rsid w:val="002B2806"/>
    <w:rsid w:val="002E0DE9"/>
    <w:rsid w:val="002E6A7D"/>
    <w:rsid w:val="00327666"/>
    <w:rsid w:val="0032794D"/>
    <w:rsid w:val="00331D38"/>
    <w:rsid w:val="0035024E"/>
    <w:rsid w:val="003669FF"/>
    <w:rsid w:val="003C569E"/>
    <w:rsid w:val="003C7C2C"/>
    <w:rsid w:val="003E78F2"/>
    <w:rsid w:val="003F5DDA"/>
    <w:rsid w:val="0040663F"/>
    <w:rsid w:val="00431FE3"/>
    <w:rsid w:val="00434BDA"/>
    <w:rsid w:val="00443325"/>
    <w:rsid w:val="004531F1"/>
    <w:rsid w:val="00457A20"/>
    <w:rsid w:val="004608C4"/>
    <w:rsid w:val="004639CE"/>
    <w:rsid w:val="004714F5"/>
    <w:rsid w:val="00472BCE"/>
    <w:rsid w:val="00495B71"/>
    <w:rsid w:val="004C015B"/>
    <w:rsid w:val="004C1FDD"/>
    <w:rsid w:val="00500665"/>
    <w:rsid w:val="00516A25"/>
    <w:rsid w:val="00531BD1"/>
    <w:rsid w:val="005330F7"/>
    <w:rsid w:val="005347AE"/>
    <w:rsid w:val="0055344C"/>
    <w:rsid w:val="005544CF"/>
    <w:rsid w:val="00563598"/>
    <w:rsid w:val="0059075E"/>
    <w:rsid w:val="00594151"/>
    <w:rsid w:val="00597EB1"/>
    <w:rsid w:val="005A2A3E"/>
    <w:rsid w:val="005B23A6"/>
    <w:rsid w:val="005C28E8"/>
    <w:rsid w:val="005C5625"/>
    <w:rsid w:val="005C5C48"/>
    <w:rsid w:val="005C75A7"/>
    <w:rsid w:val="005D3D4E"/>
    <w:rsid w:val="005E031D"/>
    <w:rsid w:val="005E38F3"/>
    <w:rsid w:val="005E6D3C"/>
    <w:rsid w:val="005F738C"/>
    <w:rsid w:val="00604EBF"/>
    <w:rsid w:val="00610891"/>
    <w:rsid w:val="006430B1"/>
    <w:rsid w:val="00654A89"/>
    <w:rsid w:val="006704FB"/>
    <w:rsid w:val="006728CD"/>
    <w:rsid w:val="00681321"/>
    <w:rsid w:val="00682891"/>
    <w:rsid w:val="006867A3"/>
    <w:rsid w:val="006A689A"/>
    <w:rsid w:val="006A7DC4"/>
    <w:rsid w:val="006C0316"/>
    <w:rsid w:val="006D2054"/>
    <w:rsid w:val="006E07AB"/>
    <w:rsid w:val="006E33B0"/>
    <w:rsid w:val="006F0FB8"/>
    <w:rsid w:val="00704E4A"/>
    <w:rsid w:val="0071181A"/>
    <w:rsid w:val="007259EC"/>
    <w:rsid w:val="00727B7F"/>
    <w:rsid w:val="0073233F"/>
    <w:rsid w:val="00786961"/>
    <w:rsid w:val="00792A67"/>
    <w:rsid w:val="007D5DEB"/>
    <w:rsid w:val="00816618"/>
    <w:rsid w:val="00820572"/>
    <w:rsid w:val="00837BC1"/>
    <w:rsid w:val="00842B75"/>
    <w:rsid w:val="008619CA"/>
    <w:rsid w:val="008664D5"/>
    <w:rsid w:val="00871567"/>
    <w:rsid w:val="00871E2C"/>
    <w:rsid w:val="00872FF8"/>
    <w:rsid w:val="008852CE"/>
    <w:rsid w:val="008940E0"/>
    <w:rsid w:val="008B0AC3"/>
    <w:rsid w:val="008C3A4A"/>
    <w:rsid w:val="008D34E1"/>
    <w:rsid w:val="008D7F9C"/>
    <w:rsid w:val="008E399F"/>
    <w:rsid w:val="008E6292"/>
    <w:rsid w:val="008E7441"/>
    <w:rsid w:val="0092141A"/>
    <w:rsid w:val="00933B90"/>
    <w:rsid w:val="0093713A"/>
    <w:rsid w:val="00995708"/>
    <w:rsid w:val="009A08AE"/>
    <w:rsid w:val="009A2337"/>
    <w:rsid w:val="009A4FCA"/>
    <w:rsid w:val="009B28A1"/>
    <w:rsid w:val="009B3CF3"/>
    <w:rsid w:val="009F6C60"/>
    <w:rsid w:val="00A350E8"/>
    <w:rsid w:val="00A44ED2"/>
    <w:rsid w:val="00A45996"/>
    <w:rsid w:val="00A5442D"/>
    <w:rsid w:val="00A56F6E"/>
    <w:rsid w:val="00A93363"/>
    <w:rsid w:val="00AB4A60"/>
    <w:rsid w:val="00AD4F4C"/>
    <w:rsid w:val="00AF63ED"/>
    <w:rsid w:val="00B07460"/>
    <w:rsid w:val="00B2055E"/>
    <w:rsid w:val="00B32979"/>
    <w:rsid w:val="00B33183"/>
    <w:rsid w:val="00B43FE0"/>
    <w:rsid w:val="00B4546D"/>
    <w:rsid w:val="00B454CF"/>
    <w:rsid w:val="00B51A11"/>
    <w:rsid w:val="00B609A5"/>
    <w:rsid w:val="00B665AB"/>
    <w:rsid w:val="00B716CD"/>
    <w:rsid w:val="00B81CB2"/>
    <w:rsid w:val="00B82773"/>
    <w:rsid w:val="00B86FD6"/>
    <w:rsid w:val="00B93B28"/>
    <w:rsid w:val="00BB7FAE"/>
    <w:rsid w:val="00BC60DB"/>
    <w:rsid w:val="00BE54DD"/>
    <w:rsid w:val="00C01ED7"/>
    <w:rsid w:val="00C108C1"/>
    <w:rsid w:val="00C22028"/>
    <w:rsid w:val="00C235F9"/>
    <w:rsid w:val="00C32E9F"/>
    <w:rsid w:val="00C34F42"/>
    <w:rsid w:val="00C44938"/>
    <w:rsid w:val="00C7409D"/>
    <w:rsid w:val="00C83057"/>
    <w:rsid w:val="00C924CF"/>
    <w:rsid w:val="00C974A1"/>
    <w:rsid w:val="00CC20D1"/>
    <w:rsid w:val="00CC3F4F"/>
    <w:rsid w:val="00CD27A9"/>
    <w:rsid w:val="00CF5D3B"/>
    <w:rsid w:val="00D1567A"/>
    <w:rsid w:val="00D20458"/>
    <w:rsid w:val="00D31A58"/>
    <w:rsid w:val="00D40160"/>
    <w:rsid w:val="00D418E6"/>
    <w:rsid w:val="00D4691A"/>
    <w:rsid w:val="00D50031"/>
    <w:rsid w:val="00D61BE5"/>
    <w:rsid w:val="00D62FDB"/>
    <w:rsid w:val="00D66DB0"/>
    <w:rsid w:val="00D8210B"/>
    <w:rsid w:val="00D93628"/>
    <w:rsid w:val="00DD4314"/>
    <w:rsid w:val="00DD57DD"/>
    <w:rsid w:val="00DE481B"/>
    <w:rsid w:val="00E34C0F"/>
    <w:rsid w:val="00E4182C"/>
    <w:rsid w:val="00E56C45"/>
    <w:rsid w:val="00E77D51"/>
    <w:rsid w:val="00EB05B0"/>
    <w:rsid w:val="00EB3205"/>
    <w:rsid w:val="00EB5FA1"/>
    <w:rsid w:val="00EF35C9"/>
    <w:rsid w:val="00F071CF"/>
    <w:rsid w:val="00F166B9"/>
    <w:rsid w:val="00F231E8"/>
    <w:rsid w:val="00F26BA0"/>
    <w:rsid w:val="00F450D6"/>
    <w:rsid w:val="00F53636"/>
    <w:rsid w:val="00F67E81"/>
    <w:rsid w:val="00F7155B"/>
    <w:rsid w:val="00F74F81"/>
    <w:rsid w:val="00F75474"/>
    <w:rsid w:val="00F854F2"/>
    <w:rsid w:val="00FA29AC"/>
    <w:rsid w:val="00FA5582"/>
    <w:rsid w:val="00FE321E"/>
    <w:rsid w:val="00FF6285"/>
    <w:rsid w:val="00FF6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764E80"/>
  <w15:docId w15:val="{3967C0CF-A572-4B42-807D-EE4F2C3B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FB8"/>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727B7F"/>
    <w:pPr>
      <w:spacing w:after="0" w:line="240" w:lineRule="auto"/>
    </w:pPr>
    <w:rPr>
      <w:lang w:val="en-GB"/>
    </w:rPr>
  </w:style>
  <w:style w:type="character" w:customStyle="1" w:styleId="ListParagraphChar">
    <w:name w:val="List Paragraph Char"/>
    <w:basedOn w:val="DefaultParagraphFont"/>
    <w:link w:val="ListParagraph"/>
    <w:uiPriority w:val="34"/>
    <w:rsid w:val="00727B7F"/>
  </w:style>
  <w:style w:type="character" w:customStyle="1" w:styleId="SecondnumberingChar">
    <w:name w:val="Second numbering Char"/>
    <w:basedOn w:val="DefaultParagraphFont"/>
    <w:link w:val="Secondnumbering"/>
    <w:rsid w:val="00727B7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1951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fr/news/2024019-%C3%A9valuation-de-lipbes-relative-%C3%A0-lam%C3%A9nagement-du-territoire-appel-doffres-pou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pbes.net/fr/node/71091"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pbes.net/fr/node/5913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pbes.net/fr/node/7109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ews/2024023-appel-%C3%A0-nominations-pour-l%C3%A9valuation-m%C3%A9thodologique-de-l%E2%80%99ipbes-relative-%C3%A0-la"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17AA4-E707-4402-A853-6A16D52DB263}"/>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97BFBA3-009B-482F-A2B1-7CEC32928263}">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1745</Words>
  <Characters>9952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CharactersWithSpaces>
  <SharedDoc>false</SharedDoc>
  <HLinks>
    <vt:vector size="30" baseType="variant">
      <vt:variant>
        <vt:i4>6750321</vt:i4>
      </vt:variant>
      <vt:variant>
        <vt:i4>12</vt:i4>
      </vt:variant>
      <vt:variant>
        <vt:i4>0</vt:i4>
      </vt:variant>
      <vt:variant>
        <vt:i4>5</vt:i4>
      </vt:variant>
      <vt:variant>
        <vt:lpwstr>https://www.ipbes.net/second-global-assessment</vt:lpwstr>
      </vt:variant>
      <vt:variant>
        <vt:lpwstr/>
      </vt:variant>
      <vt:variant>
        <vt:i4>2031625</vt:i4>
      </vt:variant>
      <vt:variant>
        <vt:i4>9</vt:i4>
      </vt:variant>
      <vt:variant>
        <vt:i4>0</vt:i4>
      </vt:variant>
      <vt:variant>
        <vt:i4>5</vt:i4>
      </vt:variant>
      <vt:variant>
        <vt:lpwstr>https://www.ipbes.net/spatial-planning-assessment</vt:lpwstr>
      </vt:variant>
      <vt:variant>
        <vt:lpwstr/>
      </vt:variant>
      <vt:variant>
        <vt:i4>7274603</vt:i4>
      </vt:variant>
      <vt:variant>
        <vt:i4>6</vt:i4>
      </vt:variant>
      <vt:variant>
        <vt:i4>0</vt:i4>
      </vt:variant>
      <vt:variant>
        <vt:i4>5</vt:i4>
      </vt:variant>
      <vt:variant>
        <vt:lpwstr>https://www.cms.int/news/2024023-call-nominations-ipbes-methodological-assessment-integrated-biodiversity-inclusive</vt:lpwstr>
      </vt:variant>
      <vt:variant>
        <vt:lpwstr/>
      </vt:variant>
      <vt:variant>
        <vt:i4>8257634</vt:i4>
      </vt:variant>
      <vt:variant>
        <vt:i4>3</vt:i4>
      </vt:variant>
      <vt:variant>
        <vt:i4>0</vt:i4>
      </vt:variant>
      <vt:variant>
        <vt:i4>5</vt:i4>
      </vt:variant>
      <vt:variant>
        <vt:lpwstr>https://www.cms.int/news/2024019-ipbes-spatial-planning-assessment-call-offers-host-technical-support-unit</vt:lpwstr>
      </vt:variant>
      <vt:variant>
        <vt:lpwstr/>
      </vt:variant>
      <vt:variant>
        <vt:i4>2031625</vt:i4>
      </vt:variant>
      <vt:variant>
        <vt:i4>0</vt:i4>
      </vt:variant>
      <vt:variant>
        <vt:i4>0</vt:i4>
      </vt:variant>
      <vt:variant>
        <vt:i4>5</vt:i4>
      </vt:variant>
      <vt:variant>
        <vt:lpwstr>https://www.ipbes.net/spatial-planning-assessment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10</cp:revision>
  <dcterms:created xsi:type="dcterms:W3CDTF">2025-11-05T12:42:00Z</dcterms:created>
  <dcterms:modified xsi:type="dcterms:W3CDTF">2025-11-10T12:04:00Z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