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77CDDC9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C83057">
              <w:rPr>
                <w:rFonts w:eastAsia="Times New Roman" w:cs="Arial"/>
                <w:lang w:val="en-GB"/>
              </w:rPr>
              <w:t>18.2</w:t>
            </w:r>
          </w:p>
          <w:p w14:paraId="1FCC85D7" w14:textId="05F30654" w:rsidR="002E0DE9" w:rsidRPr="008C3A4A" w:rsidRDefault="00C83057"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8 October 2025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1F99142F"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C83057">
        <w:rPr>
          <w:rFonts w:eastAsia="Times New Roman" w:cs="Arial"/>
          <w:iCs/>
          <w:lang w:val="en-GB"/>
        </w:rPr>
        <w:t>18.2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7567EB8E" w:rsidR="00081045" w:rsidRPr="00081045" w:rsidRDefault="00AB4A60" w:rsidP="005E031D">
      <w:pPr>
        <w:widowControl w:val="0"/>
        <w:suppressAutoHyphens/>
        <w:autoSpaceDE w:val="0"/>
        <w:autoSpaceDN w:val="0"/>
        <w:spacing w:after="120" w:line="240" w:lineRule="auto"/>
        <w:jc w:val="center"/>
        <w:textAlignment w:val="baseline"/>
        <w:rPr>
          <w:rFonts w:eastAsia="Times New Roman" w:cs="Arial"/>
          <w:b/>
          <w:bCs/>
          <w:lang w:val="en-GB"/>
        </w:rPr>
      </w:pPr>
      <w:r w:rsidRPr="00DD39C2">
        <w:rPr>
          <w:rFonts w:eastAsia="Arial" w:cs="Arial"/>
          <w:b/>
          <w:bCs/>
        </w:rPr>
        <w:t>COOPERATION BETWEEN THE INTERGOVERNMENTAL SCIENCE</w:t>
      </w:r>
      <w:r>
        <w:rPr>
          <w:rFonts w:eastAsia="Arial" w:cs="Arial"/>
          <w:b/>
          <w:bCs/>
        </w:rPr>
        <w:t>–</w:t>
      </w:r>
      <w:r w:rsidRPr="00DD39C2">
        <w:rPr>
          <w:rFonts w:eastAsia="Arial" w:cs="Arial"/>
          <w:b/>
          <w:bCs/>
        </w:rPr>
        <w:t>POLICY PLATFORM ON BIODIVERSITY AND ECOSYSTEM SERVICES (IPBES) AND CMS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25C2129" w:rsidR="002E0DE9" w:rsidRPr="008C3A4A" w:rsidRDefault="00D31A5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6704" behindDoc="1" locked="0" layoutInCell="1" allowOverlap="1" wp14:anchorId="6AF39586" wp14:editId="424BAC2A">
                <wp:simplePos x="0" y="0"/>
                <wp:positionH relativeFrom="margin">
                  <wp:posOffset>895350</wp:posOffset>
                </wp:positionH>
                <wp:positionV relativeFrom="margin">
                  <wp:posOffset>2657475</wp:posOffset>
                </wp:positionV>
                <wp:extent cx="4304665" cy="20764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764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31A58">
                            <w:pPr>
                              <w:spacing w:after="0"/>
                              <w:jc w:val="both"/>
                              <w:rPr>
                                <w:rFonts w:cs="Arial"/>
                                <w:lang w:val="en-GB"/>
                              </w:rPr>
                            </w:pPr>
                          </w:p>
                          <w:p w14:paraId="668EEB06" w14:textId="77777777" w:rsidR="00D31A58" w:rsidRDefault="00D31A58" w:rsidP="00D31A58">
                            <w:pPr>
                              <w:spacing w:after="0" w:line="240" w:lineRule="auto"/>
                              <w:jc w:val="both"/>
                              <w:rPr>
                                <w:rFonts w:cs="Arial"/>
                                <w:color w:val="000000" w:themeColor="text1"/>
                              </w:rPr>
                            </w:pPr>
                            <w:r w:rsidRPr="00DD39C2">
                              <w:rPr>
                                <w:rFonts w:cs="Arial"/>
                              </w:rPr>
                              <w:t>This document reports on progress to implement Decisions 14.12</w:t>
                            </w:r>
                            <w:r>
                              <w:rPr>
                                <w:rFonts w:cs="Arial"/>
                              </w:rPr>
                              <w:t>–</w:t>
                            </w:r>
                            <w:r w:rsidRPr="00DD39C2">
                              <w:rPr>
                                <w:rFonts w:cs="Arial"/>
                              </w:rPr>
                              <w:t xml:space="preserve">14.14 </w:t>
                            </w:r>
                            <w:r w:rsidRPr="00DD39C2">
                              <w:rPr>
                                <w:rFonts w:cs="Arial"/>
                                <w:i/>
                                <w:iCs/>
                              </w:rPr>
                              <w:t>Cooperation between the Intergovernmental Science</w:t>
                            </w:r>
                            <w:r>
                              <w:rPr>
                                <w:rFonts w:cs="Arial"/>
                              </w:rPr>
                              <w:t>–</w:t>
                            </w:r>
                            <w:r w:rsidRPr="00DD39C2">
                              <w:rPr>
                                <w:rFonts w:cs="Arial"/>
                                <w:i/>
                                <w:iCs/>
                              </w:rPr>
                              <w:t xml:space="preserve">Policy Platform on Biodiversity </w:t>
                            </w:r>
                            <w:r w:rsidRPr="003721A0">
                              <w:rPr>
                                <w:rFonts w:cs="Arial"/>
                                <w:i/>
                                <w:iCs/>
                                <w:color w:val="000000" w:themeColor="text1"/>
                              </w:rPr>
                              <w:t>and Ecosystem Services (IPBES) and CMS</w:t>
                            </w:r>
                            <w:r>
                              <w:rPr>
                                <w:rFonts w:cs="Arial"/>
                                <w:color w:val="000000" w:themeColor="text1"/>
                              </w:rPr>
                              <w:t xml:space="preserve">. The document proposes new draft Decisions and the deletion of Decisions </w:t>
                            </w:r>
                            <w:r w:rsidRPr="00614363">
                              <w:rPr>
                                <w:rFonts w:cs="Arial"/>
                                <w:color w:val="000000" w:themeColor="text1"/>
                              </w:rPr>
                              <w:t>14.11</w:t>
                            </w:r>
                            <w:r>
                              <w:rPr>
                                <w:rFonts w:cs="Arial"/>
                              </w:rPr>
                              <w:t>–</w:t>
                            </w:r>
                            <w:r w:rsidRPr="00614363">
                              <w:rPr>
                                <w:rFonts w:cs="Arial"/>
                                <w:color w:val="000000" w:themeColor="text1"/>
                              </w:rPr>
                              <w:t>14.14</w:t>
                            </w:r>
                            <w:r>
                              <w:rPr>
                                <w:rFonts w:cs="Arial"/>
                                <w:color w:val="000000" w:themeColor="text1"/>
                              </w:rPr>
                              <w:t>.</w:t>
                            </w:r>
                          </w:p>
                          <w:p w14:paraId="13DB2F95" w14:textId="77777777" w:rsidR="00D31A58" w:rsidRDefault="00D31A58" w:rsidP="00D31A58">
                            <w:pPr>
                              <w:spacing w:after="0" w:line="240" w:lineRule="auto"/>
                              <w:jc w:val="both"/>
                              <w:rPr>
                                <w:rFonts w:cs="Arial"/>
                                <w:color w:val="000000" w:themeColor="text1"/>
                              </w:rPr>
                            </w:pPr>
                          </w:p>
                          <w:p w14:paraId="37AF990A" w14:textId="5263D469" w:rsidR="00D31A58" w:rsidRDefault="00D31A58" w:rsidP="00D31A58">
                            <w:pPr>
                              <w:spacing w:after="0"/>
                              <w:jc w:val="both"/>
                              <w:rPr>
                                <w:rFonts w:cs="Arial"/>
                                <w:lang w:val="en-GB"/>
                              </w:rPr>
                            </w:pPr>
                            <w:r w:rsidRPr="003E1278">
                              <w:rPr>
                                <w:rFonts w:cs="Arial"/>
                                <w:color w:val="000000" w:themeColor="text1"/>
                              </w:rPr>
                              <w:t xml:space="preserve">The draft Decisions in Annex of this document would support the achievement of </w:t>
                            </w:r>
                            <w:r>
                              <w:rPr>
                                <w:rFonts w:cs="Arial"/>
                                <w:color w:val="000000" w:themeColor="text1"/>
                              </w:rPr>
                              <w:t>Target</w:t>
                            </w:r>
                            <w:r w:rsidRPr="003E1278">
                              <w:rPr>
                                <w:rFonts w:cs="Arial"/>
                                <w:color w:val="000000" w:themeColor="text1"/>
                              </w:rPr>
                              <w:t xml:space="preserve"> 5</w:t>
                            </w:r>
                            <w:r>
                              <w:rPr>
                                <w:rFonts w:cs="Arial"/>
                                <w:color w:val="000000" w:themeColor="text1"/>
                              </w:rPr>
                              <w:t>.3</w:t>
                            </w:r>
                            <w:r w:rsidRPr="003E1278">
                              <w:rPr>
                                <w:rFonts w:cs="Arial"/>
                                <w:color w:val="000000" w:themeColor="text1"/>
                              </w:rPr>
                              <w:t xml:space="preserve"> of the Samarkand Strategic Plan for </w:t>
                            </w:r>
                            <w:r w:rsidRPr="003E1278">
                              <w:rPr>
                                <w:rFonts w:cs="Arial"/>
                              </w:rPr>
                              <w:t>Migratory Species 2024</w:t>
                            </w:r>
                            <w:r>
                              <w:rPr>
                                <w:rFonts w:cs="Arial"/>
                              </w:rPr>
                              <w:t>–</w:t>
                            </w:r>
                            <w:r w:rsidRPr="003E1278">
                              <w:rPr>
                                <w:rFonts w:cs="Arial"/>
                              </w:rPr>
                              <w:t>2032</w:t>
                            </w:r>
                            <w:r w:rsidRPr="0064266D">
                              <w:rPr>
                                <w:rFonts w:cs="Arial"/>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63.5pt;z-index:-2516597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p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31A58">
                      <w:pPr>
                        <w:spacing w:after="0"/>
                        <w:jc w:val="both"/>
                        <w:rPr>
                          <w:rFonts w:cs="Arial"/>
                          <w:lang w:val="en-GB"/>
                        </w:rPr>
                      </w:pPr>
                    </w:p>
                    <w:p w14:paraId="668EEB06" w14:textId="77777777" w:rsidR="00D31A58" w:rsidRDefault="00D31A58" w:rsidP="00D31A58">
                      <w:pPr>
                        <w:spacing w:after="0" w:line="240" w:lineRule="auto"/>
                        <w:jc w:val="both"/>
                        <w:rPr>
                          <w:rFonts w:cs="Arial"/>
                          <w:color w:val="000000" w:themeColor="text1"/>
                        </w:rPr>
                      </w:pPr>
                      <w:r w:rsidRPr="00DD39C2">
                        <w:rPr>
                          <w:rFonts w:cs="Arial"/>
                        </w:rPr>
                        <w:t>This document reports on progress to implement Decisions 14.12</w:t>
                      </w:r>
                      <w:r>
                        <w:rPr>
                          <w:rFonts w:cs="Arial"/>
                        </w:rPr>
                        <w:t>–</w:t>
                      </w:r>
                      <w:r w:rsidRPr="00DD39C2">
                        <w:rPr>
                          <w:rFonts w:cs="Arial"/>
                        </w:rPr>
                        <w:t xml:space="preserve">14.14 </w:t>
                      </w:r>
                      <w:r w:rsidRPr="00DD39C2">
                        <w:rPr>
                          <w:rFonts w:cs="Arial"/>
                          <w:i/>
                          <w:iCs/>
                        </w:rPr>
                        <w:t>Cooperation between the Intergovernmental Science</w:t>
                      </w:r>
                      <w:r>
                        <w:rPr>
                          <w:rFonts w:cs="Arial"/>
                        </w:rPr>
                        <w:t>–</w:t>
                      </w:r>
                      <w:r w:rsidRPr="00DD39C2">
                        <w:rPr>
                          <w:rFonts w:cs="Arial"/>
                          <w:i/>
                          <w:iCs/>
                        </w:rPr>
                        <w:t xml:space="preserve">Policy Platform on Biodiversity </w:t>
                      </w:r>
                      <w:r w:rsidRPr="003721A0">
                        <w:rPr>
                          <w:rFonts w:cs="Arial"/>
                          <w:i/>
                          <w:iCs/>
                          <w:color w:val="000000" w:themeColor="text1"/>
                        </w:rPr>
                        <w:t>and Ecosystem Services (IPBES) and CMS</w:t>
                      </w:r>
                      <w:r>
                        <w:rPr>
                          <w:rFonts w:cs="Arial"/>
                          <w:color w:val="000000" w:themeColor="text1"/>
                        </w:rPr>
                        <w:t xml:space="preserve">. The document proposes new draft Decisions and the deletion of Decisions </w:t>
                      </w:r>
                      <w:r w:rsidRPr="00614363">
                        <w:rPr>
                          <w:rFonts w:cs="Arial"/>
                          <w:color w:val="000000" w:themeColor="text1"/>
                        </w:rPr>
                        <w:t>14.11</w:t>
                      </w:r>
                      <w:r>
                        <w:rPr>
                          <w:rFonts w:cs="Arial"/>
                        </w:rPr>
                        <w:t>–</w:t>
                      </w:r>
                      <w:r w:rsidRPr="00614363">
                        <w:rPr>
                          <w:rFonts w:cs="Arial"/>
                          <w:color w:val="000000" w:themeColor="text1"/>
                        </w:rPr>
                        <w:t>14.14</w:t>
                      </w:r>
                      <w:r>
                        <w:rPr>
                          <w:rFonts w:cs="Arial"/>
                          <w:color w:val="000000" w:themeColor="text1"/>
                        </w:rPr>
                        <w:t>.</w:t>
                      </w:r>
                    </w:p>
                    <w:p w14:paraId="13DB2F95" w14:textId="77777777" w:rsidR="00D31A58" w:rsidRDefault="00D31A58" w:rsidP="00D31A58">
                      <w:pPr>
                        <w:spacing w:after="0" w:line="240" w:lineRule="auto"/>
                        <w:jc w:val="both"/>
                        <w:rPr>
                          <w:rFonts w:cs="Arial"/>
                          <w:color w:val="000000" w:themeColor="text1"/>
                        </w:rPr>
                      </w:pPr>
                    </w:p>
                    <w:p w14:paraId="37AF990A" w14:textId="5263D469" w:rsidR="00D31A58" w:rsidRDefault="00D31A58" w:rsidP="00D31A58">
                      <w:pPr>
                        <w:spacing w:after="0"/>
                        <w:jc w:val="both"/>
                        <w:rPr>
                          <w:rFonts w:cs="Arial"/>
                          <w:lang w:val="en-GB"/>
                        </w:rPr>
                      </w:pPr>
                      <w:r w:rsidRPr="003E1278">
                        <w:rPr>
                          <w:rFonts w:cs="Arial"/>
                          <w:color w:val="000000" w:themeColor="text1"/>
                        </w:rPr>
                        <w:t xml:space="preserve">The draft Decisions in Annex of this document would support the achievement of </w:t>
                      </w:r>
                      <w:r>
                        <w:rPr>
                          <w:rFonts w:cs="Arial"/>
                          <w:color w:val="000000" w:themeColor="text1"/>
                        </w:rPr>
                        <w:t>Target</w:t>
                      </w:r>
                      <w:r w:rsidRPr="003E1278">
                        <w:rPr>
                          <w:rFonts w:cs="Arial"/>
                          <w:color w:val="000000" w:themeColor="text1"/>
                        </w:rPr>
                        <w:t xml:space="preserve"> 5</w:t>
                      </w:r>
                      <w:r>
                        <w:rPr>
                          <w:rFonts w:cs="Arial"/>
                          <w:color w:val="000000" w:themeColor="text1"/>
                        </w:rPr>
                        <w:t>.3</w:t>
                      </w:r>
                      <w:r w:rsidRPr="003E1278">
                        <w:rPr>
                          <w:rFonts w:cs="Arial"/>
                          <w:color w:val="000000" w:themeColor="text1"/>
                        </w:rPr>
                        <w:t xml:space="preserve"> of the Samarkand Strategic Plan for </w:t>
                      </w:r>
                      <w:r w:rsidRPr="003E1278">
                        <w:rPr>
                          <w:rFonts w:cs="Arial"/>
                        </w:rPr>
                        <w:t>Migratory Species 2024</w:t>
                      </w:r>
                      <w:r>
                        <w:rPr>
                          <w:rFonts w:cs="Arial"/>
                        </w:rPr>
                        <w:t>–</w:t>
                      </w:r>
                      <w:r w:rsidRPr="003E1278">
                        <w:rPr>
                          <w:rFonts w:cs="Arial"/>
                        </w:rPr>
                        <w:t>2032</w:t>
                      </w:r>
                      <w:r w:rsidRPr="0064266D">
                        <w:rPr>
                          <w:rFonts w:cs="Arial"/>
                        </w:rPr>
                        <w:t>.</w:t>
                      </w:r>
                    </w:p>
                  </w:txbxContent>
                </v:textbox>
                <w10:wrap type="square" anchorx="margin" anchory="margin"/>
              </v:shape>
            </w:pict>
          </mc:Fallback>
        </mc:AlternateContent>
      </w:r>
    </w:p>
    <w:p w14:paraId="48B85236" w14:textId="04830B7B"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4A9415D" w14:textId="77777777" w:rsidR="00727B7F" w:rsidRPr="00645EBD" w:rsidRDefault="00727B7F" w:rsidP="00727B7F">
      <w:pPr>
        <w:widowControl w:val="0"/>
        <w:spacing w:after="0" w:line="240" w:lineRule="auto"/>
        <w:jc w:val="center"/>
        <w:rPr>
          <w:rFonts w:eastAsia="Arial" w:cs="Arial"/>
          <w:b/>
          <w:bCs/>
        </w:rPr>
      </w:pPr>
      <w:r w:rsidRPr="00645EBD">
        <w:rPr>
          <w:rFonts w:eastAsia="Arial" w:cs="Arial"/>
          <w:b/>
          <w:bCs/>
        </w:rPr>
        <w:lastRenderedPageBreak/>
        <w:t>COOPERATION BETWEEN THE INTERGOVERNMENTAL SCIENCE</w:t>
      </w:r>
      <w:r w:rsidRPr="00613C3D">
        <w:rPr>
          <w:rFonts w:cs="Arial"/>
          <w:b/>
          <w:bCs/>
        </w:rPr>
        <w:t>–</w:t>
      </w:r>
      <w:r w:rsidRPr="00645EBD">
        <w:rPr>
          <w:rFonts w:eastAsia="Arial" w:cs="Arial"/>
          <w:b/>
          <w:bCs/>
        </w:rPr>
        <w:t>POLICY PLATFORM ON BIODIVERSITY AND ECOSYSTEM SERVICES (IPBES) AND CMS</w:t>
      </w:r>
    </w:p>
    <w:p w14:paraId="6C3D505E" w14:textId="77777777" w:rsidR="00727B7F" w:rsidRPr="00645EBD" w:rsidRDefault="00727B7F" w:rsidP="00727B7F">
      <w:pPr>
        <w:suppressAutoHyphens/>
        <w:autoSpaceDN w:val="0"/>
        <w:spacing w:after="0" w:line="240" w:lineRule="auto"/>
        <w:textAlignment w:val="baseline"/>
        <w:rPr>
          <w:rFonts w:eastAsia="Calibri" w:cs="Arial"/>
        </w:rPr>
      </w:pPr>
    </w:p>
    <w:p w14:paraId="687D670B" w14:textId="77777777" w:rsidR="00727B7F" w:rsidRPr="00645EBD" w:rsidRDefault="00727B7F" w:rsidP="00727B7F">
      <w:pPr>
        <w:spacing w:after="0" w:line="240" w:lineRule="auto"/>
        <w:jc w:val="both"/>
        <w:rPr>
          <w:rFonts w:cs="Arial"/>
          <w:i/>
        </w:rPr>
      </w:pPr>
    </w:p>
    <w:p w14:paraId="2DE71060" w14:textId="77777777" w:rsidR="00727B7F" w:rsidRPr="00645EBD" w:rsidRDefault="00727B7F" w:rsidP="00727B7F">
      <w:pPr>
        <w:suppressAutoHyphens/>
        <w:autoSpaceDN w:val="0"/>
        <w:spacing w:after="0" w:line="240" w:lineRule="auto"/>
        <w:jc w:val="both"/>
        <w:textAlignment w:val="baseline"/>
        <w:rPr>
          <w:rFonts w:eastAsia="Calibri" w:cs="Arial"/>
          <w:u w:val="single"/>
        </w:rPr>
      </w:pPr>
      <w:r w:rsidRPr="00645EBD">
        <w:rPr>
          <w:rFonts w:eastAsia="Calibri" w:cs="Arial"/>
          <w:u w:val="single"/>
        </w:rPr>
        <w:t>Background</w:t>
      </w:r>
    </w:p>
    <w:p w14:paraId="146C04A0" w14:textId="77777777" w:rsidR="00727B7F" w:rsidRPr="00645EBD" w:rsidRDefault="00727B7F" w:rsidP="00727B7F">
      <w:pPr>
        <w:spacing w:after="0" w:line="240" w:lineRule="auto"/>
        <w:jc w:val="both"/>
        <w:rPr>
          <w:rFonts w:cs="Arial"/>
        </w:rPr>
      </w:pPr>
    </w:p>
    <w:p w14:paraId="0EFA281F" w14:textId="77777777" w:rsidR="00727B7F" w:rsidRPr="00645EBD" w:rsidRDefault="00727B7F" w:rsidP="00727B7F">
      <w:pPr>
        <w:widowControl w:val="0"/>
        <w:numPr>
          <w:ilvl w:val="0"/>
          <w:numId w:val="4"/>
        </w:numPr>
        <w:autoSpaceDE w:val="0"/>
        <w:autoSpaceDN w:val="0"/>
        <w:adjustRightInd w:val="0"/>
        <w:spacing w:after="0" w:line="240" w:lineRule="auto"/>
        <w:ind w:left="567" w:hanging="567"/>
        <w:contextualSpacing/>
        <w:jc w:val="both"/>
        <w:rPr>
          <w:rFonts w:cs="Arial"/>
        </w:rPr>
      </w:pPr>
      <w:bookmarkStart w:id="0" w:name="_Hlk19517251"/>
      <w:r w:rsidRPr="00645EBD">
        <w:rPr>
          <w:rFonts w:cs="Arial"/>
        </w:rPr>
        <w:t>T</w:t>
      </w:r>
      <w:bookmarkEnd w:id="0"/>
      <w:r w:rsidRPr="00645EBD">
        <w:rPr>
          <w:rFonts w:eastAsia="Arial" w:cs="Arial"/>
        </w:rPr>
        <w:t>he Intergovernmental Science</w:t>
      </w:r>
      <w:r>
        <w:rPr>
          <w:rFonts w:cs="Arial"/>
        </w:rPr>
        <w:t>–</w:t>
      </w:r>
      <w:r w:rsidRPr="00645EBD">
        <w:rPr>
          <w:rFonts w:eastAsia="Arial" w:cs="Arial"/>
        </w:rPr>
        <w:t>Policy Platform on Biodiversity and Ecosystem Services (IPBES) is an independent intergovernmental body established in 2012 under the auspices of the United Nations</w:t>
      </w:r>
      <w:r>
        <w:rPr>
          <w:rFonts w:eastAsia="Arial" w:cs="Arial"/>
        </w:rPr>
        <w:t xml:space="preserve">. It </w:t>
      </w:r>
      <w:r w:rsidRPr="00645EBD">
        <w:rPr>
          <w:rFonts w:eastAsia="Arial" w:cs="Arial"/>
        </w:rPr>
        <w:t>aims to strengthen the science</w:t>
      </w:r>
      <w:r>
        <w:rPr>
          <w:rFonts w:eastAsia="Arial" w:cs="Arial"/>
        </w:rPr>
        <w:t>–</w:t>
      </w:r>
      <w:r w:rsidRPr="00645EBD">
        <w:rPr>
          <w:rFonts w:eastAsia="Arial" w:cs="Arial"/>
        </w:rPr>
        <w:t>policy interface for biodiversity and ecosystem services to support the conservation and sustainable use of biodiversity, long-term human well-being, and sustainable development. Recogni</w:t>
      </w:r>
      <w:r>
        <w:rPr>
          <w:rFonts w:eastAsia="Arial" w:cs="Arial"/>
        </w:rPr>
        <w:t>z</w:t>
      </w:r>
      <w:r w:rsidRPr="00645EBD">
        <w:rPr>
          <w:rFonts w:eastAsia="Arial" w:cs="Arial"/>
        </w:rPr>
        <w:t>ing the importance of IPBES’s work for the implementation of the Convention, CMS has engaged with IPBES since its inception, making use of its assessments on the state of knowledge on biodiversity and ecosystem services.</w:t>
      </w:r>
    </w:p>
    <w:p w14:paraId="2DE1F75E" w14:textId="77777777" w:rsidR="00727B7F" w:rsidRPr="00645EBD" w:rsidRDefault="00727B7F" w:rsidP="00727B7F">
      <w:pPr>
        <w:widowControl w:val="0"/>
        <w:autoSpaceDE w:val="0"/>
        <w:autoSpaceDN w:val="0"/>
        <w:adjustRightInd w:val="0"/>
        <w:spacing w:after="0" w:line="240" w:lineRule="auto"/>
        <w:contextualSpacing/>
        <w:jc w:val="both"/>
        <w:rPr>
          <w:rFonts w:cs="Arial"/>
        </w:rPr>
      </w:pPr>
    </w:p>
    <w:p w14:paraId="50DB9D46" w14:textId="77777777" w:rsidR="00727B7F" w:rsidRPr="00645EBD" w:rsidRDefault="00727B7F" w:rsidP="00727B7F">
      <w:pPr>
        <w:widowControl w:val="0"/>
        <w:numPr>
          <w:ilvl w:val="0"/>
          <w:numId w:val="4"/>
        </w:numPr>
        <w:autoSpaceDE w:val="0"/>
        <w:autoSpaceDN w:val="0"/>
        <w:adjustRightInd w:val="0"/>
        <w:spacing w:after="0" w:line="240" w:lineRule="auto"/>
        <w:ind w:left="567" w:hanging="567"/>
        <w:jc w:val="both"/>
        <w:rPr>
          <w:rFonts w:cs="Arial"/>
        </w:rPr>
      </w:pPr>
      <w:r w:rsidRPr="00645EBD">
        <w:rPr>
          <w:rFonts w:eastAsia="Arial" w:cs="Arial"/>
        </w:rPr>
        <w:t>To further strengthen cooperation with IPBES, the 14</w:t>
      </w:r>
      <w:r w:rsidRPr="00735956">
        <w:rPr>
          <w:rFonts w:eastAsia="Arial" w:cs="Arial"/>
          <w:vertAlign w:val="superscript"/>
        </w:rPr>
        <w:t>th</w:t>
      </w:r>
      <w:r w:rsidRPr="00645EBD">
        <w:rPr>
          <w:rFonts w:eastAsia="Arial" w:cs="Arial"/>
        </w:rPr>
        <w:t xml:space="preserve"> </w:t>
      </w:r>
      <w:r>
        <w:rPr>
          <w:rFonts w:eastAsia="Arial" w:cs="Arial"/>
        </w:rPr>
        <w:t>m</w:t>
      </w:r>
      <w:r w:rsidRPr="00645EBD">
        <w:rPr>
          <w:rFonts w:eastAsia="Arial" w:cs="Arial"/>
        </w:rPr>
        <w:t>eeting of the Conference of the Parties (COP14) adopted Decisions 14.11</w:t>
      </w:r>
      <w:r>
        <w:rPr>
          <w:rFonts w:cs="Arial"/>
        </w:rPr>
        <w:t>–</w:t>
      </w:r>
      <w:r w:rsidRPr="00645EBD">
        <w:rPr>
          <w:rFonts w:eastAsia="Arial" w:cs="Arial"/>
        </w:rPr>
        <w:t xml:space="preserve">14.14 </w:t>
      </w:r>
      <w:r w:rsidRPr="00645EBD">
        <w:rPr>
          <w:rFonts w:eastAsia="Arial" w:cs="Arial"/>
          <w:i/>
          <w:iCs/>
        </w:rPr>
        <w:t>Cooperation between the Intergovernmental Science</w:t>
      </w:r>
      <w:r>
        <w:rPr>
          <w:rFonts w:eastAsia="Arial" w:cs="Arial"/>
          <w:i/>
          <w:iCs/>
        </w:rPr>
        <w:t>–</w:t>
      </w:r>
      <w:r w:rsidRPr="00645EBD">
        <w:rPr>
          <w:rFonts w:eastAsia="Arial" w:cs="Arial"/>
          <w:i/>
          <w:iCs/>
        </w:rPr>
        <w:t>Policy</w:t>
      </w:r>
      <w:r>
        <w:rPr>
          <w:rFonts w:eastAsia="Arial" w:cs="Arial"/>
          <w:i/>
          <w:iCs/>
        </w:rPr>
        <w:t xml:space="preserve"> </w:t>
      </w:r>
      <w:r w:rsidRPr="00645EBD">
        <w:rPr>
          <w:rFonts w:eastAsia="Arial" w:cs="Arial"/>
          <w:i/>
          <w:iCs/>
        </w:rPr>
        <w:t>Platform on Biodiversity and Ecosystem Services (IPBES) and CMS</w:t>
      </w:r>
      <w:r w:rsidRPr="00645EBD">
        <w:rPr>
          <w:rFonts w:eastAsia="Arial" w:cs="Arial"/>
        </w:rPr>
        <w:t xml:space="preserve">, which </w:t>
      </w:r>
      <w:r w:rsidRPr="00645EBD">
        <w:rPr>
          <w:rFonts w:cs="Arial"/>
        </w:rPr>
        <w:t>provide specific mandates to the Scientific Council and the Secretariat to engage in relevant IPBES processes:</w:t>
      </w:r>
    </w:p>
    <w:p w14:paraId="142D7540" w14:textId="77777777" w:rsidR="00727B7F" w:rsidRPr="00645EBD" w:rsidRDefault="00727B7F" w:rsidP="00727B7F">
      <w:pPr>
        <w:widowControl w:val="0"/>
        <w:autoSpaceDE w:val="0"/>
        <w:autoSpaceDN w:val="0"/>
        <w:adjustRightInd w:val="0"/>
        <w:spacing w:after="0" w:line="240" w:lineRule="auto"/>
        <w:ind w:left="567"/>
        <w:jc w:val="both"/>
        <w:rPr>
          <w:rFonts w:cs="Arial"/>
        </w:rPr>
      </w:pPr>
    </w:p>
    <w:p w14:paraId="2EF7E487" w14:textId="77777777" w:rsidR="00727B7F" w:rsidRPr="00CC3F4F" w:rsidRDefault="00727B7F" w:rsidP="00CC3F4F">
      <w:pPr>
        <w:pStyle w:val="ListParagraph"/>
        <w:numPr>
          <w:ilvl w:val="1"/>
          <w:numId w:val="12"/>
        </w:numPr>
        <w:spacing w:after="0" w:line="240" w:lineRule="auto"/>
        <w:ind w:left="720" w:firstLine="0"/>
        <w:jc w:val="both"/>
        <w:rPr>
          <w:rFonts w:eastAsia="Arial" w:cs="Arial"/>
          <w:b/>
          <w:bCs/>
          <w:i/>
          <w:iCs/>
          <w:sz w:val="20"/>
          <w:szCs w:val="20"/>
        </w:rPr>
      </w:pPr>
      <w:r w:rsidRPr="00CC3F4F">
        <w:rPr>
          <w:rFonts w:eastAsia="Arial" w:cs="Arial"/>
          <w:b/>
          <w:bCs/>
          <w:i/>
          <w:iCs/>
          <w:sz w:val="20"/>
          <w:szCs w:val="20"/>
        </w:rPr>
        <w:t xml:space="preserve"> Directed to the Scientific Council:</w:t>
      </w:r>
    </w:p>
    <w:p w14:paraId="7706E56F" w14:textId="77777777" w:rsidR="00727B7F" w:rsidRPr="00CC3F4F" w:rsidRDefault="00727B7F" w:rsidP="00CC3F4F">
      <w:pPr>
        <w:pStyle w:val="ListParagraph"/>
        <w:spacing w:after="0" w:line="240" w:lineRule="auto"/>
        <w:jc w:val="both"/>
        <w:rPr>
          <w:rFonts w:eastAsia="Arial" w:cs="Arial"/>
          <w:i/>
          <w:iCs/>
          <w:sz w:val="20"/>
          <w:szCs w:val="20"/>
        </w:rPr>
      </w:pPr>
    </w:p>
    <w:p w14:paraId="5E9CBDB9" w14:textId="77777777" w:rsidR="00727B7F" w:rsidRPr="00CC3F4F" w:rsidRDefault="00727B7F" w:rsidP="00CC3F4F">
      <w:pPr>
        <w:pStyle w:val="ListParagraph"/>
        <w:spacing w:after="0" w:line="240" w:lineRule="auto"/>
        <w:jc w:val="both"/>
        <w:rPr>
          <w:rFonts w:eastAsia="Arial" w:cs="Arial"/>
          <w:i/>
          <w:iCs/>
          <w:sz w:val="20"/>
          <w:szCs w:val="20"/>
        </w:rPr>
      </w:pPr>
      <w:r w:rsidRPr="00CC3F4F">
        <w:rPr>
          <w:rFonts w:eastAsia="Arial" w:cs="Arial"/>
          <w:i/>
          <w:iCs/>
          <w:sz w:val="20"/>
          <w:szCs w:val="20"/>
        </w:rPr>
        <w:t>The Scientific Council is requested to, subject to the availability of resources, actively engage in relevant scoping and review processes of the IPBES assessments agreed by the IPBES Plenary at its tenth session, including with respect to the assessment of integrated biodiversity inclusive spatial planning and ecological connectivity and a second global assessment of biodiversity and ecosystem services, with a view to ensure that CMS priority elements are addressed.;</w:t>
      </w:r>
    </w:p>
    <w:p w14:paraId="3E273959" w14:textId="77777777" w:rsidR="00727B7F" w:rsidRPr="00CC3F4F" w:rsidRDefault="00727B7F" w:rsidP="00CC3F4F">
      <w:pPr>
        <w:pStyle w:val="ListParagraph"/>
        <w:spacing w:after="0" w:line="240" w:lineRule="auto"/>
        <w:jc w:val="both"/>
        <w:rPr>
          <w:rFonts w:eastAsia="Arial" w:cs="Arial"/>
          <w:i/>
          <w:iCs/>
          <w:sz w:val="20"/>
          <w:szCs w:val="20"/>
        </w:rPr>
      </w:pPr>
    </w:p>
    <w:p w14:paraId="01CFEEB1" w14:textId="77777777" w:rsidR="00727B7F" w:rsidRPr="00CC3F4F" w:rsidRDefault="00727B7F" w:rsidP="00CC3F4F">
      <w:pPr>
        <w:pStyle w:val="ListParagraph"/>
        <w:spacing w:after="0" w:line="240" w:lineRule="auto"/>
        <w:jc w:val="both"/>
        <w:rPr>
          <w:rFonts w:eastAsia="Arial" w:cs="Arial"/>
          <w:b/>
          <w:bCs/>
          <w:i/>
          <w:iCs/>
          <w:sz w:val="20"/>
          <w:szCs w:val="20"/>
        </w:rPr>
      </w:pPr>
      <w:r w:rsidRPr="00CC3F4F">
        <w:rPr>
          <w:rFonts w:eastAsia="Arial" w:cs="Arial"/>
          <w:b/>
          <w:bCs/>
          <w:i/>
          <w:iCs/>
          <w:sz w:val="20"/>
          <w:szCs w:val="20"/>
        </w:rPr>
        <w:t>14.13 Directed to the Scientific Council:</w:t>
      </w:r>
    </w:p>
    <w:p w14:paraId="2104AA3C" w14:textId="77777777" w:rsidR="00727B7F" w:rsidRPr="00CC3F4F" w:rsidRDefault="00727B7F" w:rsidP="00CC3F4F">
      <w:pPr>
        <w:pStyle w:val="ListParagraph"/>
        <w:spacing w:after="0" w:line="240" w:lineRule="auto"/>
        <w:jc w:val="both"/>
        <w:rPr>
          <w:rFonts w:eastAsia="Arial" w:cs="Arial"/>
          <w:b/>
          <w:bCs/>
          <w:i/>
          <w:iCs/>
          <w:sz w:val="20"/>
          <w:szCs w:val="20"/>
        </w:rPr>
      </w:pPr>
    </w:p>
    <w:p w14:paraId="4B038089" w14:textId="77777777" w:rsidR="00727B7F" w:rsidRPr="00CC3F4F" w:rsidRDefault="00727B7F" w:rsidP="00CC3F4F">
      <w:pPr>
        <w:pStyle w:val="ListParagraph"/>
        <w:spacing w:after="0" w:line="240" w:lineRule="auto"/>
        <w:jc w:val="both"/>
        <w:rPr>
          <w:rFonts w:eastAsia="Arial" w:cs="Arial"/>
          <w:i/>
          <w:iCs/>
          <w:sz w:val="20"/>
          <w:szCs w:val="20"/>
        </w:rPr>
      </w:pPr>
      <w:bookmarkStart w:id="1" w:name="_Hlk210915064"/>
      <w:r w:rsidRPr="00CC3F4F">
        <w:rPr>
          <w:rFonts w:eastAsia="Arial" w:cs="Arial"/>
          <w:i/>
          <w:iCs/>
          <w:sz w:val="20"/>
          <w:szCs w:val="20"/>
        </w:rPr>
        <w:t>The Scientific Council is requested, subject to the availability of resources, to consider the findings of recent and forthcoming IPBES deliverables, including the assessment of the Sustainable Use of Wild Species, the assessment of the Diverse Values and Valuation of Nature, the assessment of Invasive Alien Species and their Control, the IPBES-IPCC co-sponsored workshop report on biodiversity and climate change, the assessment on the of the interlinkages among biodiversity, water, food and health, the assessment of the underlying causes of biodiversity loss and the determinants of transformative change and options for achieving the 2050 Vision for Biodiversity, the assessment of the impact and dependence of business on biodiversity and nature’s contributions to people, and the assessment on monitoring biodiversity and nature’s contributions to people, and to prepare recommendations relating to the implementation of the Convention for consideration by the Conference of the Parties at its 15th Meeting.</w:t>
      </w:r>
    </w:p>
    <w:p w14:paraId="6066F636" w14:textId="77777777" w:rsidR="00727B7F" w:rsidRPr="00CC3F4F" w:rsidRDefault="00727B7F" w:rsidP="00CC3F4F">
      <w:pPr>
        <w:pStyle w:val="ListParagraph"/>
        <w:spacing w:after="0" w:line="240" w:lineRule="auto"/>
        <w:ind w:left="567" w:hanging="348"/>
        <w:jc w:val="both"/>
        <w:rPr>
          <w:rFonts w:eastAsia="Arial" w:cs="Arial"/>
          <w:i/>
          <w:iCs/>
          <w:sz w:val="20"/>
          <w:szCs w:val="20"/>
        </w:rPr>
      </w:pPr>
    </w:p>
    <w:p w14:paraId="69006BC7" w14:textId="77777777" w:rsidR="00727B7F" w:rsidRPr="00CC3F4F" w:rsidRDefault="00727B7F" w:rsidP="00CC3F4F">
      <w:pPr>
        <w:pStyle w:val="ListParagraph"/>
        <w:spacing w:after="0" w:line="240" w:lineRule="auto"/>
        <w:jc w:val="both"/>
        <w:rPr>
          <w:rFonts w:eastAsia="Arial" w:cs="Arial"/>
          <w:b/>
          <w:bCs/>
          <w:i/>
          <w:iCs/>
          <w:sz w:val="20"/>
          <w:szCs w:val="20"/>
        </w:rPr>
      </w:pPr>
      <w:r w:rsidRPr="00CC3F4F">
        <w:rPr>
          <w:rFonts w:eastAsia="Arial" w:cs="Arial"/>
          <w:b/>
          <w:bCs/>
          <w:i/>
          <w:iCs/>
          <w:sz w:val="20"/>
          <w:szCs w:val="20"/>
        </w:rPr>
        <w:t>14.14 Directed to the Secretariat:</w:t>
      </w:r>
    </w:p>
    <w:p w14:paraId="50339C4A" w14:textId="77777777" w:rsidR="00727B7F" w:rsidRPr="00CC3F4F" w:rsidRDefault="00727B7F" w:rsidP="00CC3F4F">
      <w:pPr>
        <w:pStyle w:val="ListParagraph"/>
        <w:spacing w:after="0" w:line="240" w:lineRule="auto"/>
        <w:jc w:val="both"/>
        <w:rPr>
          <w:rFonts w:eastAsia="Arial" w:cs="Arial"/>
          <w:i/>
          <w:iCs/>
          <w:sz w:val="20"/>
          <w:szCs w:val="20"/>
        </w:rPr>
      </w:pPr>
    </w:p>
    <w:p w14:paraId="66FFAB68" w14:textId="77777777" w:rsidR="00727B7F" w:rsidRPr="00CC3F4F" w:rsidRDefault="00727B7F" w:rsidP="00CC3F4F">
      <w:pPr>
        <w:pStyle w:val="ListParagraph"/>
        <w:spacing w:after="0" w:line="240" w:lineRule="auto"/>
        <w:jc w:val="both"/>
        <w:rPr>
          <w:rFonts w:eastAsia="Arial" w:cs="Arial"/>
          <w:i/>
          <w:iCs/>
          <w:sz w:val="20"/>
          <w:szCs w:val="20"/>
        </w:rPr>
      </w:pPr>
      <w:r w:rsidRPr="00CC3F4F">
        <w:rPr>
          <w:rFonts w:eastAsia="Arial" w:cs="Arial"/>
          <w:i/>
          <w:iCs/>
          <w:sz w:val="20"/>
          <w:szCs w:val="20"/>
        </w:rPr>
        <w:t xml:space="preserve">The Secretariat is requested to: </w:t>
      </w:r>
    </w:p>
    <w:p w14:paraId="795F9D87" w14:textId="77777777" w:rsidR="00727B7F" w:rsidRPr="00CC3F4F" w:rsidRDefault="00727B7F" w:rsidP="00CC3F4F">
      <w:pPr>
        <w:pStyle w:val="ListParagraph"/>
        <w:spacing w:after="0" w:line="240" w:lineRule="auto"/>
        <w:jc w:val="both"/>
        <w:rPr>
          <w:rFonts w:eastAsia="Arial" w:cs="Arial"/>
          <w:i/>
          <w:iCs/>
          <w:sz w:val="20"/>
          <w:szCs w:val="20"/>
        </w:rPr>
      </w:pPr>
    </w:p>
    <w:p w14:paraId="642B41B2" w14:textId="77777777" w:rsidR="00727B7F" w:rsidRPr="00CC3F4F" w:rsidRDefault="00727B7F" w:rsidP="00CC3F4F">
      <w:pPr>
        <w:pStyle w:val="ListParagraph"/>
        <w:numPr>
          <w:ilvl w:val="0"/>
          <w:numId w:val="11"/>
        </w:numPr>
        <w:spacing w:after="80" w:line="240" w:lineRule="auto"/>
        <w:contextualSpacing w:val="0"/>
        <w:jc w:val="both"/>
        <w:rPr>
          <w:rFonts w:eastAsia="Arial" w:cs="Arial"/>
          <w:i/>
          <w:iCs/>
          <w:sz w:val="20"/>
          <w:szCs w:val="20"/>
        </w:rPr>
      </w:pPr>
      <w:r w:rsidRPr="00CC3F4F">
        <w:rPr>
          <w:rFonts w:eastAsia="Arial" w:cs="Arial"/>
          <w:i/>
          <w:iCs/>
          <w:sz w:val="20"/>
          <w:szCs w:val="20"/>
        </w:rPr>
        <w:t>support the Scientific Council in engaging in relevant scoping and other processes of the IPBES assessments agreed by the IPBES-10 Plenary, including with respect to the assessment of integrated biodiversity-inclusive spatial planning and ecological connectivity and a second global assessment of biodiversity and ecosystem services;</w:t>
      </w:r>
    </w:p>
    <w:p w14:paraId="6DD974ED" w14:textId="77777777" w:rsidR="00727B7F" w:rsidRPr="00CC3F4F" w:rsidRDefault="00727B7F" w:rsidP="00CC3F4F">
      <w:pPr>
        <w:pStyle w:val="ListParagraph"/>
        <w:numPr>
          <w:ilvl w:val="0"/>
          <w:numId w:val="11"/>
        </w:numPr>
        <w:spacing w:after="80" w:line="240" w:lineRule="auto"/>
        <w:contextualSpacing w:val="0"/>
        <w:jc w:val="both"/>
        <w:rPr>
          <w:rFonts w:eastAsia="Arial" w:cs="Arial"/>
          <w:i/>
          <w:iCs/>
          <w:sz w:val="20"/>
          <w:szCs w:val="20"/>
        </w:rPr>
      </w:pPr>
      <w:r w:rsidRPr="00CC3F4F">
        <w:rPr>
          <w:rFonts w:eastAsia="Arial" w:cs="Arial"/>
          <w:i/>
          <w:iCs/>
          <w:sz w:val="20"/>
          <w:szCs w:val="20"/>
        </w:rPr>
        <w:t>engage with the IPBES Secretariat to further cooperate on issues of relevance to migratory species; and</w:t>
      </w:r>
    </w:p>
    <w:p w14:paraId="016C14DE" w14:textId="77777777" w:rsidR="00727B7F" w:rsidRPr="00CC3F4F" w:rsidRDefault="00727B7F" w:rsidP="00CC3F4F">
      <w:pPr>
        <w:pStyle w:val="ListParagraph"/>
        <w:numPr>
          <w:ilvl w:val="0"/>
          <w:numId w:val="11"/>
        </w:numPr>
        <w:spacing w:after="0" w:line="240" w:lineRule="auto"/>
        <w:jc w:val="both"/>
        <w:rPr>
          <w:rFonts w:eastAsia="Arial" w:cs="Arial"/>
          <w:i/>
          <w:iCs/>
          <w:sz w:val="20"/>
          <w:szCs w:val="20"/>
        </w:rPr>
      </w:pPr>
      <w:r w:rsidRPr="00CC3F4F">
        <w:rPr>
          <w:rFonts w:eastAsia="Arial" w:cs="Arial"/>
          <w:i/>
          <w:iCs/>
          <w:sz w:val="20"/>
          <w:szCs w:val="20"/>
        </w:rPr>
        <w:t>report to the Standing Committee at its 56th and 57th meetings and to the Conference of Parties at its 15th meeting on the progress in implementing this decision</w:t>
      </w:r>
      <w:bookmarkEnd w:id="1"/>
      <w:r w:rsidRPr="00CC3F4F">
        <w:rPr>
          <w:rFonts w:eastAsia="Arial" w:cs="Arial"/>
          <w:i/>
          <w:iCs/>
          <w:sz w:val="20"/>
          <w:szCs w:val="20"/>
        </w:rPr>
        <w:t>.</w:t>
      </w:r>
    </w:p>
    <w:p w14:paraId="222609F2" w14:textId="77777777" w:rsidR="00727B7F" w:rsidRPr="00645EBD" w:rsidRDefault="00727B7F" w:rsidP="00727B7F">
      <w:pPr>
        <w:widowControl w:val="0"/>
        <w:autoSpaceDE w:val="0"/>
        <w:autoSpaceDN w:val="0"/>
        <w:adjustRightInd w:val="0"/>
        <w:spacing w:after="0" w:line="240" w:lineRule="auto"/>
        <w:jc w:val="both"/>
        <w:rPr>
          <w:rFonts w:cs="Arial"/>
          <w:u w:val="single"/>
        </w:rPr>
      </w:pPr>
    </w:p>
    <w:p w14:paraId="28585C0C" w14:textId="77777777" w:rsidR="00727B7F" w:rsidRPr="00645EBD" w:rsidRDefault="00727B7F" w:rsidP="00727B7F">
      <w:pPr>
        <w:widowControl w:val="0"/>
        <w:spacing w:after="0" w:line="240" w:lineRule="auto"/>
        <w:jc w:val="both"/>
        <w:rPr>
          <w:rFonts w:cs="Arial"/>
        </w:rPr>
      </w:pPr>
      <w:r w:rsidRPr="00645EBD">
        <w:rPr>
          <w:rFonts w:cs="Arial"/>
          <w:u w:val="single"/>
        </w:rPr>
        <w:t>Relevant activities of CMS to engage and strengthen collaboration with IPBES</w:t>
      </w:r>
    </w:p>
    <w:p w14:paraId="60D0135C" w14:textId="77777777" w:rsidR="00727B7F" w:rsidRPr="00645EBD" w:rsidRDefault="00727B7F" w:rsidP="00727B7F">
      <w:pPr>
        <w:widowControl w:val="0"/>
        <w:autoSpaceDE w:val="0"/>
        <w:autoSpaceDN w:val="0"/>
        <w:adjustRightInd w:val="0"/>
        <w:spacing w:after="0" w:line="240" w:lineRule="auto"/>
        <w:jc w:val="both"/>
        <w:rPr>
          <w:rFonts w:cs="Arial"/>
        </w:rPr>
      </w:pPr>
    </w:p>
    <w:p w14:paraId="29838E32" w14:textId="77777777" w:rsidR="00727B7F" w:rsidRPr="00645EBD" w:rsidRDefault="00727B7F" w:rsidP="00727B7F">
      <w:pPr>
        <w:widowControl w:val="0"/>
        <w:numPr>
          <w:ilvl w:val="0"/>
          <w:numId w:val="4"/>
        </w:numPr>
        <w:spacing w:after="0" w:line="240" w:lineRule="auto"/>
        <w:ind w:left="567" w:hanging="567"/>
        <w:jc w:val="both"/>
        <w:rPr>
          <w:rFonts w:eastAsia="Calibri" w:cs="Arial"/>
          <w:color w:val="000000" w:themeColor="text1"/>
        </w:rPr>
      </w:pPr>
      <w:r w:rsidRPr="00645EBD">
        <w:rPr>
          <w:rFonts w:eastAsia="Calibri" w:cs="Arial"/>
          <w:color w:val="000000" w:themeColor="text1"/>
        </w:rPr>
        <w:t xml:space="preserve">The Chair of the CMS Scientific Council (ScC) is a permanent observer </w:t>
      </w:r>
      <w:r>
        <w:rPr>
          <w:rFonts w:eastAsia="Calibri" w:cs="Arial"/>
          <w:color w:val="000000" w:themeColor="text1"/>
        </w:rPr>
        <w:t>on</w:t>
      </w:r>
      <w:r w:rsidRPr="00645EBD">
        <w:rPr>
          <w:rFonts w:eastAsia="Calibri" w:cs="Arial"/>
          <w:color w:val="000000" w:themeColor="text1"/>
        </w:rPr>
        <w:t xml:space="preserve"> the IPBES Multidisciplinary Expert Panel (MEP) and is invited to all its meetings. The main aim of inviting observers is to highlight synergistic workstreams that are in progress. When the ScC Chair cannot attend, the CMS Secretariat</w:t>
      </w:r>
      <w:r>
        <w:rPr>
          <w:rFonts w:eastAsia="Calibri" w:cs="Arial"/>
          <w:color w:val="000000" w:themeColor="text1"/>
        </w:rPr>
        <w:t xml:space="preserve"> takes their place.</w:t>
      </w:r>
      <w:r w:rsidRPr="00645EBD">
        <w:rPr>
          <w:rFonts w:eastAsia="Calibri" w:cs="Arial"/>
          <w:color w:val="000000" w:themeColor="text1"/>
        </w:rPr>
        <w:t xml:space="preserve"> Since COP14, </w:t>
      </w:r>
      <w:r>
        <w:rPr>
          <w:rFonts w:eastAsia="Calibri" w:cs="Arial"/>
          <w:color w:val="000000" w:themeColor="text1"/>
        </w:rPr>
        <w:t xml:space="preserve">there have been </w:t>
      </w:r>
      <w:r w:rsidRPr="00645EBD">
        <w:rPr>
          <w:rFonts w:eastAsia="Calibri" w:cs="Arial"/>
          <w:color w:val="000000" w:themeColor="text1"/>
        </w:rPr>
        <w:t xml:space="preserve">three meetings of the MEP and of the IPBES Bureau, of which the ScC Chair participated in two, </w:t>
      </w:r>
      <w:r>
        <w:rPr>
          <w:rFonts w:eastAsia="Calibri" w:cs="Arial"/>
          <w:color w:val="000000" w:themeColor="text1"/>
        </w:rPr>
        <w:t>with</w:t>
      </w:r>
      <w:r w:rsidRPr="00645EBD">
        <w:rPr>
          <w:rFonts w:eastAsia="Calibri" w:cs="Arial"/>
          <w:color w:val="000000" w:themeColor="text1"/>
        </w:rPr>
        <w:t xml:space="preserve"> the Secretariat attend</w:t>
      </w:r>
      <w:r>
        <w:rPr>
          <w:rFonts w:eastAsia="Calibri" w:cs="Arial"/>
          <w:color w:val="000000" w:themeColor="text1"/>
        </w:rPr>
        <w:t>ing</w:t>
      </w:r>
      <w:r w:rsidRPr="00645EBD">
        <w:rPr>
          <w:rFonts w:eastAsia="Calibri" w:cs="Arial"/>
          <w:color w:val="000000" w:themeColor="text1"/>
        </w:rPr>
        <w:t xml:space="preserve"> </w:t>
      </w:r>
      <w:r>
        <w:rPr>
          <w:rFonts w:eastAsia="Calibri" w:cs="Arial"/>
          <w:color w:val="000000" w:themeColor="text1"/>
        </w:rPr>
        <w:t xml:space="preserve">one meeting </w:t>
      </w:r>
      <w:r w:rsidRPr="00645EBD">
        <w:rPr>
          <w:rFonts w:eastAsia="Calibri" w:cs="Arial"/>
          <w:color w:val="000000" w:themeColor="text1"/>
        </w:rPr>
        <w:t xml:space="preserve">on behalf of the Chair, </w:t>
      </w:r>
      <w:r>
        <w:rPr>
          <w:rFonts w:eastAsia="Calibri" w:cs="Arial"/>
          <w:color w:val="000000" w:themeColor="text1"/>
        </w:rPr>
        <w:t xml:space="preserve">to </w:t>
      </w:r>
      <w:r w:rsidRPr="00645EBD">
        <w:rPr>
          <w:rFonts w:eastAsia="Calibri" w:cs="Arial"/>
          <w:color w:val="000000" w:themeColor="text1"/>
        </w:rPr>
        <w:t>inform</w:t>
      </w:r>
      <w:r>
        <w:rPr>
          <w:rFonts w:eastAsia="Calibri" w:cs="Arial"/>
          <w:color w:val="000000" w:themeColor="text1"/>
        </w:rPr>
        <w:t xml:space="preserve"> the</w:t>
      </w:r>
      <w:r w:rsidRPr="00645EBD">
        <w:rPr>
          <w:rFonts w:eastAsia="Calibri" w:cs="Arial"/>
          <w:color w:val="000000" w:themeColor="text1"/>
        </w:rPr>
        <w:t xml:space="preserve"> MEP about relevant developments in CMS. </w:t>
      </w:r>
    </w:p>
    <w:p w14:paraId="36F2E72F" w14:textId="77777777" w:rsidR="00727B7F" w:rsidRPr="00645EBD" w:rsidRDefault="00727B7F" w:rsidP="00727B7F">
      <w:pPr>
        <w:widowControl w:val="0"/>
        <w:spacing w:after="0" w:line="240" w:lineRule="auto"/>
        <w:ind w:left="567"/>
        <w:jc w:val="both"/>
        <w:rPr>
          <w:rFonts w:eastAsia="Calibri" w:cs="Arial"/>
          <w:color w:val="000000" w:themeColor="text1"/>
        </w:rPr>
      </w:pPr>
    </w:p>
    <w:p w14:paraId="1F9BD9CE" w14:textId="77777777" w:rsidR="00727B7F" w:rsidRPr="00645EBD" w:rsidRDefault="00727B7F" w:rsidP="00727B7F">
      <w:pPr>
        <w:widowControl w:val="0"/>
        <w:spacing w:after="0" w:line="240" w:lineRule="auto"/>
        <w:jc w:val="both"/>
        <w:rPr>
          <w:rFonts w:eastAsia="Calibri" w:cs="Arial"/>
          <w:color w:val="000000" w:themeColor="text1"/>
          <w:u w:val="single"/>
        </w:rPr>
      </w:pPr>
      <w:r w:rsidRPr="00645EBD">
        <w:rPr>
          <w:rFonts w:eastAsia="Calibri" w:cs="Arial"/>
          <w:color w:val="000000" w:themeColor="text1"/>
          <w:u w:val="single"/>
        </w:rPr>
        <w:t>Implementation of Decision 14.12</w:t>
      </w:r>
    </w:p>
    <w:p w14:paraId="38FF849C" w14:textId="77777777" w:rsidR="00727B7F" w:rsidRPr="00645EBD" w:rsidRDefault="00727B7F" w:rsidP="00727B7F">
      <w:pPr>
        <w:spacing w:after="0" w:line="240" w:lineRule="auto"/>
        <w:ind w:left="360"/>
        <w:jc w:val="both"/>
        <w:rPr>
          <w:rFonts w:eastAsia="Calibri" w:cs="Arial"/>
          <w:color w:val="000000" w:themeColor="text1"/>
        </w:rPr>
      </w:pPr>
    </w:p>
    <w:p w14:paraId="3D8F272B" w14:textId="77777777" w:rsidR="00727B7F" w:rsidRPr="00645EBD" w:rsidRDefault="00727B7F" w:rsidP="00727B7F">
      <w:pPr>
        <w:widowControl w:val="0"/>
        <w:numPr>
          <w:ilvl w:val="0"/>
          <w:numId w:val="4"/>
        </w:numPr>
        <w:autoSpaceDE w:val="0"/>
        <w:autoSpaceDN w:val="0"/>
        <w:adjustRightInd w:val="0"/>
        <w:spacing w:after="0" w:line="240" w:lineRule="auto"/>
        <w:ind w:left="567" w:hanging="567"/>
        <w:jc w:val="both"/>
        <w:rPr>
          <w:rFonts w:cs="Arial"/>
          <w:color w:val="0000FF"/>
        </w:rPr>
      </w:pPr>
      <w:r w:rsidRPr="00645EBD">
        <w:rPr>
          <w:rFonts w:eastAsia="Arial" w:cs="Arial"/>
        </w:rPr>
        <w:t>The 7</w:t>
      </w:r>
      <w:r w:rsidRPr="00DA2D7A">
        <w:rPr>
          <w:rFonts w:eastAsia="Arial" w:cs="Arial"/>
          <w:vertAlign w:val="superscript"/>
        </w:rPr>
        <w:t>th</w:t>
      </w:r>
      <w:r w:rsidRPr="00645EBD">
        <w:rPr>
          <w:rFonts w:eastAsia="Arial" w:cs="Arial"/>
        </w:rPr>
        <w:t xml:space="preserve"> </w:t>
      </w:r>
      <w:r>
        <w:rPr>
          <w:rFonts w:eastAsia="Arial" w:cs="Arial"/>
        </w:rPr>
        <w:t>m</w:t>
      </w:r>
      <w:r w:rsidRPr="00645EBD">
        <w:rPr>
          <w:rFonts w:eastAsia="Arial" w:cs="Arial"/>
        </w:rPr>
        <w:t>eeting of the Sessional Committee of the Scientific Council (ScC-SC7, 2024) highlighted opportunities to strengthen synergies between CMS and IPBES. The meeting welcomed the approval of the IPBES fast-track assessment on biodiversity-inclusive spatial planning and ecological connectivity by the IPBES Plenary in 2023 (</w:t>
      </w:r>
      <w:hyperlink r:id="rId12" w:history="1">
        <w:r>
          <w:rPr>
            <w:rStyle w:val="Hyperlink"/>
            <w:rFonts w:eastAsia="Arial" w:cs="Arial"/>
          </w:rPr>
          <w:t>s</w:t>
        </w:r>
        <w:r w:rsidRPr="00645EBD">
          <w:rPr>
            <w:rStyle w:val="Hyperlink"/>
            <w:rFonts w:eastAsia="Arial" w:cs="Arial"/>
          </w:rPr>
          <w:t>patial planning and connectivity assessment</w:t>
        </w:r>
      </w:hyperlink>
      <w:r w:rsidRPr="00645EBD">
        <w:rPr>
          <w:rFonts w:eastAsia="Arial" w:cs="Arial"/>
        </w:rPr>
        <w:t xml:space="preserve">). </w:t>
      </w:r>
    </w:p>
    <w:p w14:paraId="37DE75F0" w14:textId="77777777" w:rsidR="00727B7F" w:rsidRPr="00645EBD" w:rsidRDefault="00727B7F" w:rsidP="00727B7F">
      <w:pPr>
        <w:pStyle w:val="ListParagraph"/>
        <w:spacing w:after="0"/>
        <w:rPr>
          <w:rFonts w:eastAsia="Arial" w:cs="Arial"/>
        </w:rPr>
      </w:pPr>
    </w:p>
    <w:p w14:paraId="6C5F3F71" w14:textId="77777777" w:rsidR="00727B7F" w:rsidRPr="00645EBD" w:rsidRDefault="00727B7F" w:rsidP="00727B7F">
      <w:pPr>
        <w:widowControl w:val="0"/>
        <w:numPr>
          <w:ilvl w:val="0"/>
          <w:numId w:val="4"/>
        </w:numPr>
        <w:autoSpaceDE w:val="0"/>
        <w:autoSpaceDN w:val="0"/>
        <w:adjustRightInd w:val="0"/>
        <w:spacing w:after="0" w:line="240" w:lineRule="auto"/>
        <w:ind w:left="567" w:hanging="567"/>
        <w:jc w:val="both"/>
        <w:rPr>
          <w:rFonts w:cs="Arial"/>
        </w:rPr>
      </w:pPr>
      <w:r w:rsidRPr="00645EBD">
        <w:rPr>
          <w:rFonts w:eastAsia="Arial" w:cs="Arial"/>
        </w:rPr>
        <w:t xml:space="preserve">Through Notifications </w:t>
      </w:r>
      <w:hyperlink r:id="rId13">
        <w:r w:rsidRPr="00645EBD">
          <w:rPr>
            <w:rStyle w:val="Hyperlink"/>
            <w:rFonts w:eastAsia="Arial" w:cs="Arial"/>
          </w:rPr>
          <w:t>2024/019</w:t>
        </w:r>
      </w:hyperlink>
      <w:r w:rsidRPr="00645EBD">
        <w:rPr>
          <w:rFonts w:eastAsia="Arial" w:cs="Arial"/>
        </w:rPr>
        <w:t xml:space="preserve"> and </w:t>
      </w:r>
      <w:hyperlink r:id="rId14">
        <w:r w:rsidRPr="00645EBD">
          <w:rPr>
            <w:rStyle w:val="Hyperlink"/>
            <w:rFonts w:eastAsia="Arial" w:cs="Arial"/>
          </w:rPr>
          <w:t>2024/023</w:t>
        </w:r>
      </w:hyperlink>
      <w:r w:rsidRPr="00645EBD">
        <w:rPr>
          <w:rFonts w:eastAsia="Arial" w:cs="Arial"/>
        </w:rPr>
        <w:t>, the Secretariat brought to the attention of Parties the associated calls for hosting the Technical Support Unit and to nominate experts. The ScC members were encouraged to engage in the assessment and related processes</w:t>
      </w:r>
      <w:r w:rsidRPr="00645EBD">
        <w:rPr>
          <w:rFonts w:cs="Arial"/>
        </w:rPr>
        <w:t>.</w:t>
      </w:r>
    </w:p>
    <w:p w14:paraId="1D11C84A" w14:textId="77777777" w:rsidR="00727B7F" w:rsidRPr="00645EBD" w:rsidRDefault="00727B7F" w:rsidP="00727B7F">
      <w:pPr>
        <w:widowControl w:val="0"/>
        <w:autoSpaceDE w:val="0"/>
        <w:autoSpaceDN w:val="0"/>
        <w:adjustRightInd w:val="0"/>
        <w:spacing w:after="0" w:line="240" w:lineRule="auto"/>
        <w:ind w:left="567"/>
        <w:jc w:val="both"/>
        <w:rPr>
          <w:rFonts w:cs="Arial"/>
        </w:rPr>
      </w:pPr>
    </w:p>
    <w:p w14:paraId="4E3D8AA3" w14:textId="77777777" w:rsidR="00727B7F" w:rsidRPr="00645EBD" w:rsidRDefault="00727B7F" w:rsidP="00727B7F">
      <w:pPr>
        <w:spacing w:after="0" w:line="240" w:lineRule="auto"/>
        <w:jc w:val="both"/>
        <w:rPr>
          <w:rFonts w:cs="Arial"/>
          <w:u w:val="single"/>
        </w:rPr>
      </w:pPr>
      <w:r w:rsidRPr="00645EBD">
        <w:rPr>
          <w:rFonts w:cs="Arial"/>
          <w:u w:val="single"/>
        </w:rPr>
        <w:t>Implementation of Decision 14.13</w:t>
      </w:r>
    </w:p>
    <w:p w14:paraId="29FC5B32" w14:textId="77777777" w:rsidR="00727B7F" w:rsidRPr="00645EBD" w:rsidRDefault="00727B7F" w:rsidP="00727B7F">
      <w:pPr>
        <w:spacing w:after="0" w:line="240" w:lineRule="auto"/>
        <w:jc w:val="both"/>
        <w:rPr>
          <w:rFonts w:cs="Arial"/>
        </w:rPr>
      </w:pPr>
    </w:p>
    <w:p w14:paraId="514347AF" w14:textId="77777777" w:rsidR="00727B7F" w:rsidRPr="00E6481D" w:rsidRDefault="00727B7F" w:rsidP="00727B7F">
      <w:pPr>
        <w:pStyle w:val="ListParagraph"/>
        <w:numPr>
          <w:ilvl w:val="0"/>
          <w:numId w:val="4"/>
        </w:numPr>
        <w:spacing w:after="0"/>
        <w:ind w:left="567" w:hanging="567"/>
        <w:jc w:val="both"/>
        <w:rPr>
          <w:rFonts w:cs="Arial"/>
          <w:color w:val="000000" w:themeColor="text1"/>
        </w:rPr>
      </w:pPr>
      <w:r w:rsidRPr="00645EBD">
        <w:rPr>
          <w:rFonts w:eastAsia="Arial" w:cs="Arial"/>
        </w:rPr>
        <w:t xml:space="preserve">Due to lack of resources, this </w:t>
      </w:r>
      <w:r>
        <w:rPr>
          <w:rFonts w:eastAsia="Arial" w:cs="Arial"/>
        </w:rPr>
        <w:t>D</w:t>
      </w:r>
      <w:r w:rsidRPr="00645EBD">
        <w:rPr>
          <w:rFonts w:eastAsia="Arial" w:cs="Arial"/>
        </w:rPr>
        <w:t xml:space="preserve">ecision has not yet been implemented. </w:t>
      </w:r>
      <w:r w:rsidRPr="00E6481D">
        <w:rPr>
          <w:rFonts w:eastAsia="Arial" w:cs="Arial"/>
          <w:color w:val="000000" w:themeColor="text1"/>
        </w:rPr>
        <w:t xml:space="preserve">The activities under the Decision are therefore proposed for the intersessional period after COP15. </w:t>
      </w:r>
    </w:p>
    <w:p w14:paraId="1D21D919" w14:textId="77777777" w:rsidR="00727B7F" w:rsidRPr="00E6481D" w:rsidRDefault="00727B7F" w:rsidP="00727B7F">
      <w:pPr>
        <w:pStyle w:val="ListParagraph"/>
        <w:spacing w:after="0"/>
        <w:ind w:left="567"/>
        <w:rPr>
          <w:rFonts w:cs="Arial"/>
          <w:color w:val="000000" w:themeColor="text1"/>
        </w:rPr>
      </w:pPr>
    </w:p>
    <w:p w14:paraId="3692435D" w14:textId="77777777" w:rsidR="00727B7F" w:rsidRPr="00645EBD" w:rsidRDefault="00727B7F" w:rsidP="00727B7F">
      <w:pPr>
        <w:spacing w:after="0" w:line="240" w:lineRule="auto"/>
        <w:jc w:val="both"/>
        <w:rPr>
          <w:rFonts w:cs="Arial"/>
          <w:u w:val="single"/>
        </w:rPr>
      </w:pPr>
      <w:r w:rsidRPr="00645EBD">
        <w:rPr>
          <w:rFonts w:cs="Arial"/>
          <w:u w:val="single"/>
        </w:rPr>
        <w:t>Discussion and analysis</w:t>
      </w:r>
    </w:p>
    <w:p w14:paraId="242F11DE" w14:textId="77777777" w:rsidR="00727B7F" w:rsidRPr="00645EBD" w:rsidRDefault="00727B7F" w:rsidP="00727B7F">
      <w:pPr>
        <w:spacing w:after="0" w:line="240" w:lineRule="auto"/>
        <w:jc w:val="both"/>
        <w:rPr>
          <w:rFonts w:cs="Arial"/>
        </w:rPr>
      </w:pPr>
    </w:p>
    <w:p w14:paraId="3CCD2546" w14:textId="77777777" w:rsidR="00727B7F" w:rsidRPr="00645EBD" w:rsidRDefault="00727B7F" w:rsidP="00727B7F">
      <w:pPr>
        <w:widowControl w:val="0"/>
        <w:numPr>
          <w:ilvl w:val="0"/>
          <w:numId w:val="4"/>
        </w:numPr>
        <w:spacing w:after="0" w:line="240" w:lineRule="auto"/>
        <w:ind w:left="567" w:hanging="567"/>
        <w:jc w:val="both"/>
        <w:rPr>
          <w:rFonts w:cs="Arial"/>
        </w:rPr>
      </w:pPr>
      <w:r w:rsidRPr="00645EBD">
        <w:rPr>
          <w:rFonts w:eastAsia="Arial" w:cs="Arial"/>
        </w:rPr>
        <w:t xml:space="preserve">In the context of the Samarkand Strategic Plan </w:t>
      </w:r>
      <w:r w:rsidRPr="00645EBD">
        <w:rPr>
          <w:rFonts w:cs="Arial"/>
        </w:rPr>
        <w:t>for Migratory Species 2024</w:t>
      </w:r>
      <w:r>
        <w:rPr>
          <w:rFonts w:cs="Arial"/>
        </w:rPr>
        <w:t>–</w:t>
      </w:r>
      <w:r w:rsidRPr="00645EBD">
        <w:rPr>
          <w:rFonts w:cs="Arial"/>
        </w:rPr>
        <w:t xml:space="preserve">2032 </w:t>
      </w:r>
      <w:r w:rsidRPr="00645EBD">
        <w:rPr>
          <w:rFonts w:eastAsia="Arial" w:cs="Arial"/>
        </w:rPr>
        <w:t>and in support of improved knowledge-based decision-making, increased cooperation between CMS and IPBES presents a timely and strategic opportunity to strengthen the science</w:t>
      </w:r>
      <w:r>
        <w:rPr>
          <w:rFonts w:cs="Arial"/>
        </w:rPr>
        <w:t>–</w:t>
      </w:r>
      <w:r w:rsidRPr="00645EBD">
        <w:rPr>
          <w:rFonts w:eastAsia="Arial" w:cs="Arial"/>
        </w:rPr>
        <w:t>policy interface for migratory species conservation</w:t>
      </w:r>
      <w:r w:rsidRPr="00645EBD">
        <w:rPr>
          <w:rFonts w:cs="Arial"/>
        </w:rPr>
        <w:t xml:space="preserve">. </w:t>
      </w:r>
    </w:p>
    <w:p w14:paraId="251BCE0A" w14:textId="77777777" w:rsidR="00727B7F" w:rsidRPr="00645EBD" w:rsidRDefault="00727B7F" w:rsidP="00727B7F">
      <w:pPr>
        <w:widowControl w:val="0"/>
        <w:spacing w:after="0" w:line="240" w:lineRule="auto"/>
        <w:ind w:left="567"/>
        <w:jc w:val="both"/>
        <w:rPr>
          <w:rFonts w:cs="Arial"/>
        </w:rPr>
      </w:pPr>
    </w:p>
    <w:p w14:paraId="36BC26C8" w14:textId="77777777" w:rsidR="00727B7F" w:rsidRPr="00645EBD" w:rsidRDefault="00727B7F" w:rsidP="00727B7F">
      <w:pPr>
        <w:widowControl w:val="0"/>
        <w:numPr>
          <w:ilvl w:val="0"/>
          <w:numId w:val="4"/>
        </w:numPr>
        <w:spacing w:after="0" w:line="240" w:lineRule="auto"/>
        <w:ind w:left="567" w:hanging="567"/>
        <w:jc w:val="both"/>
        <w:rPr>
          <w:rFonts w:cs="Arial"/>
        </w:rPr>
      </w:pPr>
      <w:r w:rsidRPr="00645EBD">
        <w:rPr>
          <w:rFonts w:cs="Arial"/>
        </w:rPr>
        <w:t xml:space="preserve">Draft Decision 15.AAa) mandates the Scientific Council to remain engaged in relevant IPBES scoping and review processes, to ensure that CMS priorities are considered in relevant assessments agreed by IPBES-10 and IPBES-11. </w:t>
      </w:r>
    </w:p>
    <w:p w14:paraId="6B2895A1" w14:textId="77777777" w:rsidR="00727B7F" w:rsidRPr="00645EBD" w:rsidRDefault="00727B7F" w:rsidP="00727B7F">
      <w:pPr>
        <w:pStyle w:val="ListParagraph"/>
        <w:spacing w:after="0"/>
        <w:rPr>
          <w:rFonts w:cs="Arial"/>
        </w:rPr>
      </w:pPr>
    </w:p>
    <w:p w14:paraId="0F012C90" w14:textId="77777777" w:rsidR="00727B7F" w:rsidRPr="00645EBD" w:rsidRDefault="00727B7F" w:rsidP="00727B7F">
      <w:pPr>
        <w:pStyle w:val="ListParagraph"/>
        <w:widowControl w:val="0"/>
        <w:numPr>
          <w:ilvl w:val="0"/>
          <w:numId w:val="4"/>
        </w:numPr>
        <w:spacing w:after="0" w:line="240" w:lineRule="auto"/>
        <w:ind w:left="567" w:hanging="567"/>
        <w:jc w:val="both"/>
        <w:rPr>
          <w:rFonts w:cs="Arial"/>
        </w:rPr>
      </w:pPr>
      <w:r w:rsidRPr="00645EBD">
        <w:rPr>
          <w:rFonts w:cs="Arial"/>
        </w:rPr>
        <w:t>Draft Decision 15.AAb) proposes that the Scientific Council considers selected IPBES assessments and provides recommendations to COP16 on their relevance to the implementation of the Convention for consideration.</w:t>
      </w:r>
    </w:p>
    <w:p w14:paraId="3B175985" w14:textId="77777777" w:rsidR="00727B7F" w:rsidRPr="00645EBD" w:rsidRDefault="00727B7F" w:rsidP="00727B7F">
      <w:pPr>
        <w:pStyle w:val="ListParagraph"/>
        <w:spacing w:after="0"/>
        <w:rPr>
          <w:rFonts w:cs="Arial"/>
        </w:rPr>
      </w:pPr>
    </w:p>
    <w:p w14:paraId="09D2088E" w14:textId="77777777" w:rsidR="00727B7F" w:rsidRPr="00645EBD" w:rsidRDefault="00727B7F" w:rsidP="00727B7F">
      <w:pPr>
        <w:widowControl w:val="0"/>
        <w:numPr>
          <w:ilvl w:val="0"/>
          <w:numId w:val="4"/>
        </w:numPr>
        <w:spacing w:after="0" w:line="240" w:lineRule="auto"/>
        <w:ind w:left="567" w:hanging="567"/>
        <w:jc w:val="both"/>
        <w:rPr>
          <w:rFonts w:cs="Arial"/>
        </w:rPr>
      </w:pPr>
      <w:r w:rsidRPr="00645EBD">
        <w:rPr>
          <w:rFonts w:cs="Arial"/>
        </w:rPr>
        <w:t xml:space="preserve">During the next triennium, specific attention should be paid to the </w:t>
      </w:r>
      <w:hyperlink r:id="rId15" w:history="1">
        <w:r>
          <w:rPr>
            <w:rStyle w:val="Hyperlink"/>
            <w:rFonts w:eastAsia="Calibri" w:cs="Arial"/>
          </w:rPr>
          <w:t>s</w:t>
        </w:r>
        <w:r w:rsidRPr="00645EBD">
          <w:rPr>
            <w:rStyle w:val="Hyperlink"/>
            <w:rFonts w:eastAsia="Calibri" w:cs="Arial"/>
          </w:rPr>
          <w:t>patial planning and connectivity assessment</w:t>
        </w:r>
      </w:hyperlink>
      <w:r w:rsidRPr="00645EBD">
        <w:rPr>
          <w:rFonts w:eastAsia="Calibri" w:cs="Arial"/>
        </w:rPr>
        <w:t xml:space="preserve"> </w:t>
      </w:r>
      <w:r w:rsidRPr="00645EBD">
        <w:rPr>
          <w:rFonts w:cs="Arial"/>
        </w:rPr>
        <w:t xml:space="preserve">and the </w:t>
      </w:r>
      <w:hyperlink r:id="rId16" w:history="1">
        <w:r>
          <w:rPr>
            <w:rStyle w:val="Hyperlink"/>
            <w:rFonts w:cs="Arial"/>
          </w:rPr>
          <w:t>s</w:t>
        </w:r>
        <w:r w:rsidRPr="00645EBD">
          <w:rPr>
            <w:rStyle w:val="Hyperlink"/>
            <w:rFonts w:cs="Arial"/>
          </w:rPr>
          <w:t>econd global assessment of biodiversity and ecosystem services</w:t>
        </w:r>
      </w:hyperlink>
      <w:r w:rsidRPr="00645EBD">
        <w:rPr>
          <w:rFonts w:cs="Arial"/>
        </w:rPr>
        <w:t>, which are both relevant to CMS priorities:</w:t>
      </w:r>
    </w:p>
    <w:p w14:paraId="599EDCC4" w14:textId="77777777" w:rsidR="00727B7F" w:rsidRPr="00645EBD" w:rsidRDefault="00727B7F" w:rsidP="00727B7F">
      <w:pPr>
        <w:pStyle w:val="ListParagraph"/>
        <w:spacing w:after="0"/>
        <w:rPr>
          <w:rFonts w:cs="Arial"/>
        </w:rPr>
      </w:pPr>
    </w:p>
    <w:p w14:paraId="3E883959" w14:textId="77777777" w:rsidR="00727B7F" w:rsidRPr="00645EBD" w:rsidRDefault="00727B7F" w:rsidP="000F6BBB">
      <w:pPr>
        <w:widowControl w:val="0"/>
        <w:numPr>
          <w:ilvl w:val="1"/>
          <w:numId w:val="4"/>
        </w:numPr>
        <w:spacing w:after="80" w:line="240" w:lineRule="auto"/>
        <w:ind w:left="1094" w:hanging="547"/>
        <w:jc w:val="both"/>
        <w:rPr>
          <w:rFonts w:cs="Arial"/>
        </w:rPr>
      </w:pPr>
      <w:r w:rsidRPr="00645EBD">
        <w:rPr>
          <w:rFonts w:cs="Arial"/>
        </w:rPr>
        <w:t>The</w:t>
      </w:r>
      <w:r w:rsidRPr="00645EBD">
        <w:rPr>
          <w:rFonts w:cs="Arial"/>
          <w:lang w:val="en-AU"/>
        </w:rPr>
        <w:t xml:space="preserve"> </w:t>
      </w:r>
      <w:r>
        <w:rPr>
          <w:rFonts w:cs="Arial"/>
          <w:lang w:val="en-AU"/>
        </w:rPr>
        <w:t>‘s</w:t>
      </w:r>
      <w:r w:rsidRPr="00645EBD">
        <w:rPr>
          <w:rFonts w:cs="Arial"/>
          <w:lang w:val="en-AU"/>
        </w:rPr>
        <w:t>patial planning and connectivity assessment</w:t>
      </w:r>
      <w:r>
        <w:rPr>
          <w:rFonts w:cs="Arial"/>
          <w:lang w:val="en-AU"/>
        </w:rPr>
        <w:t>’</w:t>
      </w:r>
      <w:r w:rsidRPr="00645EBD">
        <w:rPr>
          <w:rFonts w:cs="Arial"/>
          <w:lang w:val="en-AU"/>
        </w:rPr>
        <w:t xml:space="preserve"> is expected to be completed in 2027 and subsequently considered at the 14</w:t>
      </w:r>
      <w:r w:rsidRPr="00645EBD">
        <w:rPr>
          <w:rFonts w:cs="Arial"/>
          <w:vertAlign w:val="superscript"/>
          <w:lang w:val="en-AU"/>
        </w:rPr>
        <w:t>th</w:t>
      </w:r>
      <w:r w:rsidRPr="00645EBD">
        <w:rPr>
          <w:rFonts w:cs="Arial"/>
          <w:lang w:val="en-AU"/>
        </w:rPr>
        <w:t xml:space="preserve"> session of the IPBES </w:t>
      </w:r>
      <w:r>
        <w:rPr>
          <w:rFonts w:cs="Arial"/>
          <w:lang w:val="en-AU"/>
        </w:rPr>
        <w:t>P</w:t>
      </w:r>
      <w:r w:rsidRPr="00645EBD">
        <w:rPr>
          <w:rFonts w:cs="Arial"/>
          <w:lang w:val="en-AU"/>
        </w:rPr>
        <w:t xml:space="preserve">lenary. Until then, it will progress through author meetings and drafting sessions, including coordinated work on the </w:t>
      </w:r>
      <w:r>
        <w:rPr>
          <w:rFonts w:cs="Arial"/>
          <w:lang w:val="en-AU"/>
        </w:rPr>
        <w:t>‘s</w:t>
      </w:r>
      <w:r w:rsidRPr="00645EBD">
        <w:rPr>
          <w:rFonts w:cs="Arial"/>
          <w:lang w:val="en-AU"/>
        </w:rPr>
        <w:t xml:space="preserve">ummary for </w:t>
      </w:r>
      <w:r>
        <w:rPr>
          <w:rFonts w:cs="Arial"/>
          <w:lang w:val="en-AU"/>
        </w:rPr>
        <w:t>p</w:t>
      </w:r>
      <w:r w:rsidRPr="00645EBD">
        <w:rPr>
          <w:rFonts w:cs="Arial"/>
          <w:lang w:val="en-AU"/>
        </w:rPr>
        <w:t>olicymakers</w:t>
      </w:r>
      <w:r>
        <w:rPr>
          <w:rFonts w:cs="Arial"/>
          <w:lang w:val="en-AU"/>
        </w:rPr>
        <w:t>’</w:t>
      </w:r>
      <w:r w:rsidRPr="00645EBD">
        <w:rPr>
          <w:rFonts w:cs="Arial"/>
          <w:lang w:val="en-AU"/>
        </w:rPr>
        <w:t>. The CMS Parties, observer organi</w:t>
      </w:r>
      <w:r>
        <w:rPr>
          <w:rFonts w:cs="Arial"/>
          <w:lang w:val="en-AU"/>
        </w:rPr>
        <w:t>z</w:t>
      </w:r>
      <w:r w:rsidRPr="00645EBD">
        <w:rPr>
          <w:rFonts w:cs="Arial"/>
          <w:lang w:val="en-AU"/>
        </w:rPr>
        <w:t xml:space="preserve">ations and the Secretariat will be invited to contribute throughout the external review processes. The first external review is planned for the second </w:t>
      </w:r>
      <w:r w:rsidRPr="00645EBD">
        <w:rPr>
          <w:rFonts w:cs="Arial"/>
          <w:lang w:val="en-AU"/>
        </w:rPr>
        <w:lastRenderedPageBreak/>
        <w:t xml:space="preserve">quarter of 2026 and will include the release of draft chapters and a draft </w:t>
      </w:r>
      <w:r>
        <w:rPr>
          <w:rFonts w:cs="Arial"/>
          <w:lang w:val="en-AU"/>
        </w:rPr>
        <w:t>‘s</w:t>
      </w:r>
      <w:r w:rsidRPr="00645EBD">
        <w:rPr>
          <w:rFonts w:cs="Arial"/>
          <w:lang w:val="en-AU"/>
        </w:rPr>
        <w:t xml:space="preserve">ummary for </w:t>
      </w:r>
      <w:r>
        <w:rPr>
          <w:rFonts w:cs="Arial"/>
          <w:lang w:val="en-AU"/>
        </w:rPr>
        <w:t>p</w:t>
      </w:r>
      <w:r w:rsidRPr="00645EBD">
        <w:rPr>
          <w:rFonts w:cs="Arial"/>
          <w:lang w:val="en-AU"/>
        </w:rPr>
        <w:t>olicymakers</w:t>
      </w:r>
      <w:r>
        <w:rPr>
          <w:rFonts w:cs="Arial"/>
          <w:lang w:val="en-AU"/>
        </w:rPr>
        <w:t>’</w:t>
      </w:r>
      <w:r w:rsidRPr="00645EBD">
        <w:rPr>
          <w:rFonts w:cs="Arial"/>
          <w:lang w:val="en-AU"/>
        </w:rPr>
        <w:t xml:space="preserve"> for review by </w:t>
      </w:r>
      <w:r>
        <w:rPr>
          <w:rFonts w:cs="Arial"/>
          <w:lang w:val="en-AU"/>
        </w:rPr>
        <w:t>g</w:t>
      </w:r>
      <w:r w:rsidRPr="00645EBD">
        <w:rPr>
          <w:rFonts w:cs="Arial"/>
          <w:lang w:val="en-AU"/>
        </w:rPr>
        <w:t>overnments and experts. A second external review is scheduled for</w:t>
      </w:r>
      <w:r w:rsidRPr="00645EBD">
        <w:rPr>
          <w:rFonts w:cs="Arial"/>
        </w:rPr>
        <w:t xml:space="preserve"> </w:t>
      </w:r>
      <w:r w:rsidRPr="00645EBD">
        <w:rPr>
          <w:rFonts w:cs="Arial"/>
          <w:lang w:val="en-AU"/>
        </w:rPr>
        <w:t xml:space="preserve">the fourth quarter of 2026, and a final review phase for the third quarter of 2027. </w:t>
      </w:r>
    </w:p>
    <w:p w14:paraId="08D1D9E2" w14:textId="77777777" w:rsidR="00727B7F" w:rsidRPr="00645EBD" w:rsidRDefault="00727B7F" w:rsidP="000F6BBB">
      <w:pPr>
        <w:widowControl w:val="0"/>
        <w:numPr>
          <w:ilvl w:val="1"/>
          <w:numId w:val="4"/>
        </w:numPr>
        <w:spacing w:after="80" w:line="240" w:lineRule="auto"/>
        <w:ind w:left="1094" w:hanging="547"/>
        <w:jc w:val="both"/>
        <w:rPr>
          <w:rFonts w:cs="Arial"/>
        </w:rPr>
      </w:pPr>
      <w:r w:rsidRPr="00645EBD">
        <w:rPr>
          <w:rFonts w:cs="Arial"/>
        </w:rPr>
        <w:t xml:space="preserve">The </w:t>
      </w:r>
      <w:r>
        <w:rPr>
          <w:rFonts w:cs="Arial"/>
        </w:rPr>
        <w:t>‘s</w:t>
      </w:r>
      <w:r w:rsidRPr="00645EBD">
        <w:rPr>
          <w:rFonts w:cs="Arial"/>
        </w:rPr>
        <w:t>econd global assessment of biodiversity and ecosystem services</w:t>
      </w:r>
      <w:r>
        <w:rPr>
          <w:rFonts w:cs="Arial"/>
        </w:rPr>
        <w:t>’</w:t>
      </w:r>
      <w:r w:rsidRPr="00645EBD">
        <w:rPr>
          <w:rFonts w:cs="Arial"/>
        </w:rPr>
        <w:t xml:space="preserve"> will be prepared between the 11</w:t>
      </w:r>
      <w:r w:rsidRPr="00645EBD">
        <w:rPr>
          <w:rFonts w:cs="Arial"/>
          <w:vertAlign w:val="superscript"/>
        </w:rPr>
        <w:t>th</w:t>
      </w:r>
      <w:r w:rsidRPr="00645EBD">
        <w:rPr>
          <w:rFonts w:cs="Arial"/>
        </w:rPr>
        <w:t xml:space="preserve"> and 14</w:t>
      </w:r>
      <w:r w:rsidRPr="00645EBD">
        <w:rPr>
          <w:rFonts w:cs="Arial"/>
          <w:vertAlign w:val="superscript"/>
        </w:rPr>
        <w:t>th</w:t>
      </w:r>
      <w:r w:rsidRPr="00645EBD">
        <w:rPr>
          <w:rFonts w:cs="Arial"/>
        </w:rPr>
        <w:t xml:space="preserve"> sessions of the Plenary and w</w:t>
      </w:r>
      <w:r>
        <w:rPr>
          <w:rFonts w:cs="Arial"/>
        </w:rPr>
        <w:t>ill</w:t>
      </w:r>
      <w:r w:rsidRPr="00645EBD">
        <w:rPr>
          <w:rFonts w:cs="Arial"/>
        </w:rPr>
        <w:t xml:space="preserve"> be considered by the Plenary in 2028. </w:t>
      </w:r>
    </w:p>
    <w:p w14:paraId="2785F6AE" w14:textId="77777777" w:rsidR="00727B7F" w:rsidRPr="00645EBD" w:rsidRDefault="00727B7F" w:rsidP="000F6BBB">
      <w:pPr>
        <w:widowControl w:val="0"/>
        <w:numPr>
          <w:ilvl w:val="1"/>
          <w:numId w:val="4"/>
        </w:numPr>
        <w:spacing w:after="0" w:line="240" w:lineRule="auto"/>
        <w:ind w:hanging="540"/>
        <w:jc w:val="both"/>
        <w:rPr>
          <w:rFonts w:cs="Arial"/>
        </w:rPr>
      </w:pPr>
      <w:r w:rsidRPr="00645EBD">
        <w:rPr>
          <w:rFonts w:cs="Arial"/>
        </w:rPr>
        <w:t xml:space="preserve">Further IPBES assessments to be completed in the next intersessional period include the </w:t>
      </w:r>
      <w:r>
        <w:rPr>
          <w:rFonts w:cs="Arial"/>
        </w:rPr>
        <w:t>‘</w:t>
      </w:r>
      <w:r w:rsidRPr="00645EBD">
        <w:rPr>
          <w:rFonts w:cs="Arial"/>
        </w:rPr>
        <w:t>assessment of the impact and dependence of business on biodiversity and nature’s contributions to people</w:t>
      </w:r>
      <w:r>
        <w:rPr>
          <w:rFonts w:cs="Arial"/>
        </w:rPr>
        <w:t>’</w:t>
      </w:r>
      <w:r w:rsidRPr="00645EBD">
        <w:rPr>
          <w:rFonts w:cs="Arial"/>
        </w:rPr>
        <w:t xml:space="preserve"> and the </w:t>
      </w:r>
      <w:r>
        <w:rPr>
          <w:rFonts w:cs="Arial"/>
        </w:rPr>
        <w:t>‘</w:t>
      </w:r>
      <w:r w:rsidRPr="00645EBD">
        <w:rPr>
          <w:rFonts w:cs="Arial"/>
        </w:rPr>
        <w:t>assessment on monitoring biodiversity and nature’s contributions to people</w:t>
      </w:r>
      <w:r>
        <w:rPr>
          <w:rFonts w:cs="Arial"/>
        </w:rPr>
        <w:t>’</w:t>
      </w:r>
      <w:r w:rsidRPr="00645EBD">
        <w:rPr>
          <w:rFonts w:cs="Arial"/>
        </w:rPr>
        <w:t>.</w:t>
      </w:r>
    </w:p>
    <w:p w14:paraId="595527FB" w14:textId="77777777" w:rsidR="00727B7F" w:rsidRPr="00645EBD" w:rsidRDefault="00727B7F" w:rsidP="00727B7F">
      <w:pPr>
        <w:pStyle w:val="ListParagraph"/>
        <w:spacing w:after="0"/>
        <w:rPr>
          <w:rFonts w:cs="Arial"/>
        </w:rPr>
      </w:pPr>
    </w:p>
    <w:p w14:paraId="32EBBFEC" w14:textId="77777777" w:rsidR="00727B7F" w:rsidRPr="00645EBD" w:rsidRDefault="00727B7F" w:rsidP="00727B7F">
      <w:pPr>
        <w:pStyle w:val="ListParagraph"/>
        <w:widowControl w:val="0"/>
        <w:numPr>
          <w:ilvl w:val="0"/>
          <w:numId w:val="4"/>
        </w:numPr>
        <w:spacing w:after="0" w:line="240" w:lineRule="auto"/>
        <w:ind w:left="567" w:hanging="567"/>
        <w:jc w:val="both"/>
        <w:rPr>
          <w:rFonts w:cs="Arial"/>
        </w:rPr>
      </w:pPr>
      <w:r w:rsidRPr="00645EBD">
        <w:rPr>
          <w:rFonts w:cs="Arial"/>
        </w:rPr>
        <w:t xml:space="preserve">The CMS Secretariat, with input from the Scientific Council, plans to participate in the external review of the </w:t>
      </w:r>
      <w:r>
        <w:rPr>
          <w:rFonts w:cs="Arial"/>
        </w:rPr>
        <w:t>‘s</w:t>
      </w:r>
      <w:r w:rsidRPr="00645EBD">
        <w:rPr>
          <w:rFonts w:cs="Arial"/>
        </w:rPr>
        <w:t>patial planning and connectivity assessment</w:t>
      </w:r>
      <w:r>
        <w:rPr>
          <w:rFonts w:cs="Arial"/>
        </w:rPr>
        <w:t>’</w:t>
      </w:r>
      <w:r w:rsidRPr="00645EBD">
        <w:rPr>
          <w:rFonts w:cs="Arial"/>
        </w:rPr>
        <w:t xml:space="preserve"> and in external reviews for other assessments, as appropriate. Development of the CMS input will be led by the Secretariat</w:t>
      </w:r>
      <w:r>
        <w:rPr>
          <w:rFonts w:cs="Arial"/>
        </w:rPr>
        <w:t>,</w:t>
      </w:r>
      <w:r w:rsidRPr="00645EBD">
        <w:rPr>
          <w:rFonts w:cs="Arial"/>
        </w:rPr>
        <w:t xml:space="preserve"> in cooperation with the CMS COP-appointed Councillor for Connectivity</w:t>
      </w:r>
      <w:r>
        <w:rPr>
          <w:rFonts w:cs="Arial"/>
        </w:rPr>
        <w:t>,</w:t>
      </w:r>
      <w:r w:rsidRPr="00645EBD">
        <w:rPr>
          <w:rFonts w:cs="Arial"/>
        </w:rPr>
        <w:t xml:space="preserve"> and based on contributions received from ScC-SC members and the members of the </w:t>
      </w:r>
      <w:r>
        <w:rPr>
          <w:rFonts w:cs="Arial"/>
        </w:rPr>
        <w:t>W</w:t>
      </w:r>
      <w:r w:rsidRPr="00645EBD">
        <w:rPr>
          <w:rFonts w:cs="Arial"/>
        </w:rPr>
        <w:t xml:space="preserve">orking </w:t>
      </w:r>
      <w:r>
        <w:rPr>
          <w:rFonts w:cs="Arial"/>
        </w:rPr>
        <w:t>G</w:t>
      </w:r>
      <w:r w:rsidRPr="00645EBD">
        <w:rPr>
          <w:rFonts w:cs="Arial"/>
        </w:rPr>
        <w:t xml:space="preserve">roup on Ecological Connectivity. </w:t>
      </w:r>
    </w:p>
    <w:p w14:paraId="192E7E41" w14:textId="77777777" w:rsidR="00727B7F" w:rsidRPr="00645EBD" w:rsidRDefault="00727B7F" w:rsidP="00727B7F">
      <w:pPr>
        <w:pStyle w:val="ListParagraph"/>
        <w:spacing w:after="0"/>
        <w:rPr>
          <w:rFonts w:cs="Arial"/>
        </w:rPr>
      </w:pPr>
    </w:p>
    <w:p w14:paraId="27AE3BF6" w14:textId="77777777" w:rsidR="00727B7F" w:rsidRPr="00645EBD" w:rsidRDefault="00727B7F" w:rsidP="00727B7F">
      <w:pPr>
        <w:pStyle w:val="ListParagraph"/>
        <w:widowControl w:val="0"/>
        <w:numPr>
          <w:ilvl w:val="0"/>
          <w:numId w:val="4"/>
        </w:numPr>
        <w:spacing w:after="0" w:line="240" w:lineRule="auto"/>
        <w:ind w:left="567" w:hanging="567"/>
        <w:jc w:val="both"/>
        <w:rPr>
          <w:rFonts w:cs="Arial"/>
        </w:rPr>
      </w:pPr>
      <w:r w:rsidRPr="00645EBD">
        <w:rPr>
          <w:rFonts w:cs="Arial"/>
        </w:rPr>
        <w:t>Draft Decision 15.BB would mandate the Secretariat to support the Scientific Council</w:t>
      </w:r>
      <w:r>
        <w:rPr>
          <w:rFonts w:cs="Arial"/>
        </w:rPr>
        <w:t>’s</w:t>
      </w:r>
      <w:r w:rsidRPr="00645EBD">
        <w:rPr>
          <w:rFonts w:cs="Arial"/>
        </w:rPr>
        <w:t xml:space="preserve"> </w:t>
      </w:r>
      <w:r w:rsidRPr="00645EBD">
        <w:rPr>
          <w:rFonts w:eastAsia="Arial" w:cs="Arial"/>
        </w:rPr>
        <w:t xml:space="preserve">engagement in relevant scoping and review processes. It also requests the Secretariat </w:t>
      </w:r>
      <w:r w:rsidRPr="00645EBD">
        <w:rPr>
          <w:rFonts w:cs="Arial"/>
        </w:rPr>
        <w:t xml:space="preserve">to further strengthen collaboration with the IPBES Secretariat in order to further cooperate on issues of relevance to migratory species. </w:t>
      </w:r>
    </w:p>
    <w:p w14:paraId="09F3A43C" w14:textId="77777777" w:rsidR="00727B7F" w:rsidRPr="00645EBD" w:rsidRDefault="00727B7F" w:rsidP="00727B7F">
      <w:pPr>
        <w:spacing w:after="0" w:line="240" w:lineRule="auto"/>
        <w:jc w:val="both"/>
        <w:rPr>
          <w:rFonts w:cs="Arial"/>
        </w:rPr>
      </w:pPr>
    </w:p>
    <w:p w14:paraId="62F03875" w14:textId="77777777" w:rsidR="00727B7F" w:rsidRPr="00645EBD" w:rsidRDefault="00727B7F" w:rsidP="00727B7F">
      <w:pPr>
        <w:spacing w:after="0" w:line="240" w:lineRule="auto"/>
        <w:jc w:val="both"/>
        <w:rPr>
          <w:rFonts w:cs="Arial"/>
        </w:rPr>
      </w:pPr>
      <w:r w:rsidRPr="00645EBD">
        <w:rPr>
          <w:rFonts w:cs="Arial"/>
          <w:u w:val="single"/>
        </w:rPr>
        <w:t>Recommended actions</w:t>
      </w:r>
    </w:p>
    <w:p w14:paraId="34B2D638" w14:textId="77777777" w:rsidR="00727B7F" w:rsidRPr="00645EBD" w:rsidRDefault="00727B7F" w:rsidP="00727B7F">
      <w:pPr>
        <w:spacing w:after="0" w:line="240" w:lineRule="auto"/>
        <w:jc w:val="both"/>
        <w:rPr>
          <w:rFonts w:cs="Arial"/>
        </w:rPr>
      </w:pPr>
    </w:p>
    <w:p w14:paraId="4BD0E388" w14:textId="77777777" w:rsidR="00727B7F" w:rsidRPr="00645EBD" w:rsidRDefault="00727B7F" w:rsidP="00727B7F">
      <w:pPr>
        <w:widowControl w:val="0"/>
        <w:numPr>
          <w:ilvl w:val="0"/>
          <w:numId w:val="4"/>
        </w:numPr>
        <w:autoSpaceDE w:val="0"/>
        <w:autoSpaceDN w:val="0"/>
        <w:adjustRightInd w:val="0"/>
        <w:spacing w:after="0" w:line="240" w:lineRule="auto"/>
        <w:ind w:left="567" w:hanging="567"/>
        <w:jc w:val="both"/>
        <w:rPr>
          <w:rFonts w:cs="Arial"/>
        </w:rPr>
      </w:pPr>
      <w:r w:rsidRPr="00645EBD">
        <w:rPr>
          <w:rFonts w:cs="Arial"/>
          <w:lang w:eastAsia="en-GB"/>
        </w:rPr>
        <w:t>The Conference of the Parties is recommended to</w:t>
      </w:r>
      <w:r w:rsidRPr="00645EBD">
        <w:rPr>
          <w:rFonts w:cs="Arial"/>
        </w:rPr>
        <w:t>:</w:t>
      </w:r>
    </w:p>
    <w:p w14:paraId="27B5B34C" w14:textId="77777777" w:rsidR="00727B7F" w:rsidRPr="00645EBD" w:rsidRDefault="00727B7F" w:rsidP="00727B7F">
      <w:pPr>
        <w:pStyle w:val="Secondnumbering"/>
        <w:jc w:val="both"/>
        <w:rPr>
          <w:rFonts w:cs="Arial"/>
        </w:rPr>
      </w:pPr>
    </w:p>
    <w:p w14:paraId="00AC2AC1" w14:textId="79323D7B" w:rsidR="00727B7F" w:rsidRDefault="00727B7F" w:rsidP="000F6BBB">
      <w:pPr>
        <w:pStyle w:val="Secondnumbering"/>
        <w:numPr>
          <w:ilvl w:val="0"/>
          <w:numId w:val="13"/>
        </w:numPr>
        <w:ind w:left="1080" w:hanging="540"/>
        <w:jc w:val="both"/>
        <w:rPr>
          <w:rFonts w:cs="Arial"/>
        </w:rPr>
      </w:pPr>
      <w:r w:rsidRPr="00645EBD">
        <w:rPr>
          <w:rFonts w:cs="Arial"/>
        </w:rPr>
        <w:t>adopt the draft Decision</w:t>
      </w:r>
      <w:r>
        <w:rPr>
          <w:rFonts w:cs="Arial"/>
        </w:rPr>
        <w:t>s</w:t>
      </w:r>
      <w:r w:rsidRPr="00645EBD">
        <w:rPr>
          <w:rFonts w:cs="Arial"/>
        </w:rPr>
        <w:t xml:space="preserve"> contained in </w:t>
      </w:r>
      <w:r w:rsidR="00B06B0D">
        <w:rPr>
          <w:rFonts w:cs="Arial"/>
        </w:rPr>
        <w:t xml:space="preserve">the </w:t>
      </w:r>
      <w:r w:rsidRPr="00645EBD">
        <w:rPr>
          <w:rFonts w:cs="Arial"/>
        </w:rPr>
        <w:t>Annex of this document;</w:t>
      </w:r>
      <w:r>
        <w:rPr>
          <w:rFonts w:cs="Arial"/>
        </w:rPr>
        <w:t xml:space="preserve"> and</w:t>
      </w:r>
    </w:p>
    <w:p w14:paraId="343A0799" w14:textId="77777777" w:rsidR="000F6BBB" w:rsidRDefault="000F6BBB" w:rsidP="000F6BBB">
      <w:pPr>
        <w:pStyle w:val="Secondnumbering"/>
        <w:ind w:left="1080"/>
        <w:jc w:val="both"/>
        <w:rPr>
          <w:rFonts w:cs="Arial"/>
        </w:rPr>
      </w:pPr>
    </w:p>
    <w:p w14:paraId="1426886B" w14:textId="1C1451AC" w:rsidR="006A689A" w:rsidRDefault="00727B7F" w:rsidP="000F6BBB">
      <w:pPr>
        <w:pStyle w:val="Secondnumbering"/>
        <w:numPr>
          <w:ilvl w:val="0"/>
          <w:numId w:val="13"/>
        </w:numPr>
        <w:ind w:left="1080" w:hanging="540"/>
        <w:jc w:val="both"/>
        <w:rPr>
          <w:rFonts w:cs="Arial"/>
        </w:rPr>
      </w:pPr>
      <w:r w:rsidRPr="000F6BBB">
        <w:rPr>
          <w:rFonts w:cs="Arial"/>
        </w:rPr>
        <w:t>delete Decisions 14.11–14.14</w:t>
      </w:r>
    </w:p>
    <w:p w14:paraId="1B473647" w14:textId="77777777" w:rsidR="000F6BBB" w:rsidRDefault="000F6BBB" w:rsidP="000F6BBB">
      <w:pPr>
        <w:pStyle w:val="Secondnumbering"/>
        <w:ind w:left="540"/>
        <w:jc w:val="both"/>
        <w:rPr>
          <w:rFonts w:cs="Arial"/>
        </w:rPr>
      </w:pPr>
    </w:p>
    <w:p w14:paraId="65BB6665" w14:textId="77777777" w:rsidR="000F6BBB" w:rsidRDefault="000F6BBB" w:rsidP="000F6BBB">
      <w:pPr>
        <w:pStyle w:val="Secondnumbering"/>
        <w:ind w:left="540"/>
        <w:jc w:val="both"/>
        <w:rPr>
          <w:rFonts w:cs="Arial"/>
        </w:rPr>
        <w:sectPr w:rsidR="000F6BBB"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31FA2022" w14:textId="2EFF6C30" w:rsidR="000F6BBB" w:rsidRPr="00CD0FE9" w:rsidRDefault="000F6BBB" w:rsidP="000F6BBB">
      <w:pPr>
        <w:spacing w:after="0" w:line="240" w:lineRule="auto"/>
        <w:jc w:val="right"/>
        <w:rPr>
          <w:rFonts w:cs="Arial"/>
          <w:b/>
          <w:bCs/>
          <w:caps/>
        </w:rPr>
      </w:pPr>
      <w:r w:rsidRPr="00CD0FE9">
        <w:rPr>
          <w:rFonts w:cs="Arial"/>
          <w:b/>
          <w:caps/>
        </w:rPr>
        <w:lastRenderedPageBreak/>
        <w:t>Annex</w:t>
      </w:r>
    </w:p>
    <w:p w14:paraId="63AF988F" w14:textId="77777777" w:rsidR="000F6BBB" w:rsidRDefault="000F6BBB" w:rsidP="000F6BBB">
      <w:pPr>
        <w:spacing w:after="0" w:line="240" w:lineRule="auto"/>
        <w:rPr>
          <w:rFonts w:cs="Arial"/>
        </w:rPr>
      </w:pPr>
    </w:p>
    <w:p w14:paraId="7366D8B8" w14:textId="77777777" w:rsidR="000F6BBB" w:rsidRPr="00CD0FE9" w:rsidRDefault="000F6BBB" w:rsidP="000F6BBB">
      <w:pPr>
        <w:spacing w:after="0" w:line="240" w:lineRule="auto"/>
        <w:rPr>
          <w:rFonts w:cs="Arial"/>
        </w:rPr>
      </w:pPr>
    </w:p>
    <w:p w14:paraId="627C887A" w14:textId="77777777" w:rsidR="000F6BBB" w:rsidRPr="00590D1D"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590D1D">
        <w:rPr>
          <w:rFonts w:cs="Arial"/>
          <w:bCs/>
          <w:caps/>
        </w:rPr>
        <w:t>DRAFt decisions</w:t>
      </w:r>
    </w:p>
    <w:p w14:paraId="5E8CAB0D" w14:textId="77777777" w:rsidR="000F6BBB"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558AFFCB" w14:textId="77777777" w:rsidR="000F6BBB" w:rsidRPr="00887161" w:rsidRDefault="000F6BBB" w:rsidP="000F6BBB">
      <w:pPr>
        <w:widowControl w:val="0"/>
        <w:spacing w:after="0" w:line="240" w:lineRule="auto"/>
        <w:jc w:val="center"/>
        <w:rPr>
          <w:rFonts w:eastAsia="Arial" w:cs="Arial"/>
          <w:b/>
          <w:bCs/>
        </w:rPr>
      </w:pPr>
      <w:r w:rsidRPr="3D290CAA">
        <w:rPr>
          <w:rFonts w:eastAsia="Arial" w:cs="Arial"/>
          <w:b/>
          <w:bCs/>
        </w:rPr>
        <w:t>COOPERATION BETWEEN THE INTERGOVERNMENTAL SCIENCE</w:t>
      </w:r>
      <w:r w:rsidRPr="00613C3D">
        <w:rPr>
          <w:rFonts w:cs="Arial"/>
          <w:b/>
          <w:bCs/>
        </w:rPr>
        <w:t>–</w:t>
      </w:r>
      <w:r w:rsidRPr="3D290CAA">
        <w:rPr>
          <w:rFonts w:eastAsia="Arial" w:cs="Arial"/>
          <w:b/>
          <w:bCs/>
        </w:rPr>
        <w:t>POLICY PLATFORM ON BIODIVERSITY AND ECOSYSTEM SERVICES (IPBES) AND CMS</w:t>
      </w:r>
    </w:p>
    <w:p w14:paraId="5083E211" w14:textId="77777777" w:rsidR="000F6BBB" w:rsidRPr="00523324" w:rsidRDefault="000F6BBB" w:rsidP="000F6BBB">
      <w:pPr>
        <w:spacing w:after="0" w:line="240" w:lineRule="auto"/>
        <w:jc w:val="both"/>
        <w:rPr>
          <w:rFonts w:eastAsia="Arial" w:cs="Arial"/>
          <w:i/>
          <w:iCs/>
          <w:sz w:val="20"/>
          <w:szCs w:val="20"/>
        </w:rPr>
      </w:pPr>
    </w:p>
    <w:p w14:paraId="6E847F6A" w14:textId="77777777" w:rsidR="000F6BBB" w:rsidRDefault="000F6BBB" w:rsidP="000F6BBB">
      <w:pPr>
        <w:spacing w:after="0" w:line="240" w:lineRule="auto"/>
        <w:jc w:val="both"/>
        <w:rPr>
          <w:rFonts w:cs="Arial"/>
        </w:rPr>
      </w:pPr>
    </w:p>
    <w:p w14:paraId="6C18EC28" w14:textId="77777777" w:rsidR="000F6BBB" w:rsidRPr="00CD0FE9" w:rsidRDefault="000F6BBB" w:rsidP="000F6BBB">
      <w:pPr>
        <w:spacing w:after="0" w:line="240" w:lineRule="auto"/>
        <w:jc w:val="both"/>
        <w:rPr>
          <w:rFonts w:cs="Arial"/>
        </w:rPr>
      </w:pPr>
      <w:r w:rsidRPr="00CD0FE9">
        <w:rPr>
          <w:rFonts w:cs="Arial"/>
          <w:b/>
          <w:i/>
        </w:rPr>
        <w:t xml:space="preserve">Directed to the Scientific Council </w:t>
      </w:r>
    </w:p>
    <w:p w14:paraId="1328B50B" w14:textId="77777777" w:rsidR="000F6BBB" w:rsidRPr="00CD0FE9" w:rsidRDefault="000F6BBB" w:rsidP="000F6BBB">
      <w:pPr>
        <w:spacing w:after="0" w:line="240" w:lineRule="auto"/>
        <w:jc w:val="both"/>
        <w:rPr>
          <w:rFonts w:cs="Arial"/>
        </w:rPr>
      </w:pPr>
    </w:p>
    <w:p w14:paraId="1BB619E0" w14:textId="77777777" w:rsidR="000F6BBB" w:rsidRDefault="000F6BBB" w:rsidP="000F6BBB">
      <w:pPr>
        <w:spacing w:after="0" w:line="240" w:lineRule="auto"/>
        <w:ind w:left="900" w:hanging="900"/>
        <w:jc w:val="both"/>
        <w:rPr>
          <w:rFonts w:eastAsia="Arial" w:cs="Arial"/>
        </w:rPr>
      </w:pPr>
      <w:r w:rsidRPr="00CD0FE9">
        <w:rPr>
          <w:rFonts w:cs="Arial"/>
        </w:rPr>
        <w:t>1</w:t>
      </w:r>
      <w:r>
        <w:rPr>
          <w:rFonts w:cs="Arial"/>
        </w:rPr>
        <w:t>5</w:t>
      </w:r>
      <w:r w:rsidRPr="00CD0FE9">
        <w:rPr>
          <w:rFonts w:cs="Arial"/>
        </w:rPr>
        <w:t>.</w:t>
      </w:r>
      <w:r>
        <w:rPr>
          <w:rFonts w:cs="Arial"/>
        </w:rPr>
        <w:t>AA</w:t>
      </w:r>
      <w:r w:rsidRPr="00CD0FE9">
        <w:rPr>
          <w:rFonts w:cs="Arial"/>
        </w:rPr>
        <w:tab/>
        <w:t xml:space="preserve">The Scientific Council </w:t>
      </w:r>
      <w:r>
        <w:rPr>
          <w:rFonts w:cs="Arial"/>
        </w:rPr>
        <w:t xml:space="preserve">is requested, </w:t>
      </w:r>
      <w:r w:rsidRPr="00DA01EE">
        <w:rPr>
          <w:rFonts w:eastAsia="Arial" w:cs="Arial"/>
        </w:rPr>
        <w:t>subject to the availability of resources</w:t>
      </w:r>
      <w:r>
        <w:rPr>
          <w:rFonts w:eastAsia="Arial" w:cs="Arial"/>
        </w:rPr>
        <w:t>, to:</w:t>
      </w:r>
    </w:p>
    <w:p w14:paraId="340B66AA" w14:textId="77777777" w:rsidR="000F6BBB" w:rsidRDefault="000F6BBB" w:rsidP="000F6BBB">
      <w:pPr>
        <w:spacing w:after="0" w:line="240" w:lineRule="auto"/>
        <w:ind w:left="851" w:hanging="851"/>
        <w:jc w:val="both"/>
        <w:rPr>
          <w:rFonts w:eastAsia="Arial" w:cs="Arial"/>
        </w:rPr>
      </w:pPr>
    </w:p>
    <w:p w14:paraId="346E5BC1" w14:textId="77777777" w:rsidR="000F6BBB" w:rsidRPr="00523324" w:rsidRDefault="000F6BBB" w:rsidP="000F6BBB">
      <w:pPr>
        <w:pStyle w:val="ListParagraph"/>
        <w:numPr>
          <w:ilvl w:val="0"/>
          <w:numId w:val="14"/>
        </w:numPr>
        <w:spacing w:after="0" w:line="240" w:lineRule="auto"/>
        <w:ind w:left="1440" w:hanging="540"/>
        <w:jc w:val="both"/>
        <w:rPr>
          <w:rFonts w:cs="Arial"/>
        </w:rPr>
      </w:pPr>
      <w:r w:rsidRPr="00236F7F">
        <w:rPr>
          <w:rFonts w:eastAsia="Arial" w:cs="Arial"/>
        </w:rPr>
        <w:t xml:space="preserve">actively engage in relevant scoping and review processes of </w:t>
      </w:r>
      <w:r>
        <w:rPr>
          <w:rFonts w:eastAsia="Arial" w:cs="Arial"/>
        </w:rPr>
        <w:t>ongoing and upcoming</w:t>
      </w:r>
      <w:r w:rsidRPr="00236F7F">
        <w:rPr>
          <w:rFonts w:eastAsia="Arial" w:cs="Arial"/>
        </w:rPr>
        <w:t xml:space="preserve"> IPBES assessments, </w:t>
      </w:r>
      <w:r>
        <w:rPr>
          <w:rFonts w:eastAsia="Arial" w:cs="Arial"/>
        </w:rPr>
        <w:t xml:space="preserve">with special focus on </w:t>
      </w:r>
      <w:r w:rsidRPr="00236F7F">
        <w:rPr>
          <w:rFonts w:eastAsia="Arial" w:cs="Arial"/>
        </w:rPr>
        <w:t xml:space="preserve">the </w:t>
      </w:r>
      <w:r>
        <w:rPr>
          <w:rFonts w:eastAsia="Arial" w:cs="Arial"/>
        </w:rPr>
        <w:t xml:space="preserve">methodological </w:t>
      </w:r>
      <w:r w:rsidRPr="00236F7F">
        <w:rPr>
          <w:rFonts w:eastAsia="Arial" w:cs="Arial"/>
        </w:rPr>
        <w:t>assessment of integrated biodiversity</w:t>
      </w:r>
      <w:r>
        <w:rPr>
          <w:rFonts w:eastAsia="Arial" w:cs="Arial"/>
        </w:rPr>
        <w:t>-</w:t>
      </w:r>
      <w:r w:rsidRPr="00236F7F">
        <w:rPr>
          <w:rFonts w:eastAsia="Arial" w:cs="Arial"/>
        </w:rPr>
        <w:t>inclusive spatial planning and ecological connectivity</w:t>
      </w:r>
      <w:r>
        <w:rPr>
          <w:rFonts w:eastAsia="Arial" w:cs="Arial"/>
        </w:rPr>
        <w:t>,</w:t>
      </w:r>
      <w:r w:rsidRPr="00236F7F">
        <w:rPr>
          <w:rFonts w:eastAsia="Arial" w:cs="Arial"/>
        </w:rPr>
        <w:t xml:space="preserve"> </w:t>
      </w:r>
      <w:r>
        <w:rPr>
          <w:rFonts w:eastAsia="Arial" w:cs="Arial"/>
        </w:rPr>
        <w:t>w</w:t>
      </w:r>
      <w:r w:rsidRPr="00236F7F">
        <w:rPr>
          <w:rFonts w:eastAsia="Arial" w:cs="Arial"/>
        </w:rPr>
        <w:t>ith a view to ensur</w:t>
      </w:r>
      <w:r>
        <w:rPr>
          <w:rFonts w:eastAsia="Arial" w:cs="Arial"/>
        </w:rPr>
        <w:t>ing</w:t>
      </w:r>
      <w:r w:rsidRPr="00236F7F">
        <w:rPr>
          <w:rFonts w:eastAsia="Arial" w:cs="Arial"/>
        </w:rPr>
        <w:t xml:space="preserve"> that CMS priority elements are </w:t>
      </w:r>
      <w:r>
        <w:rPr>
          <w:rFonts w:eastAsia="Arial" w:cs="Arial"/>
        </w:rPr>
        <w:t>raised</w:t>
      </w:r>
      <w:r w:rsidRPr="00236F7F">
        <w:rPr>
          <w:rFonts w:eastAsia="Arial" w:cs="Arial"/>
        </w:rPr>
        <w:t>;</w:t>
      </w:r>
      <w:r>
        <w:rPr>
          <w:rFonts w:eastAsia="Arial" w:cs="Arial"/>
        </w:rPr>
        <w:t xml:space="preserve"> and</w:t>
      </w:r>
    </w:p>
    <w:p w14:paraId="08C2C658" w14:textId="77777777" w:rsidR="000F6BBB" w:rsidRPr="00E04E7B" w:rsidRDefault="000F6BBB" w:rsidP="000F6BBB">
      <w:pPr>
        <w:pStyle w:val="ListParagraph"/>
        <w:spacing w:after="0" w:line="240" w:lineRule="auto"/>
        <w:ind w:left="1440" w:hanging="540"/>
        <w:jc w:val="both"/>
        <w:rPr>
          <w:rFonts w:cs="Arial"/>
        </w:rPr>
      </w:pPr>
    </w:p>
    <w:p w14:paraId="333FDF88" w14:textId="77777777" w:rsidR="000F6BBB" w:rsidRDefault="000F6BBB" w:rsidP="000F6BBB">
      <w:pPr>
        <w:pStyle w:val="ListParagraph"/>
        <w:numPr>
          <w:ilvl w:val="0"/>
          <w:numId w:val="14"/>
        </w:numPr>
        <w:spacing w:after="0" w:line="240" w:lineRule="auto"/>
        <w:ind w:left="1440" w:hanging="540"/>
        <w:jc w:val="both"/>
        <w:rPr>
          <w:rFonts w:cs="Arial"/>
        </w:rPr>
      </w:pPr>
      <w:r w:rsidRPr="00367B04">
        <w:rPr>
          <w:rFonts w:cs="Arial"/>
        </w:rPr>
        <w:t xml:space="preserve">review </w:t>
      </w:r>
      <w:r>
        <w:rPr>
          <w:rFonts w:cs="Arial"/>
        </w:rPr>
        <w:t xml:space="preserve">the scientific aspects of selected </w:t>
      </w:r>
      <w:r w:rsidRPr="00367B04">
        <w:rPr>
          <w:rFonts w:cs="Arial"/>
        </w:rPr>
        <w:t xml:space="preserve">IPBES assessments and </w:t>
      </w:r>
      <w:r>
        <w:rPr>
          <w:rFonts w:cs="Arial"/>
        </w:rPr>
        <w:t>make</w:t>
      </w:r>
      <w:r w:rsidRPr="00367B04">
        <w:rPr>
          <w:rFonts w:cs="Arial"/>
        </w:rPr>
        <w:t xml:space="preserve"> recommendations </w:t>
      </w:r>
      <w:r>
        <w:rPr>
          <w:rFonts w:cs="Arial"/>
        </w:rPr>
        <w:t xml:space="preserve">on </w:t>
      </w:r>
      <w:r w:rsidRPr="00367B04">
        <w:rPr>
          <w:rFonts w:cs="Arial"/>
        </w:rPr>
        <w:t>the</w:t>
      </w:r>
      <w:r>
        <w:rPr>
          <w:rFonts w:cs="Arial"/>
        </w:rPr>
        <w:t>ir relevance to the</w:t>
      </w:r>
      <w:r w:rsidRPr="00367B04">
        <w:rPr>
          <w:rFonts w:cs="Arial"/>
        </w:rPr>
        <w:t xml:space="preserve"> implementation of </w:t>
      </w:r>
      <w:r>
        <w:rPr>
          <w:rFonts w:cs="Arial"/>
        </w:rPr>
        <w:t xml:space="preserve">CMS </w:t>
      </w:r>
      <w:r w:rsidRPr="00367B04">
        <w:rPr>
          <w:rFonts w:cs="Arial"/>
        </w:rPr>
        <w:t>for consideration by the Conference of the Parties at its 16</w:t>
      </w:r>
      <w:r w:rsidRPr="0037474D">
        <w:rPr>
          <w:rFonts w:cs="Arial"/>
          <w:vertAlign w:val="superscript"/>
        </w:rPr>
        <w:t>th</w:t>
      </w:r>
      <w:r w:rsidRPr="00367B04">
        <w:rPr>
          <w:rFonts w:cs="Arial"/>
        </w:rPr>
        <w:t xml:space="preserve"> meeting.</w:t>
      </w:r>
    </w:p>
    <w:p w14:paraId="2A54ECD4" w14:textId="77777777" w:rsidR="000F6BBB" w:rsidRDefault="000F6BBB" w:rsidP="000F6BBB">
      <w:pPr>
        <w:spacing w:after="0" w:line="240" w:lineRule="auto"/>
        <w:jc w:val="both"/>
        <w:rPr>
          <w:rFonts w:cs="Arial"/>
          <w:b/>
          <w:i/>
        </w:rPr>
      </w:pPr>
    </w:p>
    <w:p w14:paraId="170E48F3" w14:textId="77777777" w:rsidR="000F6BBB" w:rsidRPr="00CD0FE9" w:rsidRDefault="000F6BBB" w:rsidP="000F6BBB">
      <w:pPr>
        <w:spacing w:after="0" w:line="240" w:lineRule="auto"/>
        <w:jc w:val="both"/>
        <w:rPr>
          <w:rFonts w:cs="Arial"/>
          <w:b/>
          <w:i/>
        </w:rPr>
      </w:pPr>
      <w:r w:rsidRPr="00CD0FE9">
        <w:rPr>
          <w:rFonts w:cs="Arial"/>
          <w:b/>
          <w:i/>
        </w:rPr>
        <w:t>Directed to the Secretariat</w:t>
      </w:r>
    </w:p>
    <w:p w14:paraId="1A115424" w14:textId="77777777" w:rsidR="000F6BBB" w:rsidRPr="00CD0FE9" w:rsidRDefault="000F6BBB" w:rsidP="000F6BBB">
      <w:pPr>
        <w:spacing w:after="0" w:line="240" w:lineRule="auto"/>
        <w:jc w:val="both"/>
        <w:rPr>
          <w:rFonts w:cs="Arial"/>
        </w:rPr>
      </w:pPr>
    </w:p>
    <w:p w14:paraId="25D5B5F5" w14:textId="77777777" w:rsidR="000F6BBB" w:rsidRPr="00CD0FE9" w:rsidRDefault="000F6BBB" w:rsidP="000F6BBB">
      <w:pPr>
        <w:spacing w:after="0" w:line="240" w:lineRule="auto"/>
        <w:ind w:left="900" w:hanging="900"/>
        <w:jc w:val="both"/>
        <w:rPr>
          <w:rFonts w:cs="Arial"/>
          <w:iCs/>
        </w:rPr>
      </w:pPr>
      <w:r w:rsidRPr="00CD0FE9">
        <w:rPr>
          <w:rFonts w:cs="Arial"/>
        </w:rPr>
        <w:t>1</w:t>
      </w:r>
      <w:r>
        <w:rPr>
          <w:rFonts w:cs="Arial"/>
        </w:rPr>
        <w:t>5</w:t>
      </w:r>
      <w:r w:rsidRPr="00CD0FE9">
        <w:rPr>
          <w:rFonts w:cs="Arial"/>
        </w:rPr>
        <w:t>.</w:t>
      </w:r>
      <w:r>
        <w:rPr>
          <w:rFonts w:cs="Arial"/>
        </w:rPr>
        <w:t>BB</w:t>
      </w:r>
      <w:r w:rsidRPr="00CD0FE9">
        <w:rPr>
          <w:rFonts w:cs="Arial"/>
        </w:rPr>
        <w:tab/>
        <w:t>The Secretariat shall</w:t>
      </w:r>
      <w:r>
        <w:rPr>
          <w:rFonts w:cs="Arial"/>
        </w:rPr>
        <w:t>,</w:t>
      </w:r>
      <w:r w:rsidRPr="00CD0FE9">
        <w:rPr>
          <w:rFonts w:cs="Arial"/>
        </w:rPr>
        <w:t xml:space="preserve"> subject to the availability of resources</w:t>
      </w:r>
      <w:r>
        <w:rPr>
          <w:rFonts w:cs="Arial"/>
        </w:rPr>
        <w:t>:</w:t>
      </w:r>
    </w:p>
    <w:p w14:paraId="12B2396B" w14:textId="77777777" w:rsidR="000F6BBB" w:rsidRPr="00CD0FE9" w:rsidRDefault="000F6BBB" w:rsidP="000F6BBB">
      <w:pPr>
        <w:spacing w:after="0" w:line="240" w:lineRule="auto"/>
        <w:ind w:left="720" w:hanging="720"/>
        <w:jc w:val="both"/>
        <w:rPr>
          <w:rFonts w:cs="Arial"/>
          <w:iCs/>
        </w:rPr>
      </w:pPr>
    </w:p>
    <w:p w14:paraId="5A51874D" w14:textId="77777777" w:rsidR="000F6BBB" w:rsidRDefault="000F6BBB" w:rsidP="000F6BBB">
      <w:pPr>
        <w:pStyle w:val="ListParagraph"/>
        <w:numPr>
          <w:ilvl w:val="0"/>
          <w:numId w:val="15"/>
        </w:numPr>
        <w:spacing w:after="0" w:line="240" w:lineRule="auto"/>
        <w:ind w:left="1440" w:hanging="540"/>
        <w:jc w:val="both"/>
        <w:rPr>
          <w:rFonts w:cs="Arial"/>
        </w:rPr>
      </w:pPr>
      <w:r w:rsidRPr="00FB03F3">
        <w:rPr>
          <w:rFonts w:cs="Arial"/>
        </w:rPr>
        <w:t>support the Scientific Council in implementing Decision 15.AA</w:t>
      </w:r>
      <w:r>
        <w:rPr>
          <w:rFonts w:cs="Arial"/>
        </w:rPr>
        <w:t>; and</w:t>
      </w:r>
    </w:p>
    <w:p w14:paraId="04C06F1E" w14:textId="77777777" w:rsidR="000F6BBB" w:rsidRDefault="000F6BBB" w:rsidP="000F6BBB">
      <w:pPr>
        <w:pStyle w:val="ListParagraph"/>
        <w:spacing w:after="0" w:line="240" w:lineRule="auto"/>
        <w:ind w:left="1440" w:hanging="540"/>
        <w:jc w:val="both"/>
        <w:rPr>
          <w:rFonts w:cs="Arial"/>
        </w:rPr>
      </w:pPr>
    </w:p>
    <w:p w14:paraId="657372B7" w14:textId="77777777" w:rsidR="000F6BBB" w:rsidRPr="00A3093C" w:rsidRDefault="000F6BBB" w:rsidP="000F6BBB">
      <w:pPr>
        <w:pStyle w:val="ListParagraph"/>
        <w:numPr>
          <w:ilvl w:val="0"/>
          <w:numId w:val="15"/>
        </w:numPr>
        <w:spacing w:after="0" w:line="240" w:lineRule="auto"/>
        <w:ind w:left="1440" w:hanging="540"/>
        <w:jc w:val="both"/>
        <w:rPr>
          <w:rFonts w:cs="Arial"/>
        </w:rPr>
      </w:pPr>
      <w:r w:rsidRPr="00A3093C">
        <w:rPr>
          <w:rFonts w:cs="Arial"/>
        </w:rPr>
        <w:t>engage with the IPBES Secretariat to further cooperate on issues of relevance to migratory species</w:t>
      </w:r>
      <w:r>
        <w:rPr>
          <w:rFonts w:cs="Arial"/>
        </w:rPr>
        <w:t>.</w:t>
      </w:r>
    </w:p>
    <w:p w14:paraId="2451616B" w14:textId="77777777" w:rsidR="000F6BBB" w:rsidRPr="000F6BBB" w:rsidRDefault="000F6BBB" w:rsidP="000F6BBB">
      <w:pPr>
        <w:pStyle w:val="Secondnumbering"/>
        <w:ind w:left="540"/>
        <w:jc w:val="both"/>
        <w:rPr>
          <w:rFonts w:cs="Arial"/>
          <w:lang w:val="en-US"/>
        </w:rPr>
      </w:pPr>
    </w:p>
    <w:sectPr w:rsidR="000F6BBB" w:rsidRPr="000F6BBB" w:rsidSect="00D93628">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2408" w14:textId="77777777" w:rsidR="008664D5" w:rsidRDefault="008664D5" w:rsidP="002E0DE9">
      <w:pPr>
        <w:spacing w:after="0" w:line="240" w:lineRule="auto"/>
      </w:pPr>
      <w:r>
        <w:separator/>
      </w:r>
    </w:p>
  </w:endnote>
  <w:endnote w:type="continuationSeparator" w:id="0">
    <w:p w14:paraId="6DD8EDD3" w14:textId="77777777" w:rsidR="008664D5" w:rsidRDefault="008664D5" w:rsidP="002E0DE9">
      <w:pPr>
        <w:spacing w:after="0" w:line="240" w:lineRule="auto"/>
      </w:pPr>
      <w:r>
        <w:continuationSeparator/>
      </w:r>
    </w:p>
  </w:endnote>
  <w:endnote w:type="continuationNotice" w:id="1">
    <w:p w14:paraId="4F22CC58" w14:textId="77777777" w:rsidR="008664D5" w:rsidRDefault="00866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2155"/>
      <w:docPartObj>
        <w:docPartGallery w:val="Page Numbers (Bottom of Page)"/>
        <w:docPartUnique/>
      </w:docPartObj>
    </w:sdtPr>
    <w:sdtEndPr>
      <w:rPr>
        <w:noProof/>
        <w:sz w:val="18"/>
        <w:szCs w:val="18"/>
      </w:rPr>
    </w:sdtEndPr>
    <w:sdtContent>
      <w:p w14:paraId="2823767B" w14:textId="6F997CA7" w:rsidR="000F6BBB" w:rsidRPr="000F6BBB" w:rsidRDefault="000F6BBB">
        <w:pPr>
          <w:pStyle w:val="Footer"/>
          <w:jc w:val="center"/>
          <w:rPr>
            <w:sz w:val="18"/>
            <w:szCs w:val="18"/>
          </w:rPr>
        </w:pPr>
        <w:r w:rsidRPr="000F6BBB">
          <w:rPr>
            <w:sz w:val="18"/>
            <w:szCs w:val="18"/>
          </w:rPr>
          <w:fldChar w:fldCharType="begin"/>
        </w:r>
        <w:r w:rsidRPr="000F6BBB">
          <w:rPr>
            <w:sz w:val="18"/>
            <w:szCs w:val="18"/>
          </w:rPr>
          <w:instrText xml:space="preserve"> PAGE   \* MERGEFORMAT </w:instrText>
        </w:r>
        <w:r w:rsidRPr="000F6BBB">
          <w:rPr>
            <w:sz w:val="18"/>
            <w:szCs w:val="18"/>
          </w:rPr>
          <w:fldChar w:fldCharType="separate"/>
        </w:r>
        <w:r w:rsidRPr="000F6BBB">
          <w:rPr>
            <w:noProof/>
            <w:sz w:val="18"/>
            <w:szCs w:val="18"/>
          </w:rPr>
          <w:t>2</w:t>
        </w:r>
        <w:r w:rsidRPr="000F6BB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F7B4" w14:textId="77777777" w:rsidR="008664D5" w:rsidRDefault="008664D5" w:rsidP="002E0DE9">
      <w:pPr>
        <w:spacing w:after="0" w:line="240" w:lineRule="auto"/>
      </w:pPr>
      <w:r>
        <w:separator/>
      </w:r>
    </w:p>
  </w:footnote>
  <w:footnote w:type="continuationSeparator" w:id="0">
    <w:p w14:paraId="759634B3" w14:textId="77777777" w:rsidR="008664D5" w:rsidRDefault="008664D5" w:rsidP="002E0DE9">
      <w:pPr>
        <w:spacing w:after="0" w:line="240" w:lineRule="auto"/>
      </w:pPr>
      <w:r>
        <w:continuationSeparator/>
      </w:r>
    </w:p>
  </w:footnote>
  <w:footnote w:type="continuationNotice" w:id="1">
    <w:p w14:paraId="64C7C90A" w14:textId="77777777" w:rsidR="008664D5" w:rsidRDefault="00866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637AD22"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0F6BBB">
      <w:rPr>
        <w:rFonts w:eastAsia="Times New Roman" w:cs="Arial"/>
        <w:i/>
        <w:sz w:val="18"/>
        <w:szCs w:val="18"/>
        <w:lang w:val="en-GB"/>
      </w:rPr>
      <w:t>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BFE4CD4" w:rsidR="002E0DE9" w:rsidRPr="002E0DE9" w:rsidRDefault="002E0DE9" w:rsidP="00842B75">
    <w:pPr>
      <w:pStyle w:val="Header"/>
      <w:pBdr>
        <w:bottom w:val="single" w:sz="4" w:space="1" w:color="auto"/>
      </w:pBdr>
      <w:jc w:val="right"/>
      <w:rPr>
        <w:i/>
        <w:sz w:val="18"/>
        <w:szCs w:val="18"/>
      </w:rPr>
    </w:pPr>
    <w:r w:rsidRPr="000F6BBB">
      <w:rPr>
        <w:rFonts w:eastAsia="Times New Roman" w:cs="Arial"/>
        <w:i/>
        <w:sz w:val="18"/>
        <w:szCs w:val="18"/>
        <w:lang w:val="en-GB"/>
      </w:rPr>
      <w:t>UNEP/CMS/COP1</w:t>
    </w:r>
    <w:r w:rsidR="006A689A" w:rsidRPr="000F6BBB">
      <w:rPr>
        <w:rFonts w:eastAsia="Times New Roman" w:cs="Arial"/>
        <w:i/>
        <w:sz w:val="18"/>
        <w:szCs w:val="18"/>
        <w:lang w:val="en-GB"/>
      </w:rPr>
      <w:t>5</w:t>
    </w:r>
    <w:r w:rsidRPr="000F6BBB">
      <w:rPr>
        <w:rFonts w:eastAsia="Times New Roman" w:cs="Arial"/>
        <w:i/>
        <w:sz w:val="18"/>
        <w:szCs w:val="18"/>
        <w:lang w:val="en-GB"/>
      </w:rPr>
      <w:t>/</w:t>
    </w:r>
    <w:r w:rsidR="006A7DC4" w:rsidRPr="000F6BBB">
      <w:rPr>
        <w:rFonts w:eastAsia="Times New Roman" w:cs="Arial"/>
        <w:i/>
        <w:sz w:val="18"/>
        <w:szCs w:val="18"/>
        <w:lang w:val="en-GB"/>
      </w:rPr>
      <w:t>Doc.</w:t>
    </w:r>
    <w:r w:rsidR="000F6BBB">
      <w:rPr>
        <w:rFonts w:eastAsia="Times New Roman" w:cs="Arial"/>
        <w:i/>
        <w:sz w:val="18"/>
        <w:szCs w:val="18"/>
        <w:lang w:val="en-GB"/>
      </w:rPr>
      <w:t>18.2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B8C" w14:textId="5231940F" w:rsidR="000F6BBB" w:rsidRPr="000F6BBB" w:rsidRDefault="000F6BBB" w:rsidP="000F6BBB">
    <w:pPr>
      <w:pStyle w:val="Header"/>
      <w:pBdr>
        <w:bottom w:val="single" w:sz="4" w:space="1" w:color="auto"/>
      </w:pBdr>
      <w:jc w:val="right"/>
      <w:rPr>
        <w:i/>
        <w:sz w:val="18"/>
        <w:szCs w:val="18"/>
        <w:lang w:val="fr-FR"/>
      </w:rPr>
    </w:pPr>
    <w:r w:rsidRPr="000F6BBB">
      <w:rPr>
        <w:rFonts w:eastAsia="Times New Roman" w:cs="Arial"/>
        <w:i/>
        <w:sz w:val="18"/>
        <w:szCs w:val="18"/>
        <w:lang w:val="fr-FR"/>
      </w:rPr>
      <w:t>UNEP/CMS/COP15/Doc.18.2/A</w:t>
    </w:r>
    <w:r>
      <w:rPr>
        <w:rFonts w:eastAsia="Times New Roman" w:cs="Arial"/>
        <w:i/>
        <w:sz w:val="18"/>
        <w:szCs w:val="18"/>
        <w:lang w:val="fr-FR"/>
      </w:rPr>
      <w:t>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4"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23F83"/>
    <w:multiLevelType w:val="hybridMultilevel"/>
    <w:tmpl w:val="52805290"/>
    <w:lvl w:ilvl="0" w:tplc="C64A8680">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113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1"/>
  </w:num>
  <w:num w:numId="3" w16cid:durableId="1569996155">
    <w:abstractNumId w:val="0"/>
  </w:num>
  <w:num w:numId="4" w16cid:durableId="50371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5"/>
  </w:num>
  <w:num w:numId="8" w16cid:durableId="657730385">
    <w:abstractNumId w:val="14"/>
  </w:num>
  <w:num w:numId="9" w16cid:durableId="1150515762">
    <w:abstractNumId w:val="8"/>
  </w:num>
  <w:num w:numId="10" w16cid:durableId="627323914">
    <w:abstractNumId w:val="2"/>
  </w:num>
  <w:num w:numId="11" w16cid:durableId="235171476">
    <w:abstractNumId w:val="1"/>
  </w:num>
  <w:num w:numId="12" w16cid:durableId="616719271">
    <w:abstractNumId w:val="10"/>
  </w:num>
  <w:num w:numId="13" w16cid:durableId="1071387366">
    <w:abstractNumId w:val="4"/>
  </w:num>
  <w:num w:numId="14" w16cid:durableId="628125219">
    <w:abstractNumId w:val="3"/>
  </w:num>
  <w:num w:numId="15" w16cid:durableId="886835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0F6BBB"/>
    <w:rsid w:val="00103C7C"/>
    <w:rsid w:val="00137609"/>
    <w:rsid w:val="00177179"/>
    <w:rsid w:val="00184004"/>
    <w:rsid w:val="00184287"/>
    <w:rsid w:val="00190ADA"/>
    <w:rsid w:val="001C6C56"/>
    <w:rsid w:val="002326AB"/>
    <w:rsid w:val="00235010"/>
    <w:rsid w:val="00237692"/>
    <w:rsid w:val="00254906"/>
    <w:rsid w:val="00284272"/>
    <w:rsid w:val="00284880"/>
    <w:rsid w:val="002B2806"/>
    <w:rsid w:val="002E0DE9"/>
    <w:rsid w:val="002E6A7D"/>
    <w:rsid w:val="00327666"/>
    <w:rsid w:val="00331D38"/>
    <w:rsid w:val="0035024E"/>
    <w:rsid w:val="003669FF"/>
    <w:rsid w:val="003C569E"/>
    <w:rsid w:val="003C7C2C"/>
    <w:rsid w:val="003E78F2"/>
    <w:rsid w:val="0040663F"/>
    <w:rsid w:val="0040723D"/>
    <w:rsid w:val="00431FE3"/>
    <w:rsid w:val="00434BDA"/>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704FB"/>
    <w:rsid w:val="00682891"/>
    <w:rsid w:val="006867A3"/>
    <w:rsid w:val="006A689A"/>
    <w:rsid w:val="006A7DC4"/>
    <w:rsid w:val="006C0316"/>
    <w:rsid w:val="006D2054"/>
    <w:rsid w:val="00704E4A"/>
    <w:rsid w:val="0071181A"/>
    <w:rsid w:val="007259EC"/>
    <w:rsid w:val="00727B7F"/>
    <w:rsid w:val="0073233F"/>
    <w:rsid w:val="0078696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93363"/>
    <w:rsid w:val="00AB4A60"/>
    <w:rsid w:val="00AD4F4C"/>
    <w:rsid w:val="00AF63ED"/>
    <w:rsid w:val="00B06B0D"/>
    <w:rsid w:val="00B07460"/>
    <w:rsid w:val="00B2055E"/>
    <w:rsid w:val="00B32979"/>
    <w:rsid w:val="00B33183"/>
    <w:rsid w:val="00B4546D"/>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83057"/>
    <w:rsid w:val="00C974A1"/>
    <w:rsid w:val="00CC20D1"/>
    <w:rsid w:val="00CC3F4F"/>
    <w:rsid w:val="00CD27A9"/>
    <w:rsid w:val="00CD51CC"/>
    <w:rsid w:val="00CF5D3B"/>
    <w:rsid w:val="00D1567A"/>
    <w:rsid w:val="00D31A58"/>
    <w:rsid w:val="00D40160"/>
    <w:rsid w:val="00D418E6"/>
    <w:rsid w:val="00D4691A"/>
    <w:rsid w:val="00D61BE5"/>
    <w:rsid w:val="00D62FDB"/>
    <w:rsid w:val="00D66DB0"/>
    <w:rsid w:val="00D8210B"/>
    <w:rsid w:val="00D93628"/>
    <w:rsid w:val="00DD4314"/>
    <w:rsid w:val="00DD57DD"/>
    <w:rsid w:val="00DE481B"/>
    <w:rsid w:val="00E4182C"/>
    <w:rsid w:val="00E56C45"/>
    <w:rsid w:val="00E77D51"/>
    <w:rsid w:val="00EB3205"/>
    <w:rsid w:val="00EB5FA1"/>
    <w:rsid w:val="00F071CF"/>
    <w:rsid w:val="00F166B9"/>
    <w:rsid w:val="00F231E8"/>
    <w:rsid w:val="00F26BA0"/>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727B7F"/>
    <w:pPr>
      <w:spacing w:after="0" w:line="240" w:lineRule="auto"/>
    </w:pPr>
    <w:rPr>
      <w:lang w:val="en-GB"/>
    </w:rPr>
  </w:style>
  <w:style w:type="character" w:customStyle="1" w:styleId="ListParagraphChar">
    <w:name w:val="List Paragraph Char"/>
    <w:basedOn w:val="DefaultParagraphFont"/>
    <w:link w:val="ListParagraph"/>
    <w:uiPriority w:val="34"/>
    <w:rsid w:val="00727B7F"/>
  </w:style>
  <w:style w:type="character" w:customStyle="1" w:styleId="SecondnumberingChar">
    <w:name w:val="Second numbering Char"/>
    <w:basedOn w:val="DefaultParagraphFont"/>
    <w:link w:val="Secondnumbering"/>
    <w:rsid w:val="00727B7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news/2024019-ipbes-spatial-planning-assessment-call-offers-host-technical-support-un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pbes.net/spatial-planning-assess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pbes.net/second-global-assess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pbes.net/spatial-planning-assess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news/2024023-call-nominations-ipbes-methodological-assessment-integrated-biodiversity-inclusive"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DBF1102-0BD1-488F-830B-47DE3C9E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2025-11-03T10:15:00Z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