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D80B0B"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28443BEE"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D80B0B">
              <w:rPr>
                <w:rFonts w:eastAsia="Arial" w:cs="Arial"/>
                <w:lang w:val="fr-FR"/>
              </w:rPr>
              <w:t>17</w:t>
            </w:r>
          </w:p>
          <w:p w14:paraId="51739494" w14:textId="24AC321B" w:rsidR="00EC2A58" w:rsidRPr="00AF3AEC" w:rsidRDefault="00D80B0B"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26 novembre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7C0FA6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80B0B">
        <w:rPr>
          <w:rFonts w:eastAsia="Arial" w:cs="Arial"/>
          <w:iCs/>
          <w:lang w:val="fr-FR"/>
        </w:rPr>
        <w:t>17</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A40A786" w14:textId="7B4702AD" w:rsidR="00D80B0B" w:rsidRPr="00D80B0B" w:rsidRDefault="00D80B0B" w:rsidP="00D80B0B">
      <w:pPr>
        <w:widowControl w:val="0"/>
        <w:suppressAutoHyphens/>
        <w:autoSpaceDE w:val="0"/>
        <w:autoSpaceDN w:val="0"/>
        <w:spacing w:after="120"/>
        <w:jc w:val="center"/>
        <w:textAlignment w:val="baseline"/>
        <w:rPr>
          <w:rFonts w:eastAsia="Times New Roman" w:cs="Arial"/>
          <w:b/>
          <w:bCs/>
          <w:lang w:val="fr-FR"/>
        </w:rPr>
      </w:pPr>
      <w:r w:rsidRPr="00507F9F">
        <w:rPr>
          <w:rFonts w:eastAsia="Times New Roman" w:cs="Arial"/>
          <w:b/>
          <w:bCs/>
          <w:lang w:val="fr-FR"/>
        </w:rPr>
        <w:t>ÉLECTION DES PARTIES AU COMITÉ PERMANEN</w:t>
      </w:r>
      <w:r>
        <w:rPr>
          <w:rFonts w:eastAsia="Times New Roman" w:cs="Arial"/>
          <w:b/>
          <w:bCs/>
          <w:lang w:val="fr-FR"/>
        </w:rPr>
        <w:t>T</w:t>
      </w:r>
    </w:p>
    <w:p w14:paraId="0AB80070" w14:textId="59206146"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0F0DCD3C" w14:textId="2A18E720" w:rsidR="00D80B0B" w:rsidRPr="00533E73" w:rsidRDefault="00D80B0B" w:rsidP="00D80B0B">
                            <w:pPr>
                              <w:jc w:val="both"/>
                              <w:rPr>
                                <w:rFonts w:cs="Arial"/>
                                <w:lang w:val="fr-FR"/>
                              </w:rPr>
                            </w:pPr>
                            <w:r>
                              <w:rPr>
                                <w:rFonts w:cs="Arial"/>
                                <w:lang w:val="fr-FR"/>
                              </w:rPr>
                              <w:t xml:space="preserve">Conformément à la Résolution 9.15 </w:t>
                            </w:r>
                            <w:r w:rsidRPr="00D80B0B">
                              <w:rPr>
                                <w:rFonts w:cs="Arial"/>
                                <w:i/>
                                <w:iCs/>
                                <w:lang w:val="fr-FR"/>
                              </w:rPr>
                              <w:t>Composition et organisation du Comité Permanent</w:t>
                            </w:r>
                            <w:r>
                              <w:rPr>
                                <w:rFonts w:cs="Arial"/>
                                <w:lang w:val="fr-FR"/>
                              </w:rPr>
                              <w:t xml:space="preserve">, le Secrétariat a préparé des orientations pour les Parties concernant l'élection des représentants et suppléants régionaux du Comité Permanent. </w:t>
                            </w:r>
                          </w:p>
                          <w:p w14:paraId="76DCC8BC" w14:textId="77777777" w:rsidR="00D80B0B" w:rsidRDefault="00D80B0B"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0F0DCD3C" w14:textId="2A18E720" w:rsidR="00D80B0B" w:rsidRPr="00533E73" w:rsidRDefault="00D80B0B" w:rsidP="00D80B0B">
                      <w:pPr>
                        <w:jc w:val="both"/>
                        <w:rPr>
                          <w:rFonts w:cs="Arial"/>
                          <w:lang w:val="fr-FR"/>
                        </w:rPr>
                      </w:pPr>
                      <w:r>
                        <w:rPr>
                          <w:rFonts w:cs="Arial"/>
                          <w:lang w:val="fr-FR"/>
                        </w:rPr>
                        <w:t xml:space="preserve">Conformément à la Résolution 9.15 </w:t>
                      </w:r>
                      <w:r w:rsidRPr="00D80B0B">
                        <w:rPr>
                          <w:rFonts w:cs="Arial"/>
                          <w:i/>
                          <w:iCs/>
                          <w:lang w:val="fr-FR"/>
                        </w:rPr>
                        <w:t>Composition et organisation du Comité Permanent</w:t>
                      </w:r>
                      <w:r>
                        <w:rPr>
                          <w:rFonts w:cs="Arial"/>
                          <w:lang w:val="fr-FR"/>
                        </w:rPr>
                        <w:t xml:space="preserve">, le Secrétariat a préparé des orientations pour les Parties concernant l'élection des représentants et suppléants régionaux du Comité Permanent. </w:t>
                      </w:r>
                    </w:p>
                    <w:p w14:paraId="76DCC8BC" w14:textId="77777777" w:rsidR="00D80B0B" w:rsidRDefault="00D80B0B"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55973400" w14:textId="77777777" w:rsidR="00D80B0B" w:rsidRPr="00D80B0B" w:rsidRDefault="00D80B0B" w:rsidP="00E25A3E">
      <w:pPr>
        <w:widowControl w:val="0"/>
        <w:suppressAutoHyphens/>
        <w:autoSpaceDE w:val="0"/>
        <w:autoSpaceDN w:val="0"/>
        <w:spacing w:after="0" w:line="240" w:lineRule="auto"/>
        <w:jc w:val="center"/>
        <w:textAlignment w:val="baseline"/>
        <w:rPr>
          <w:rFonts w:eastAsia="Times New Roman" w:cs="Arial"/>
          <w:b/>
          <w:bCs/>
          <w:lang w:val="fr-FR"/>
        </w:rPr>
      </w:pPr>
      <w:r w:rsidRPr="00507F9F">
        <w:rPr>
          <w:rFonts w:eastAsia="Times New Roman" w:cs="Arial"/>
          <w:b/>
          <w:bCs/>
          <w:lang w:val="fr-FR"/>
        </w:rPr>
        <w:lastRenderedPageBreak/>
        <w:t>ÉLECTION DES PARTIES AU COMITÉ PERMANEN</w:t>
      </w:r>
      <w:r>
        <w:rPr>
          <w:rFonts w:eastAsia="Times New Roman" w:cs="Arial"/>
          <w:b/>
          <w:bCs/>
          <w:lang w:val="fr-FR"/>
        </w:rPr>
        <w:t>T</w:t>
      </w:r>
    </w:p>
    <w:p w14:paraId="2B8D0997" w14:textId="77777777" w:rsidR="00EC2A58" w:rsidRDefault="00EC2A58" w:rsidP="00EC2A58">
      <w:pPr>
        <w:spacing w:after="0" w:line="240" w:lineRule="auto"/>
        <w:rPr>
          <w:lang w:val="fr-FR"/>
        </w:rPr>
      </w:pPr>
    </w:p>
    <w:p w14:paraId="20B5D076" w14:textId="77777777" w:rsidR="004F2FBF" w:rsidRPr="00EC2A58" w:rsidRDefault="004F2FBF" w:rsidP="00EC2A58">
      <w:pPr>
        <w:spacing w:after="0" w:line="240" w:lineRule="auto"/>
        <w:rPr>
          <w:lang w:val="fr-FR"/>
        </w:rPr>
      </w:pPr>
    </w:p>
    <w:p w14:paraId="4A390939" w14:textId="02770F53" w:rsidR="00D80B0B" w:rsidRDefault="00D80B0B" w:rsidP="00D80B0B">
      <w:pPr>
        <w:pStyle w:val="ListParagraph"/>
        <w:numPr>
          <w:ilvl w:val="0"/>
          <w:numId w:val="2"/>
        </w:numPr>
        <w:spacing w:after="0" w:line="240" w:lineRule="auto"/>
        <w:ind w:left="567" w:hanging="567"/>
        <w:jc w:val="both"/>
        <w:rPr>
          <w:lang w:val="fr-FR"/>
        </w:rPr>
      </w:pPr>
      <w:r w:rsidRPr="00507F9F">
        <w:rPr>
          <w:lang w:val="fr-FR"/>
        </w:rPr>
        <w:t>Le Secrétariat a préparé la présente note pour aider les Parties dans leurs délibérations concernant l'élection des membres du Comité Permanent (</w:t>
      </w:r>
      <w:proofErr w:type="spellStart"/>
      <w:r w:rsidRPr="00507F9F">
        <w:rPr>
          <w:lang w:val="fr-FR"/>
        </w:rPr>
        <w:t>StC</w:t>
      </w:r>
      <w:proofErr w:type="spellEnd"/>
      <w:r w:rsidRPr="00507F9F">
        <w:rPr>
          <w:lang w:val="fr-FR"/>
        </w:rPr>
        <w:t>) pour la période allant de la clôture de la 1</w:t>
      </w:r>
      <w:r>
        <w:rPr>
          <w:lang w:val="fr-FR"/>
        </w:rPr>
        <w:t>5</w:t>
      </w:r>
      <w:r w:rsidRPr="00507F9F">
        <w:rPr>
          <w:lang w:val="fr-FR"/>
        </w:rPr>
        <w:t>e réunion à la clôture de la 1</w:t>
      </w:r>
      <w:r>
        <w:rPr>
          <w:lang w:val="fr-FR"/>
        </w:rPr>
        <w:t>6</w:t>
      </w:r>
      <w:r w:rsidRPr="00507F9F">
        <w:rPr>
          <w:lang w:val="fr-FR"/>
        </w:rPr>
        <w:t xml:space="preserve">e réunion de la Conférence des Parties (COP).  </w:t>
      </w:r>
    </w:p>
    <w:p w14:paraId="3FF7922C" w14:textId="77777777" w:rsidR="00D80B0B" w:rsidRPr="00507F9F" w:rsidRDefault="00D80B0B" w:rsidP="00D80B0B">
      <w:pPr>
        <w:pStyle w:val="ListParagraph"/>
        <w:spacing w:after="0" w:line="240" w:lineRule="auto"/>
        <w:ind w:left="567"/>
        <w:jc w:val="both"/>
        <w:rPr>
          <w:lang w:val="fr-FR"/>
        </w:rPr>
      </w:pPr>
    </w:p>
    <w:p w14:paraId="2F1316EE" w14:textId="77777777" w:rsidR="00D80B0B" w:rsidRPr="00507F9F" w:rsidRDefault="00D80B0B" w:rsidP="00D80B0B">
      <w:pPr>
        <w:pStyle w:val="ListParagraph"/>
        <w:numPr>
          <w:ilvl w:val="0"/>
          <w:numId w:val="2"/>
        </w:numPr>
        <w:spacing w:after="0" w:line="240" w:lineRule="auto"/>
        <w:ind w:left="567" w:hanging="567"/>
        <w:jc w:val="both"/>
        <w:rPr>
          <w:lang w:val="fr-FR"/>
        </w:rPr>
      </w:pPr>
      <w:r w:rsidRPr="00507F9F">
        <w:rPr>
          <w:rFonts w:cs="Arial"/>
          <w:lang w:val="fr-FR"/>
        </w:rPr>
        <w:t xml:space="preserve">La </w:t>
      </w:r>
      <w:r>
        <w:rPr>
          <w:rFonts w:cs="Arial"/>
          <w:lang w:val="fr-FR"/>
        </w:rPr>
        <w:t>R</w:t>
      </w:r>
      <w:r w:rsidRPr="00507F9F">
        <w:rPr>
          <w:rFonts w:cs="Arial"/>
          <w:lang w:val="fr-FR"/>
        </w:rPr>
        <w:t>ésolution 9.15 décrit la composition et l'organisation du Comité Permanent. Au paragraphe 2(k), il est indiqué que « [l]</w:t>
      </w:r>
      <w:r w:rsidRPr="00507F9F">
        <w:rPr>
          <w:lang w:val="fr-FR"/>
        </w:rPr>
        <w:t xml:space="preserve">e Comité est renouvelé lors de chaque session ordinaire de la Conférence des Parties ».  </w:t>
      </w:r>
      <w:r w:rsidRPr="00507F9F">
        <w:rPr>
          <w:rFonts w:cs="Arial"/>
          <w:lang w:val="fr-FR"/>
        </w:rPr>
        <w:t xml:space="preserve">En ce qui concerne la composition, la résolution dispose ce qui suit :    </w:t>
      </w:r>
    </w:p>
    <w:p w14:paraId="0A6378CA" w14:textId="77777777" w:rsidR="00D80B0B" w:rsidRPr="00507F9F" w:rsidRDefault="00D80B0B" w:rsidP="00D80B0B">
      <w:pPr>
        <w:ind w:left="360"/>
        <w:contextualSpacing/>
        <w:jc w:val="both"/>
        <w:rPr>
          <w:rFonts w:cs="Arial"/>
          <w:i/>
          <w:lang w:val="fr-FR"/>
        </w:rPr>
      </w:pPr>
    </w:p>
    <w:p w14:paraId="78AD2C37" w14:textId="3FAC533B" w:rsidR="00D80B0B" w:rsidRDefault="00D80B0B" w:rsidP="00D80B0B">
      <w:pPr>
        <w:spacing w:after="0" w:line="240" w:lineRule="auto"/>
        <w:ind w:left="1418" w:hanging="567"/>
        <w:jc w:val="both"/>
        <w:rPr>
          <w:rFonts w:cs="Arial"/>
          <w:i/>
          <w:sz w:val="20"/>
          <w:szCs w:val="20"/>
          <w:lang w:val="fr-FR"/>
        </w:rPr>
      </w:pPr>
      <w:r w:rsidRPr="009E77FB">
        <w:rPr>
          <w:rFonts w:cs="Arial"/>
          <w:i/>
          <w:sz w:val="20"/>
          <w:szCs w:val="20"/>
          <w:lang w:val="fr-FR"/>
        </w:rPr>
        <w:t>“2</w:t>
      </w:r>
      <w:r>
        <w:rPr>
          <w:rFonts w:cs="Arial"/>
          <w:i/>
          <w:sz w:val="20"/>
          <w:szCs w:val="20"/>
          <w:lang w:val="fr-FR"/>
        </w:rPr>
        <w:t>(a)</w:t>
      </w:r>
      <w:r w:rsidRPr="009E77FB">
        <w:rPr>
          <w:rFonts w:cs="Arial"/>
          <w:i/>
          <w:sz w:val="20"/>
          <w:szCs w:val="20"/>
          <w:lang w:val="fr-FR"/>
        </w:rPr>
        <w:t>.</w:t>
      </w:r>
      <w:r>
        <w:rPr>
          <w:rFonts w:cs="Arial"/>
          <w:i/>
          <w:sz w:val="20"/>
          <w:szCs w:val="20"/>
          <w:lang w:val="fr-FR"/>
        </w:rPr>
        <w:tab/>
      </w:r>
      <w:r w:rsidRPr="009E77FB">
        <w:rPr>
          <w:rFonts w:cs="Arial"/>
          <w:i/>
          <w:sz w:val="20"/>
          <w:szCs w:val="20"/>
          <w:lang w:val="fr-FR"/>
        </w:rPr>
        <w:t>La composition du Comité Permanent est arrêtée lors de chacune des réunions de la Conférence des Parties conformément aux règles de procédure de la Conférence (voir également 2 (1) ci-dessous)</w:t>
      </w:r>
      <w:r w:rsidR="00EB52AF">
        <w:rPr>
          <w:rStyle w:val="FootnoteReference"/>
          <w:i/>
          <w:sz w:val="20"/>
          <w:szCs w:val="20"/>
          <w:lang w:val="fr-FR"/>
        </w:rPr>
        <w:footnoteReference w:id="1"/>
      </w:r>
      <w:r w:rsidRPr="009E77FB">
        <w:rPr>
          <w:rFonts w:cs="Arial"/>
          <w:i/>
          <w:sz w:val="20"/>
          <w:szCs w:val="20"/>
          <w:lang w:val="fr-FR"/>
        </w:rPr>
        <w:t xml:space="preserve"> et comprend: </w:t>
      </w:r>
    </w:p>
    <w:p w14:paraId="46315FFC" w14:textId="77777777" w:rsidR="00D80B0B" w:rsidRPr="009E77FB" w:rsidRDefault="00D80B0B" w:rsidP="00D80B0B">
      <w:pPr>
        <w:spacing w:after="0" w:line="240" w:lineRule="auto"/>
        <w:ind w:left="1418" w:hanging="567"/>
        <w:jc w:val="both"/>
        <w:rPr>
          <w:rFonts w:cs="Arial"/>
          <w:i/>
          <w:sz w:val="20"/>
          <w:szCs w:val="20"/>
          <w:lang w:val="fr-FR"/>
        </w:rPr>
      </w:pPr>
    </w:p>
    <w:p w14:paraId="0353D2C7" w14:textId="56567A98" w:rsidR="00D80B0B" w:rsidRDefault="00D80B0B" w:rsidP="00D80B0B">
      <w:pPr>
        <w:widowControl w:val="0"/>
        <w:numPr>
          <w:ilvl w:val="0"/>
          <w:numId w:val="3"/>
        </w:numPr>
        <w:autoSpaceDE w:val="0"/>
        <w:autoSpaceDN w:val="0"/>
        <w:adjustRightInd w:val="0"/>
        <w:spacing w:after="0" w:line="240" w:lineRule="auto"/>
        <w:ind w:left="1701" w:hanging="283"/>
        <w:jc w:val="both"/>
        <w:rPr>
          <w:rFonts w:cs="Arial"/>
          <w:i/>
          <w:sz w:val="20"/>
          <w:szCs w:val="20"/>
          <w:lang w:val="fr-FR"/>
        </w:rPr>
      </w:pPr>
      <w:r w:rsidRPr="009E77FB">
        <w:rPr>
          <w:rFonts w:cs="Arial"/>
          <w:i/>
          <w:sz w:val="20"/>
          <w:szCs w:val="20"/>
          <w:lang w:val="fr-FR"/>
        </w:rPr>
        <w:t xml:space="preserve">trois </w:t>
      </w:r>
      <w:r>
        <w:rPr>
          <w:rFonts w:cs="Arial"/>
          <w:i/>
          <w:sz w:val="20"/>
          <w:szCs w:val="20"/>
          <w:lang w:val="fr-FR"/>
        </w:rPr>
        <w:t>P</w:t>
      </w:r>
      <w:r w:rsidRPr="009E77FB">
        <w:rPr>
          <w:rFonts w:cs="Arial"/>
          <w:i/>
          <w:sz w:val="20"/>
          <w:szCs w:val="20"/>
          <w:lang w:val="fr-FR"/>
        </w:rPr>
        <w:t xml:space="preserve">arties élues de chacune des régions géographiques (a) l’Afrique et (b) l’Europe; </w:t>
      </w:r>
    </w:p>
    <w:p w14:paraId="72CFC653" w14:textId="77777777" w:rsidR="00D80B0B" w:rsidRPr="00D80B0B" w:rsidRDefault="00D80B0B" w:rsidP="00D80B0B">
      <w:pPr>
        <w:widowControl w:val="0"/>
        <w:autoSpaceDE w:val="0"/>
        <w:autoSpaceDN w:val="0"/>
        <w:adjustRightInd w:val="0"/>
        <w:spacing w:after="0" w:line="240" w:lineRule="auto"/>
        <w:ind w:left="1701"/>
        <w:jc w:val="both"/>
        <w:rPr>
          <w:rFonts w:cs="Arial"/>
          <w:i/>
          <w:sz w:val="20"/>
          <w:szCs w:val="20"/>
          <w:lang w:val="fr-FR"/>
        </w:rPr>
      </w:pPr>
    </w:p>
    <w:p w14:paraId="7665680A" w14:textId="77C81762" w:rsidR="00D80B0B" w:rsidRDefault="00D80B0B" w:rsidP="00D80B0B">
      <w:pPr>
        <w:widowControl w:val="0"/>
        <w:numPr>
          <w:ilvl w:val="0"/>
          <w:numId w:val="3"/>
        </w:numPr>
        <w:autoSpaceDE w:val="0"/>
        <w:autoSpaceDN w:val="0"/>
        <w:adjustRightInd w:val="0"/>
        <w:spacing w:after="0" w:line="240" w:lineRule="auto"/>
        <w:ind w:left="1701" w:hanging="283"/>
        <w:jc w:val="both"/>
        <w:rPr>
          <w:rFonts w:cs="Arial"/>
          <w:i/>
          <w:sz w:val="20"/>
          <w:szCs w:val="20"/>
          <w:lang w:val="fr-FR"/>
        </w:rPr>
      </w:pPr>
      <w:r w:rsidRPr="009E77FB">
        <w:rPr>
          <w:rFonts w:cs="Arial"/>
          <w:i/>
          <w:sz w:val="20"/>
          <w:szCs w:val="20"/>
          <w:lang w:val="fr-FR"/>
        </w:rPr>
        <w:t xml:space="preserve">deux </w:t>
      </w:r>
      <w:r>
        <w:rPr>
          <w:rFonts w:cs="Arial"/>
          <w:i/>
          <w:sz w:val="20"/>
          <w:szCs w:val="20"/>
          <w:lang w:val="fr-FR"/>
        </w:rPr>
        <w:t>P</w:t>
      </w:r>
      <w:r w:rsidRPr="009E77FB">
        <w:rPr>
          <w:rFonts w:cs="Arial"/>
          <w:i/>
          <w:sz w:val="20"/>
          <w:szCs w:val="20"/>
          <w:lang w:val="fr-FR"/>
        </w:rPr>
        <w:t>arties élues de chacune des régions géographiques (a) l’Asie et (b) l’Amérique du Sud, l’Amérique Centrale et les Caraïbe</w:t>
      </w:r>
      <w:r>
        <w:rPr>
          <w:rFonts w:cs="Arial"/>
          <w:i/>
          <w:sz w:val="20"/>
          <w:szCs w:val="20"/>
          <w:lang w:val="fr-FR"/>
        </w:rPr>
        <w:t>s</w:t>
      </w:r>
      <w:r w:rsidRPr="009E77FB">
        <w:rPr>
          <w:rFonts w:cs="Arial"/>
          <w:i/>
          <w:sz w:val="20"/>
          <w:szCs w:val="20"/>
          <w:lang w:val="fr-FR"/>
        </w:rPr>
        <w:t xml:space="preserve">; </w:t>
      </w:r>
    </w:p>
    <w:p w14:paraId="7BBEF808" w14:textId="77777777" w:rsidR="00D80B0B" w:rsidRPr="00D80B0B" w:rsidRDefault="00D80B0B" w:rsidP="00D80B0B">
      <w:pPr>
        <w:widowControl w:val="0"/>
        <w:autoSpaceDE w:val="0"/>
        <w:autoSpaceDN w:val="0"/>
        <w:adjustRightInd w:val="0"/>
        <w:spacing w:after="0" w:line="240" w:lineRule="auto"/>
        <w:ind w:left="1701"/>
        <w:jc w:val="both"/>
        <w:rPr>
          <w:rFonts w:cs="Arial"/>
          <w:i/>
          <w:sz w:val="20"/>
          <w:szCs w:val="20"/>
          <w:lang w:val="fr-FR"/>
        </w:rPr>
      </w:pPr>
    </w:p>
    <w:p w14:paraId="0052FE45" w14:textId="35A0E44E" w:rsidR="00D80B0B" w:rsidRDefault="00D80B0B" w:rsidP="00D80B0B">
      <w:pPr>
        <w:widowControl w:val="0"/>
        <w:numPr>
          <w:ilvl w:val="0"/>
          <w:numId w:val="3"/>
        </w:numPr>
        <w:autoSpaceDE w:val="0"/>
        <w:autoSpaceDN w:val="0"/>
        <w:adjustRightInd w:val="0"/>
        <w:spacing w:after="0" w:line="240" w:lineRule="auto"/>
        <w:ind w:left="1701" w:hanging="283"/>
        <w:jc w:val="both"/>
        <w:rPr>
          <w:rFonts w:cs="Arial"/>
          <w:i/>
          <w:sz w:val="20"/>
          <w:szCs w:val="20"/>
          <w:lang w:val="fr-FR"/>
        </w:rPr>
      </w:pPr>
      <w:r w:rsidRPr="009E77FB">
        <w:rPr>
          <w:rFonts w:cs="Arial"/>
          <w:i/>
          <w:sz w:val="20"/>
          <w:szCs w:val="20"/>
          <w:lang w:val="fr-FR"/>
        </w:rPr>
        <w:t xml:space="preserve">une </w:t>
      </w:r>
      <w:r>
        <w:rPr>
          <w:rFonts w:cs="Arial"/>
          <w:i/>
          <w:sz w:val="20"/>
          <w:szCs w:val="20"/>
          <w:lang w:val="fr-FR"/>
        </w:rPr>
        <w:t>P</w:t>
      </w:r>
      <w:r w:rsidRPr="009E77FB">
        <w:rPr>
          <w:rFonts w:cs="Arial"/>
          <w:i/>
          <w:sz w:val="20"/>
          <w:szCs w:val="20"/>
          <w:lang w:val="fr-FR"/>
        </w:rPr>
        <w:t xml:space="preserve">artie de chacune des régions géographiques (a) l’Amérique du Nord et (b) </w:t>
      </w:r>
      <w:r w:rsidRPr="00BB5581">
        <w:rPr>
          <w:rFonts w:cs="Arial"/>
          <w:i/>
          <w:sz w:val="20"/>
          <w:szCs w:val="20"/>
          <w:lang w:val="fr-FR"/>
        </w:rPr>
        <w:t>l’Océanie;</w:t>
      </w:r>
    </w:p>
    <w:p w14:paraId="35A6C772" w14:textId="77777777" w:rsidR="00D80B0B" w:rsidRPr="00D80B0B" w:rsidRDefault="00D80B0B" w:rsidP="00D80B0B">
      <w:pPr>
        <w:widowControl w:val="0"/>
        <w:autoSpaceDE w:val="0"/>
        <w:autoSpaceDN w:val="0"/>
        <w:adjustRightInd w:val="0"/>
        <w:spacing w:after="0" w:line="240" w:lineRule="auto"/>
        <w:ind w:left="1701"/>
        <w:jc w:val="both"/>
        <w:rPr>
          <w:rFonts w:cs="Arial"/>
          <w:i/>
          <w:sz w:val="20"/>
          <w:szCs w:val="20"/>
          <w:lang w:val="fr-FR"/>
        </w:rPr>
      </w:pPr>
    </w:p>
    <w:p w14:paraId="684103EF" w14:textId="14C3DA3C" w:rsidR="00D80B0B" w:rsidRDefault="00D80B0B" w:rsidP="00D80B0B">
      <w:pPr>
        <w:widowControl w:val="0"/>
        <w:numPr>
          <w:ilvl w:val="0"/>
          <w:numId w:val="3"/>
        </w:numPr>
        <w:autoSpaceDE w:val="0"/>
        <w:autoSpaceDN w:val="0"/>
        <w:adjustRightInd w:val="0"/>
        <w:spacing w:after="0" w:line="240" w:lineRule="auto"/>
        <w:ind w:left="1701" w:hanging="283"/>
        <w:jc w:val="both"/>
        <w:rPr>
          <w:rFonts w:cs="Arial"/>
          <w:i/>
          <w:sz w:val="20"/>
          <w:szCs w:val="20"/>
          <w:lang w:val="fr-FR"/>
        </w:rPr>
      </w:pPr>
      <w:r w:rsidRPr="009E77FB">
        <w:rPr>
          <w:rFonts w:cs="Arial"/>
          <w:i/>
          <w:sz w:val="20"/>
          <w:szCs w:val="20"/>
          <w:lang w:val="fr-FR"/>
        </w:rPr>
        <w:t xml:space="preserve">le Dépositaire et le Gouvernement Hôte du pays hôte du Secrétariat; et </w:t>
      </w:r>
    </w:p>
    <w:p w14:paraId="1CC9E9C4" w14:textId="77777777" w:rsidR="00D80B0B" w:rsidRPr="00D80B0B" w:rsidRDefault="00D80B0B" w:rsidP="00D80B0B">
      <w:pPr>
        <w:widowControl w:val="0"/>
        <w:autoSpaceDE w:val="0"/>
        <w:autoSpaceDN w:val="0"/>
        <w:adjustRightInd w:val="0"/>
        <w:spacing w:after="0" w:line="240" w:lineRule="auto"/>
        <w:ind w:left="1701"/>
        <w:jc w:val="both"/>
        <w:rPr>
          <w:rFonts w:cs="Arial"/>
          <w:i/>
          <w:sz w:val="20"/>
          <w:szCs w:val="20"/>
          <w:lang w:val="fr-FR"/>
        </w:rPr>
      </w:pPr>
    </w:p>
    <w:p w14:paraId="4D911E10" w14:textId="499E71C7" w:rsidR="00D80B0B" w:rsidRDefault="00D80B0B" w:rsidP="00D80B0B">
      <w:pPr>
        <w:widowControl w:val="0"/>
        <w:numPr>
          <w:ilvl w:val="0"/>
          <w:numId w:val="3"/>
        </w:numPr>
        <w:autoSpaceDE w:val="0"/>
        <w:autoSpaceDN w:val="0"/>
        <w:adjustRightInd w:val="0"/>
        <w:spacing w:after="0" w:line="240" w:lineRule="auto"/>
        <w:ind w:left="1701" w:hanging="283"/>
        <w:jc w:val="both"/>
        <w:rPr>
          <w:rFonts w:cs="Arial"/>
          <w:i/>
          <w:sz w:val="20"/>
          <w:szCs w:val="20"/>
          <w:lang w:val="fr-FR"/>
        </w:rPr>
      </w:pPr>
      <w:r w:rsidRPr="009E77FB">
        <w:rPr>
          <w:rFonts w:cs="Arial"/>
          <w:i/>
          <w:sz w:val="20"/>
          <w:szCs w:val="20"/>
          <w:lang w:val="fr-FR"/>
        </w:rPr>
        <w:t>si nécessaire, le Gouvernement Hôte des sessions passées et à venir de la Conférence des Parties;</w:t>
      </w:r>
    </w:p>
    <w:p w14:paraId="3E2C1767" w14:textId="77777777" w:rsidR="00D80B0B" w:rsidRPr="00D80B0B" w:rsidRDefault="00D80B0B" w:rsidP="00D80B0B">
      <w:pPr>
        <w:widowControl w:val="0"/>
        <w:autoSpaceDE w:val="0"/>
        <w:autoSpaceDN w:val="0"/>
        <w:adjustRightInd w:val="0"/>
        <w:spacing w:after="0" w:line="240" w:lineRule="auto"/>
        <w:ind w:left="1701"/>
        <w:jc w:val="both"/>
        <w:rPr>
          <w:rFonts w:cs="Arial"/>
          <w:i/>
          <w:sz w:val="20"/>
          <w:szCs w:val="20"/>
          <w:lang w:val="fr-FR"/>
        </w:rPr>
      </w:pPr>
    </w:p>
    <w:p w14:paraId="1F2EA8B2" w14:textId="5AB31AF0" w:rsidR="00D80B0B" w:rsidRDefault="00D80B0B" w:rsidP="00D80B0B">
      <w:pPr>
        <w:widowControl w:val="0"/>
        <w:autoSpaceDE w:val="0"/>
        <w:autoSpaceDN w:val="0"/>
        <w:adjustRightInd w:val="0"/>
        <w:spacing w:after="0" w:line="240" w:lineRule="auto"/>
        <w:ind w:left="1418" w:hanging="284"/>
        <w:jc w:val="both"/>
        <w:rPr>
          <w:rFonts w:cs="Arial"/>
          <w:i/>
          <w:sz w:val="20"/>
          <w:szCs w:val="20"/>
          <w:lang w:val="fr-FR"/>
        </w:rPr>
      </w:pPr>
      <w:r w:rsidRPr="009E77FB">
        <w:rPr>
          <w:rFonts w:cs="Arial"/>
          <w:i/>
          <w:sz w:val="20"/>
          <w:szCs w:val="20"/>
          <w:lang w:val="fr-FR"/>
        </w:rPr>
        <w:t>(b)</w:t>
      </w:r>
      <w:r w:rsidRPr="009E77FB">
        <w:rPr>
          <w:lang w:val="fr-FR"/>
        </w:rPr>
        <w:t xml:space="preserve"> </w:t>
      </w:r>
      <w:r w:rsidRPr="009E77FB">
        <w:rPr>
          <w:rFonts w:cs="Arial"/>
          <w:i/>
          <w:sz w:val="20"/>
          <w:szCs w:val="20"/>
          <w:lang w:val="fr-FR"/>
        </w:rPr>
        <w:t>Lors de chaque session de la Conférence des Parties (C</w:t>
      </w:r>
      <w:r>
        <w:rPr>
          <w:rFonts w:cs="Arial"/>
          <w:i/>
          <w:sz w:val="20"/>
          <w:szCs w:val="20"/>
          <w:lang w:val="fr-FR"/>
        </w:rPr>
        <w:t>O</w:t>
      </w:r>
      <w:r w:rsidRPr="009E77FB">
        <w:rPr>
          <w:rFonts w:cs="Arial"/>
          <w:i/>
          <w:sz w:val="20"/>
          <w:szCs w:val="20"/>
          <w:lang w:val="fr-FR"/>
        </w:rPr>
        <w:t xml:space="preserve">P) sont élus douze représentants régionaux agissant en suppléants et, en particulier, participant aux sessions du Comité Permanent en cas d’absence du membre de la région pour lequel ils ont été désignés membre suppléant. </w:t>
      </w:r>
    </w:p>
    <w:p w14:paraId="2FE5D177" w14:textId="77777777" w:rsidR="00D80B0B" w:rsidRPr="009E77FB" w:rsidRDefault="00D80B0B" w:rsidP="00D80B0B">
      <w:pPr>
        <w:widowControl w:val="0"/>
        <w:autoSpaceDE w:val="0"/>
        <w:autoSpaceDN w:val="0"/>
        <w:adjustRightInd w:val="0"/>
        <w:spacing w:after="0" w:line="240" w:lineRule="auto"/>
        <w:jc w:val="both"/>
        <w:rPr>
          <w:rFonts w:cs="Arial"/>
          <w:i/>
          <w:sz w:val="20"/>
          <w:szCs w:val="20"/>
          <w:lang w:val="fr-FR"/>
        </w:rPr>
      </w:pPr>
    </w:p>
    <w:p w14:paraId="5C0A7972" w14:textId="77777777" w:rsidR="00D80B0B" w:rsidRPr="009E77FB" w:rsidRDefault="00D80B0B" w:rsidP="00D80B0B">
      <w:pPr>
        <w:widowControl w:val="0"/>
        <w:autoSpaceDE w:val="0"/>
        <w:autoSpaceDN w:val="0"/>
        <w:adjustRightInd w:val="0"/>
        <w:spacing w:after="0" w:line="240" w:lineRule="auto"/>
        <w:ind w:left="1418" w:hanging="284"/>
        <w:jc w:val="both"/>
        <w:rPr>
          <w:rFonts w:cs="Arial"/>
          <w:i/>
          <w:sz w:val="20"/>
          <w:szCs w:val="20"/>
          <w:lang w:val="fr-FR"/>
        </w:rPr>
      </w:pPr>
      <w:r w:rsidRPr="009E77FB">
        <w:rPr>
          <w:rFonts w:cs="Arial"/>
          <w:i/>
          <w:sz w:val="20"/>
          <w:szCs w:val="20"/>
          <w:lang w:val="fr-FR"/>
        </w:rPr>
        <w:t xml:space="preserve">(c) </w:t>
      </w:r>
      <w:r w:rsidRPr="009E77FB">
        <w:rPr>
          <w:rFonts w:cs="Arial"/>
          <w:i/>
          <w:sz w:val="20"/>
          <w:szCs w:val="20"/>
          <w:lang w:val="fr-FR"/>
        </w:rPr>
        <w:tab/>
        <w:t>Le mandat des membres régionaux et des suppléants expire lors de la clôture de la prochaine session ordinaire de la C</w:t>
      </w:r>
      <w:r>
        <w:rPr>
          <w:rFonts w:cs="Arial"/>
          <w:i/>
          <w:sz w:val="20"/>
          <w:szCs w:val="20"/>
          <w:lang w:val="fr-FR"/>
        </w:rPr>
        <w:t>O</w:t>
      </w:r>
      <w:r w:rsidRPr="009E77FB">
        <w:rPr>
          <w:rFonts w:cs="Arial"/>
          <w:i/>
          <w:sz w:val="20"/>
          <w:szCs w:val="20"/>
          <w:lang w:val="fr-FR"/>
        </w:rPr>
        <w:t>P suivant la session au cours de laquelle ils ont été élus. Les membres régionaux ne peuvent pas assumer plus de deux mandats consécutifs.  (…</w:t>
      </w:r>
      <w:r w:rsidRPr="009E77FB">
        <w:rPr>
          <w:i/>
          <w:lang w:val="fr-FR"/>
        </w:rPr>
        <w:t>)”</w:t>
      </w:r>
    </w:p>
    <w:p w14:paraId="18E200E1" w14:textId="32AACB52" w:rsidR="00D80B0B" w:rsidRDefault="00D80B0B" w:rsidP="00D80B0B">
      <w:pPr>
        <w:ind w:left="1418" w:hanging="567"/>
        <w:jc w:val="both"/>
        <w:rPr>
          <w:i/>
          <w:lang w:val="fr-FR"/>
        </w:rPr>
      </w:pPr>
      <w:r>
        <w:rPr>
          <w:i/>
          <w:lang w:val="fr-FR"/>
        </w:rPr>
        <w:br w:type="page"/>
      </w:r>
    </w:p>
    <w:p w14:paraId="66D44679" w14:textId="77777777" w:rsidR="00D80B0B" w:rsidRPr="00507F9F" w:rsidRDefault="00D80B0B" w:rsidP="00D80B0B">
      <w:pPr>
        <w:pStyle w:val="ListParagraph"/>
        <w:numPr>
          <w:ilvl w:val="0"/>
          <w:numId w:val="2"/>
        </w:numPr>
        <w:spacing w:after="0" w:line="240" w:lineRule="auto"/>
        <w:ind w:left="567" w:hanging="567"/>
        <w:jc w:val="both"/>
        <w:rPr>
          <w:lang w:val="fr-FR"/>
        </w:rPr>
      </w:pPr>
      <w:r w:rsidRPr="00507F9F">
        <w:rPr>
          <w:rFonts w:cs="Arial"/>
          <w:lang w:val="fr-FR"/>
        </w:rPr>
        <w:lastRenderedPageBreak/>
        <w:t xml:space="preserve">Le tableau ci-dessous indique les </w:t>
      </w:r>
      <w:r>
        <w:rPr>
          <w:rFonts w:cs="Arial"/>
          <w:lang w:val="fr-FR"/>
        </w:rPr>
        <w:t>onze</w:t>
      </w:r>
      <w:r w:rsidRPr="00507F9F">
        <w:rPr>
          <w:rFonts w:cs="Arial"/>
          <w:lang w:val="fr-FR"/>
        </w:rPr>
        <w:t xml:space="preserve"> représentants régionaux actuellement membres du Comité Permanent.</w:t>
      </w:r>
    </w:p>
    <w:p w14:paraId="78A076FB" w14:textId="77777777" w:rsidR="00D80B0B" w:rsidRPr="00507F9F" w:rsidRDefault="00D80B0B" w:rsidP="00D80B0B">
      <w:pPr>
        <w:jc w:val="both"/>
        <w:rPr>
          <w:lang w:val="fr-FR"/>
        </w:rPr>
      </w:pPr>
    </w:p>
    <w:tbl>
      <w:tblPr>
        <w:tblStyle w:val="TableGrid"/>
        <w:tblW w:w="8280" w:type="dxa"/>
        <w:tblInd w:w="715" w:type="dxa"/>
        <w:tblLook w:val="04A0" w:firstRow="1" w:lastRow="0" w:firstColumn="1" w:lastColumn="0" w:noHBand="0" w:noVBand="1"/>
      </w:tblPr>
      <w:tblGrid>
        <w:gridCol w:w="1800"/>
        <w:gridCol w:w="2880"/>
        <w:gridCol w:w="1890"/>
        <w:gridCol w:w="1710"/>
      </w:tblGrid>
      <w:tr w:rsidR="00D80B0B" w:rsidRPr="00382936" w14:paraId="358006F4" w14:textId="77777777" w:rsidTr="00C2360F">
        <w:tc>
          <w:tcPr>
            <w:tcW w:w="8280" w:type="dxa"/>
            <w:gridSpan w:val="4"/>
          </w:tcPr>
          <w:p w14:paraId="3F017205" w14:textId="77777777" w:rsidR="00D80B0B" w:rsidRPr="00507F9F" w:rsidRDefault="00D80B0B" w:rsidP="00C2360F">
            <w:pPr>
              <w:jc w:val="center"/>
              <w:rPr>
                <w:rFonts w:cs="Arial"/>
                <w:b/>
                <w:lang w:val="fr-FR"/>
              </w:rPr>
            </w:pPr>
            <w:r w:rsidRPr="00507F9F">
              <w:rPr>
                <w:rFonts w:cs="Arial"/>
                <w:b/>
                <w:lang w:val="fr-FR"/>
              </w:rPr>
              <w:t xml:space="preserve">Représentants </w:t>
            </w:r>
            <w:r w:rsidRPr="00507F9F">
              <w:rPr>
                <w:rFonts w:cs="Arial"/>
                <w:b/>
                <w:bCs/>
                <w:lang w:val="fr-FR"/>
              </w:rPr>
              <w:t>régionaux</w:t>
            </w:r>
            <w:r w:rsidRPr="00507F9F">
              <w:rPr>
                <w:rFonts w:cs="Arial"/>
                <w:b/>
                <w:lang w:val="fr-FR"/>
              </w:rPr>
              <w:t xml:space="preserve"> actuels du Comité Permanent</w:t>
            </w:r>
          </w:p>
        </w:tc>
      </w:tr>
      <w:tr w:rsidR="00D80B0B" w:rsidRPr="00507F9F" w14:paraId="6148CA9E" w14:textId="77777777" w:rsidTr="00C2360F">
        <w:tc>
          <w:tcPr>
            <w:tcW w:w="1800" w:type="dxa"/>
          </w:tcPr>
          <w:p w14:paraId="0B979004" w14:textId="77777777" w:rsidR="00D80B0B" w:rsidRPr="00507F9F" w:rsidRDefault="00D80B0B" w:rsidP="00C2360F">
            <w:pPr>
              <w:rPr>
                <w:rFonts w:cs="Arial"/>
                <w:b/>
                <w:lang w:val="fr-FR"/>
              </w:rPr>
            </w:pPr>
            <w:r w:rsidRPr="00507F9F">
              <w:rPr>
                <w:rFonts w:cs="Arial"/>
                <w:b/>
                <w:lang w:val="fr-FR"/>
              </w:rPr>
              <w:t>Région</w:t>
            </w:r>
          </w:p>
        </w:tc>
        <w:tc>
          <w:tcPr>
            <w:tcW w:w="2880" w:type="dxa"/>
          </w:tcPr>
          <w:p w14:paraId="507CA6F8" w14:textId="77777777" w:rsidR="00D80B0B" w:rsidRPr="00507F9F" w:rsidRDefault="00D80B0B" w:rsidP="00C2360F">
            <w:pPr>
              <w:rPr>
                <w:rFonts w:cs="Arial"/>
                <w:b/>
                <w:lang w:val="fr-FR"/>
              </w:rPr>
            </w:pPr>
            <w:r w:rsidRPr="00507F9F">
              <w:rPr>
                <w:rFonts w:cs="Arial"/>
                <w:b/>
                <w:lang w:val="fr-FR"/>
              </w:rPr>
              <w:t>Pays</w:t>
            </w:r>
          </w:p>
        </w:tc>
        <w:tc>
          <w:tcPr>
            <w:tcW w:w="1890" w:type="dxa"/>
          </w:tcPr>
          <w:p w14:paraId="591E56CD" w14:textId="77777777" w:rsidR="00D80B0B" w:rsidRPr="00507F9F" w:rsidRDefault="00D80B0B" w:rsidP="00C2360F">
            <w:pPr>
              <w:rPr>
                <w:rFonts w:cs="Arial"/>
                <w:b/>
                <w:lang w:val="fr-FR"/>
              </w:rPr>
            </w:pPr>
            <w:r w:rsidRPr="00507F9F">
              <w:rPr>
                <w:rFonts w:cs="Arial"/>
                <w:b/>
                <w:lang w:val="fr-FR"/>
              </w:rPr>
              <w:t>Première élection au Comité Permanent</w:t>
            </w:r>
          </w:p>
        </w:tc>
        <w:tc>
          <w:tcPr>
            <w:tcW w:w="1710" w:type="dxa"/>
          </w:tcPr>
          <w:p w14:paraId="7BF4E716" w14:textId="77777777" w:rsidR="00D80B0B" w:rsidRPr="00507F9F" w:rsidRDefault="00D80B0B" w:rsidP="00C2360F">
            <w:pPr>
              <w:rPr>
                <w:rFonts w:cs="Arial"/>
                <w:b/>
                <w:lang w:val="fr-FR"/>
              </w:rPr>
            </w:pPr>
            <w:r w:rsidRPr="00507F9F">
              <w:rPr>
                <w:rFonts w:cs="Arial"/>
                <w:b/>
                <w:lang w:val="fr-FR"/>
              </w:rPr>
              <w:t>Éligible à un</w:t>
            </w:r>
          </w:p>
          <w:p w14:paraId="7D52376A" w14:textId="77777777" w:rsidR="00D80B0B" w:rsidRPr="00507F9F" w:rsidRDefault="00D80B0B" w:rsidP="00C2360F">
            <w:pPr>
              <w:rPr>
                <w:rFonts w:cs="Arial"/>
                <w:b/>
                <w:lang w:val="fr-FR"/>
              </w:rPr>
            </w:pPr>
            <w:r w:rsidRPr="00507F9F">
              <w:rPr>
                <w:rFonts w:cs="Arial"/>
                <w:b/>
                <w:lang w:val="fr-FR"/>
              </w:rPr>
              <w:t>nouveau mandat</w:t>
            </w:r>
          </w:p>
          <w:p w14:paraId="5624EA99" w14:textId="77777777" w:rsidR="00D80B0B" w:rsidRPr="00507F9F" w:rsidRDefault="00D80B0B" w:rsidP="00C2360F">
            <w:pPr>
              <w:rPr>
                <w:rFonts w:cs="Arial"/>
                <w:b/>
                <w:lang w:val="fr-FR"/>
              </w:rPr>
            </w:pPr>
          </w:p>
        </w:tc>
      </w:tr>
      <w:tr w:rsidR="00D80B0B" w:rsidRPr="00507F9F" w14:paraId="3B75EC7E" w14:textId="77777777" w:rsidTr="00C2360F">
        <w:tc>
          <w:tcPr>
            <w:tcW w:w="1800" w:type="dxa"/>
            <w:vMerge w:val="restart"/>
          </w:tcPr>
          <w:p w14:paraId="409203D6" w14:textId="77777777" w:rsidR="00D80B0B" w:rsidRPr="00507F9F" w:rsidRDefault="00D80B0B" w:rsidP="00C2360F">
            <w:pPr>
              <w:rPr>
                <w:rFonts w:cs="Arial"/>
                <w:lang w:val="fr-FR"/>
              </w:rPr>
            </w:pPr>
            <w:r w:rsidRPr="00507F9F">
              <w:rPr>
                <w:rFonts w:cs="Arial"/>
                <w:lang w:val="fr-FR"/>
              </w:rPr>
              <w:t>Afrique</w:t>
            </w:r>
          </w:p>
        </w:tc>
        <w:tc>
          <w:tcPr>
            <w:tcW w:w="2880" w:type="dxa"/>
          </w:tcPr>
          <w:p w14:paraId="3CAA0CEC" w14:textId="75E770F0" w:rsidR="00D80B0B" w:rsidRPr="00507F9F" w:rsidRDefault="00D80B0B" w:rsidP="00C2360F">
            <w:pPr>
              <w:rPr>
                <w:rFonts w:cs="Arial"/>
                <w:lang w:val="fr-FR"/>
              </w:rPr>
            </w:pPr>
            <w:r w:rsidRPr="00507F9F">
              <w:rPr>
                <w:rFonts w:cs="Arial"/>
                <w:lang w:val="fr-FR"/>
              </w:rPr>
              <w:t xml:space="preserve">Algérie </w:t>
            </w:r>
          </w:p>
        </w:tc>
        <w:tc>
          <w:tcPr>
            <w:tcW w:w="1890" w:type="dxa"/>
          </w:tcPr>
          <w:p w14:paraId="62BE8DF4" w14:textId="5DA2AD01" w:rsidR="00D80B0B" w:rsidRPr="00507F9F" w:rsidRDefault="00D80B0B" w:rsidP="00C2360F">
            <w:pPr>
              <w:rPr>
                <w:rFonts w:cs="Arial"/>
              </w:rPr>
            </w:pPr>
            <w:r w:rsidRPr="00507F9F">
              <w:rPr>
                <w:rFonts w:cs="Arial"/>
              </w:rPr>
              <w:t>2020</w:t>
            </w:r>
            <w:r w:rsidR="00106715">
              <w:rPr>
                <w:rFonts w:cs="Arial"/>
              </w:rPr>
              <w:t xml:space="preserve"> – COP13</w:t>
            </w:r>
          </w:p>
        </w:tc>
        <w:tc>
          <w:tcPr>
            <w:tcW w:w="1710" w:type="dxa"/>
          </w:tcPr>
          <w:p w14:paraId="4358A9C6" w14:textId="4F545350" w:rsidR="00D80B0B" w:rsidRPr="00507F9F" w:rsidRDefault="00106715" w:rsidP="00C2360F">
            <w:pPr>
              <w:rPr>
                <w:rFonts w:cs="Arial"/>
                <w:b/>
                <w:lang w:val="fr-FR"/>
              </w:rPr>
            </w:pPr>
            <w:r>
              <w:rPr>
                <w:rFonts w:cs="Arial"/>
                <w:b/>
                <w:lang w:val="fr-FR"/>
              </w:rPr>
              <w:t>Non</w:t>
            </w:r>
          </w:p>
        </w:tc>
      </w:tr>
      <w:tr w:rsidR="00D80B0B" w:rsidRPr="00507F9F" w14:paraId="1A07DC1B" w14:textId="77777777" w:rsidTr="00C2360F">
        <w:trPr>
          <w:trHeight w:val="152"/>
        </w:trPr>
        <w:tc>
          <w:tcPr>
            <w:tcW w:w="1800" w:type="dxa"/>
            <w:vMerge/>
          </w:tcPr>
          <w:p w14:paraId="35FE7644" w14:textId="77777777" w:rsidR="00D80B0B" w:rsidRPr="00507F9F" w:rsidRDefault="00D80B0B" w:rsidP="00C2360F">
            <w:pPr>
              <w:rPr>
                <w:rFonts w:cs="Arial"/>
                <w:lang w:val="fr-FR"/>
              </w:rPr>
            </w:pPr>
          </w:p>
        </w:tc>
        <w:tc>
          <w:tcPr>
            <w:tcW w:w="2880" w:type="dxa"/>
          </w:tcPr>
          <w:p w14:paraId="7E0BD608" w14:textId="77777777" w:rsidR="00D80B0B" w:rsidRPr="00507F9F" w:rsidRDefault="00D80B0B" w:rsidP="00C2360F">
            <w:pPr>
              <w:rPr>
                <w:rFonts w:cs="Arial"/>
              </w:rPr>
            </w:pPr>
            <w:r w:rsidRPr="00507F9F">
              <w:rPr>
                <w:rFonts w:cs="Arial"/>
              </w:rPr>
              <w:t>Kenya</w:t>
            </w:r>
          </w:p>
        </w:tc>
        <w:tc>
          <w:tcPr>
            <w:tcW w:w="1890" w:type="dxa"/>
          </w:tcPr>
          <w:p w14:paraId="271EEE1D" w14:textId="64CC0357" w:rsidR="00D80B0B" w:rsidRPr="00507F9F" w:rsidRDefault="00D80B0B" w:rsidP="00C2360F">
            <w:pPr>
              <w:rPr>
                <w:rFonts w:cs="Arial"/>
              </w:rPr>
            </w:pPr>
            <w:r w:rsidRPr="00507F9F">
              <w:rPr>
                <w:rFonts w:cs="Arial"/>
              </w:rPr>
              <w:t>2020</w:t>
            </w:r>
            <w:r w:rsidR="00106715">
              <w:rPr>
                <w:rFonts w:cs="Arial"/>
              </w:rPr>
              <w:t xml:space="preserve"> – COP13</w:t>
            </w:r>
          </w:p>
        </w:tc>
        <w:tc>
          <w:tcPr>
            <w:tcW w:w="1710" w:type="dxa"/>
          </w:tcPr>
          <w:p w14:paraId="68A19617" w14:textId="254BDF42" w:rsidR="00D80B0B" w:rsidRPr="00507F9F" w:rsidRDefault="00106715" w:rsidP="00C2360F">
            <w:pPr>
              <w:ind w:right="160"/>
              <w:rPr>
                <w:rFonts w:cs="Arial"/>
                <w:b/>
                <w:lang w:val="fr-FR"/>
              </w:rPr>
            </w:pPr>
            <w:r>
              <w:rPr>
                <w:rFonts w:cs="Arial"/>
                <w:b/>
                <w:lang w:val="fr-FR"/>
              </w:rPr>
              <w:t>Non</w:t>
            </w:r>
          </w:p>
        </w:tc>
      </w:tr>
      <w:tr w:rsidR="00D80B0B" w:rsidRPr="00507F9F" w14:paraId="668353EF" w14:textId="77777777" w:rsidTr="00C2360F">
        <w:tc>
          <w:tcPr>
            <w:tcW w:w="1800" w:type="dxa"/>
            <w:vMerge/>
          </w:tcPr>
          <w:p w14:paraId="3A93B2ED" w14:textId="77777777" w:rsidR="00D80B0B" w:rsidRPr="00507F9F" w:rsidRDefault="00D80B0B" w:rsidP="00C2360F">
            <w:pPr>
              <w:rPr>
                <w:rFonts w:cs="Arial"/>
                <w:lang w:val="fr-FR"/>
              </w:rPr>
            </w:pPr>
          </w:p>
        </w:tc>
        <w:tc>
          <w:tcPr>
            <w:tcW w:w="2880" w:type="dxa"/>
          </w:tcPr>
          <w:p w14:paraId="4F441400" w14:textId="065263B0" w:rsidR="00D80B0B" w:rsidRPr="00507F9F" w:rsidRDefault="00106715" w:rsidP="00C2360F">
            <w:pPr>
              <w:rPr>
                <w:rFonts w:cs="Arial"/>
              </w:rPr>
            </w:pPr>
            <w:r>
              <w:rPr>
                <w:rFonts w:cs="Arial"/>
              </w:rPr>
              <w:t>Zimbabwe</w:t>
            </w:r>
          </w:p>
        </w:tc>
        <w:tc>
          <w:tcPr>
            <w:tcW w:w="1890" w:type="dxa"/>
          </w:tcPr>
          <w:p w14:paraId="01C01F0B" w14:textId="7FA06CC2" w:rsidR="00D80B0B" w:rsidRPr="00507F9F" w:rsidRDefault="00D80B0B" w:rsidP="00C2360F">
            <w:pPr>
              <w:rPr>
                <w:rFonts w:cs="Arial"/>
              </w:rPr>
            </w:pPr>
            <w:r w:rsidRPr="00507F9F">
              <w:rPr>
                <w:rFonts w:cs="Arial"/>
              </w:rPr>
              <w:t>202</w:t>
            </w:r>
            <w:r w:rsidR="00106715">
              <w:rPr>
                <w:rFonts w:cs="Arial"/>
              </w:rPr>
              <w:t>4 – COP14</w:t>
            </w:r>
          </w:p>
        </w:tc>
        <w:tc>
          <w:tcPr>
            <w:tcW w:w="1710" w:type="dxa"/>
          </w:tcPr>
          <w:p w14:paraId="427390B5" w14:textId="77777777" w:rsidR="00D80B0B" w:rsidRPr="00507F9F" w:rsidRDefault="00D80B0B" w:rsidP="00C2360F">
            <w:pPr>
              <w:rPr>
                <w:rFonts w:cs="Arial"/>
                <w:b/>
                <w:lang w:val="fr-FR"/>
              </w:rPr>
            </w:pPr>
            <w:r w:rsidRPr="00507F9F">
              <w:rPr>
                <w:rFonts w:cs="Arial"/>
                <w:b/>
                <w:lang w:val="fr-FR"/>
              </w:rPr>
              <w:t>Oui</w:t>
            </w:r>
          </w:p>
        </w:tc>
      </w:tr>
      <w:tr w:rsidR="00D80B0B" w:rsidRPr="00507F9F" w14:paraId="46450E18" w14:textId="77777777" w:rsidTr="00C2360F">
        <w:tc>
          <w:tcPr>
            <w:tcW w:w="1800" w:type="dxa"/>
            <w:vMerge w:val="restart"/>
          </w:tcPr>
          <w:p w14:paraId="5737E30C" w14:textId="77777777" w:rsidR="00D80B0B" w:rsidRPr="00507F9F" w:rsidRDefault="00D80B0B" w:rsidP="00C2360F">
            <w:pPr>
              <w:rPr>
                <w:rFonts w:cs="Arial"/>
                <w:lang w:val="fr-FR"/>
              </w:rPr>
            </w:pPr>
            <w:r w:rsidRPr="00507F9F">
              <w:rPr>
                <w:rFonts w:cs="Arial"/>
                <w:lang w:val="fr-FR"/>
              </w:rPr>
              <w:t>Asie</w:t>
            </w:r>
          </w:p>
        </w:tc>
        <w:tc>
          <w:tcPr>
            <w:tcW w:w="2880" w:type="dxa"/>
          </w:tcPr>
          <w:p w14:paraId="160E1A6E" w14:textId="12341498" w:rsidR="00D80B0B" w:rsidRPr="00507F9F" w:rsidRDefault="002B2A77" w:rsidP="00C2360F">
            <w:pPr>
              <w:rPr>
                <w:rFonts w:cs="Arial"/>
                <w:lang w:val="fr-FR"/>
              </w:rPr>
            </w:pPr>
            <w:r>
              <w:rPr>
                <w:rFonts w:cs="Arial"/>
                <w:lang w:val="fr-FR"/>
              </w:rPr>
              <w:t>Bahreïn</w:t>
            </w:r>
          </w:p>
        </w:tc>
        <w:tc>
          <w:tcPr>
            <w:tcW w:w="1890" w:type="dxa"/>
          </w:tcPr>
          <w:p w14:paraId="3618A3FC" w14:textId="1289AA5C" w:rsidR="00D80B0B" w:rsidRPr="00507F9F" w:rsidRDefault="00FD5407" w:rsidP="00C2360F">
            <w:pPr>
              <w:rPr>
                <w:rFonts w:cs="Arial"/>
              </w:rPr>
            </w:pPr>
            <w:r w:rsidRPr="00507F9F">
              <w:rPr>
                <w:rFonts w:cs="Arial"/>
              </w:rPr>
              <w:t>202</w:t>
            </w:r>
            <w:r>
              <w:rPr>
                <w:rFonts w:cs="Arial"/>
              </w:rPr>
              <w:t>4 – COP14</w:t>
            </w:r>
          </w:p>
        </w:tc>
        <w:tc>
          <w:tcPr>
            <w:tcW w:w="1710" w:type="dxa"/>
          </w:tcPr>
          <w:p w14:paraId="6A57D2F6" w14:textId="77777777" w:rsidR="00D80B0B" w:rsidRPr="00507F9F" w:rsidRDefault="00D80B0B" w:rsidP="00C2360F">
            <w:pPr>
              <w:rPr>
                <w:rFonts w:cs="Arial"/>
                <w:b/>
                <w:lang w:val="fr-FR"/>
              </w:rPr>
            </w:pPr>
            <w:r w:rsidRPr="00507F9F">
              <w:rPr>
                <w:rFonts w:cs="Arial"/>
                <w:b/>
                <w:lang w:val="fr-FR"/>
              </w:rPr>
              <w:t>Oui</w:t>
            </w:r>
          </w:p>
        </w:tc>
      </w:tr>
      <w:tr w:rsidR="00D80B0B" w:rsidRPr="00507F9F" w14:paraId="03DBF2FC" w14:textId="77777777" w:rsidTr="00C2360F">
        <w:tc>
          <w:tcPr>
            <w:tcW w:w="1800" w:type="dxa"/>
            <w:vMerge/>
          </w:tcPr>
          <w:p w14:paraId="623A89AE" w14:textId="77777777" w:rsidR="00D80B0B" w:rsidRPr="00507F9F" w:rsidRDefault="00D80B0B" w:rsidP="00C2360F">
            <w:pPr>
              <w:rPr>
                <w:rFonts w:cs="Arial"/>
                <w:lang w:val="fr-FR"/>
              </w:rPr>
            </w:pPr>
          </w:p>
        </w:tc>
        <w:tc>
          <w:tcPr>
            <w:tcW w:w="2880" w:type="dxa"/>
          </w:tcPr>
          <w:p w14:paraId="7AC0C5AE" w14:textId="389D624C" w:rsidR="00D80B0B" w:rsidRPr="00507F9F" w:rsidRDefault="002B2A77" w:rsidP="00C2360F">
            <w:pPr>
              <w:rPr>
                <w:rFonts w:cs="Arial"/>
                <w:lang w:val="fr-FR"/>
              </w:rPr>
            </w:pPr>
            <w:r>
              <w:rPr>
                <w:rFonts w:cs="Arial"/>
                <w:lang w:val="fr-FR"/>
              </w:rPr>
              <w:t>Inde</w:t>
            </w:r>
          </w:p>
        </w:tc>
        <w:tc>
          <w:tcPr>
            <w:tcW w:w="1890" w:type="dxa"/>
          </w:tcPr>
          <w:p w14:paraId="506C8C83" w14:textId="6AB4995E" w:rsidR="00D80B0B" w:rsidRPr="00507F9F" w:rsidRDefault="00FD5407" w:rsidP="00C2360F">
            <w:pPr>
              <w:rPr>
                <w:rFonts w:cs="Arial"/>
              </w:rPr>
            </w:pPr>
            <w:r w:rsidRPr="00507F9F">
              <w:rPr>
                <w:rFonts w:cs="Arial"/>
              </w:rPr>
              <w:t>202</w:t>
            </w:r>
            <w:r>
              <w:rPr>
                <w:rFonts w:cs="Arial"/>
              </w:rPr>
              <w:t>4 – COP14</w:t>
            </w:r>
          </w:p>
        </w:tc>
        <w:tc>
          <w:tcPr>
            <w:tcW w:w="1710" w:type="dxa"/>
          </w:tcPr>
          <w:p w14:paraId="6F57516F" w14:textId="435996EE" w:rsidR="00D80B0B" w:rsidRPr="00507F9F" w:rsidRDefault="002B2A77" w:rsidP="00C2360F">
            <w:pPr>
              <w:rPr>
                <w:rFonts w:cs="Arial"/>
                <w:b/>
                <w:bCs/>
                <w:lang w:val="fr-FR"/>
              </w:rPr>
            </w:pPr>
            <w:r>
              <w:rPr>
                <w:rFonts w:cs="Arial"/>
                <w:b/>
                <w:bCs/>
                <w:lang w:val="fr-FR"/>
              </w:rPr>
              <w:t>Oui</w:t>
            </w:r>
          </w:p>
        </w:tc>
      </w:tr>
      <w:tr w:rsidR="00D80B0B" w:rsidRPr="00507F9F" w14:paraId="2D52743E" w14:textId="77777777" w:rsidTr="00C2360F">
        <w:tc>
          <w:tcPr>
            <w:tcW w:w="1800" w:type="dxa"/>
            <w:vMerge w:val="restart"/>
          </w:tcPr>
          <w:p w14:paraId="28055124" w14:textId="77777777" w:rsidR="00D80B0B" w:rsidRPr="00507F9F" w:rsidRDefault="00D80B0B" w:rsidP="00C2360F">
            <w:pPr>
              <w:rPr>
                <w:rFonts w:cs="Arial"/>
                <w:lang w:val="fr-FR"/>
              </w:rPr>
            </w:pPr>
            <w:r w:rsidRPr="00507F9F">
              <w:rPr>
                <w:rFonts w:cs="Arial"/>
                <w:lang w:val="fr-FR"/>
              </w:rPr>
              <w:t>Amérique du Sud, Amérique centrale et Caraïbes</w:t>
            </w:r>
          </w:p>
        </w:tc>
        <w:tc>
          <w:tcPr>
            <w:tcW w:w="2880" w:type="dxa"/>
          </w:tcPr>
          <w:p w14:paraId="6F069044" w14:textId="77777777" w:rsidR="00D80B0B" w:rsidRPr="00507F9F" w:rsidRDefault="00D80B0B" w:rsidP="00C2360F">
            <w:pPr>
              <w:rPr>
                <w:rFonts w:cs="Arial"/>
              </w:rPr>
            </w:pPr>
            <w:r w:rsidRPr="00507F9F">
              <w:rPr>
                <w:rFonts w:cs="Arial"/>
              </w:rPr>
              <w:t>Panama</w:t>
            </w:r>
          </w:p>
        </w:tc>
        <w:tc>
          <w:tcPr>
            <w:tcW w:w="1890" w:type="dxa"/>
          </w:tcPr>
          <w:p w14:paraId="69D977C3" w14:textId="2D3F37BB" w:rsidR="00D80B0B" w:rsidRPr="00507F9F" w:rsidRDefault="00D80B0B" w:rsidP="00C2360F">
            <w:pPr>
              <w:rPr>
                <w:rFonts w:cs="Arial"/>
              </w:rPr>
            </w:pPr>
            <w:r w:rsidRPr="00507F9F">
              <w:rPr>
                <w:rFonts w:cs="Arial"/>
              </w:rPr>
              <w:t>2020</w:t>
            </w:r>
            <w:r w:rsidR="002B2A77">
              <w:rPr>
                <w:rFonts w:cs="Arial"/>
              </w:rPr>
              <w:t xml:space="preserve"> – COP13</w:t>
            </w:r>
          </w:p>
        </w:tc>
        <w:tc>
          <w:tcPr>
            <w:tcW w:w="1710" w:type="dxa"/>
          </w:tcPr>
          <w:p w14:paraId="56D465CE" w14:textId="3C192492" w:rsidR="00D80B0B" w:rsidRPr="00507F9F" w:rsidRDefault="009B5C5D" w:rsidP="00C2360F">
            <w:pPr>
              <w:rPr>
                <w:rFonts w:cs="Arial"/>
                <w:b/>
                <w:lang w:val="fr-FR"/>
              </w:rPr>
            </w:pPr>
            <w:r>
              <w:rPr>
                <w:rFonts w:cs="Arial"/>
                <w:b/>
                <w:lang w:val="fr-FR"/>
              </w:rPr>
              <w:t>Non</w:t>
            </w:r>
          </w:p>
        </w:tc>
      </w:tr>
      <w:tr w:rsidR="00D80B0B" w:rsidRPr="00507F9F" w14:paraId="792BAFF8" w14:textId="77777777" w:rsidTr="00C2360F">
        <w:tc>
          <w:tcPr>
            <w:tcW w:w="1800" w:type="dxa"/>
            <w:vMerge/>
          </w:tcPr>
          <w:p w14:paraId="4F423149" w14:textId="77777777" w:rsidR="00D80B0B" w:rsidRPr="00507F9F" w:rsidRDefault="00D80B0B" w:rsidP="00C2360F">
            <w:pPr>
              <w:rPr>
                <w:rFonts w:cs="Arial"/>
                <w:lang w:val="fr-FR"/>
              </w:rPr>
            </w:pPr>
          </w:p>
        </w:tc>
        <w:tc>
          <w:tcPr>
            <w:tcW w:w="2880" w:type="dxa"/>
          </w:tcPr>
          <w:p w14:paraId="3969914A" w14:textId="65A2D0E3" w:rsidR="00D80B0B" w:rsidRPr="00507F9F" w:rsidRDefault="00D80B0B" w:rsidP="00C2360F">
            <w:pPr>
              <w:rPr>
                <w:rFonts w:cs="Arial"/>
              </w:rPr>
            </w:pPr>
            <w:r w:rsidRPr="00507F9F">
              <w:rPr>
                <w:rFonts w:cs="Arial"/>
              </w:rPr>
              <w:t>Uruguay</w:t>
            </w:r>
            <w:r w:rsidR="002B2A77">
              <w:rPr>
                <w:rFonts w:cs="Arial"/>
              </w:rPr>
              <w:t xml:space="preserve"> – Vice-</w:t>
            </w:r>
            <w:proofErr w:type="spellStart"/>
            <w:r w:rsidR="002B2A77">
              <w:rPr>
                <w:rFonts w:cs="Arial"/>
              </w:rPr>
              <w:t>Présidence</w:t>
            </w:r>
            <w:proofErr w:type="spellEnd"/>
          </w:p>
        </w:tc>
        <w:tc>
          <w:tcPr>
            <w:tcW w:w="1890" w:type="dxa"/>
          </w:tcPr>
          <w:p w14:paraId="21F7A092" w14:textId="1CBB86A0" w:rsidR="00D80B0B" w:rsidRPr="00507F9F" w:rsidRDefault="00D80B0B" w:rsidP="00C2360F">
            <w:pPr>
              <w:rPr>
                <w:rFonts w:cs="Arial"/>
              </w:rPr>
            </w:pPr>
            <w:r w:rsidRPr="00507F9F">
              <w:rPr>
                <w:rFonts w:cs="Arial"/>
              </w:rPr>
              <w:t>2020</w:t>
            </w:r>
            <w:r w:rsidR="009B5C5D">
              <w:rPr>
                <w:rFonts w:cs="Arial"/>
              </w:rPr>
              <w:t xml:space="preserve"> – COP13</w:t>
            </w:r>
          </w:p>
        </w:tc>
        <w:tc>
          <w:tcPr>
            <w:tcW w:w="1710" w:type="dxa"/>
          </w:tcPr>
          <w:p w14:paraId="33D7CEF7" w14:textId="4253FAE9" w:rsidR="00D80B0B" w:rsidRPr="00507F9F" w:rsidRDefault="009B5C5D" w:rsidP="00C2360F">
            <w:pPr>
              <w:rPr>
                <w:rFonts w:cs="Arial"/>
                <w:b/>
                <w:lang w:val="fr-FR"/>
              </w:rPr>
            </w:pPr>
            <w:r>
              <w:rPr>
                <w:rFonts w:cs="Arial"/>
                <w:b/>
                <w:lang w:val="fr-FR"/>
              </w:rPr>
              <w:t>Non</w:t>
            </w:r>
          </w:p>
        </w:tc>
      </w:tr>
      <w:tr w:rsidR="00D80B0B" w:rsidRPr="00507F9F" w14:paraId="35588011" w14:textId="77777777" w:rsidTr="00C2360F">
        <w:tc>
          <w:tcPr>
            <w:tcW w:w="1800" w:type="dxa"/>
            <w:vMerge w:val="restart"/>
          </w:tcPr>
          <w:p w14:paraId="1C0ABFEC" w14:textId="77777777" w:rsidR="00D80B0B" w:rsidRPr="00507F9F" w:rsidRDefault="00D80B0B" w:rsidP="00C2360F">
            <w:pPr>
              <w:rPr>
                <w:rFonts w:cs="Arial"/>
              </w:rPr>
            </w:pPr>
            <w:r w:rsidRPr="00507F9F">
              <w:rPr>
                <w:rFonts w:cs="Arial"/>
              </w:rPr>
              <w:t>Europe</w:t>
            </w:r>
          </w:p>
        </w:tc>
        <w:tc>
          <w:tcPr>
            <w:tcW w:w="2880" w:type="dxa"/>
          </w:tcPr>
          <w:p w14:paraId="637179E7" w14:textId="0AB8B06E" w:rsidR="00D80B0B" w:rsidRPr="00507F9F" w:rsidRDefault="009B5C5D" w:rsidP="00C2360F">
            <w:pPr>
              <w:rPr>
                <w:rFonts w:cs="Arial"/>
                <w:lang w:val="fr-FR"/>
              </w:rPr>
            </w:pPr>
            <w:r>
              <w:rPr>
                <w:rFonts w:cs="Arial"/>
                <w:lang w:val="fr-FR"/>
              </w:rPr>
              <w:t>Royaume-Uni - Présidence</w:t>
            </w:r>
          </w:p>
        </w:tc>
        <w:tc>
          <w:tcPr>
            <w:tcW w:w="1890" w:type="dxa"/>
          </w:tcPr>
          <w:p w14:paraId="135E8377" w14:textId="3F32D80A" w:rsidR="00D80B0B" w:rsidRPr="00507F9F" w:rsidRDefault="009B5C5D" w:rsidP="00C2360F">
            <w:pPr>
              <w:rPr>
                <w:rFonts w:cs="Arial"/>
              </w:rPr>
            </w:pPr>
            <w:r w:rsidRPr="00507F9F">
              <w:rPr>
                <w:rFonts w:cs="Arial"/>
              </w:rPr>
              <w:t>202</w:t>
            </w:r>
            <w:r>
              <w:rPr>
                <w:rFonts w:cs="Arial"/>
              </w:rPr>
              <w:t>4 – COP14</w:t>
            </w:r>
          </w:p>
        </w:tc>
        <w:tc>
          <w:tcPr>
            <w:tcW w:w="1710" w:type="dxa"/>
          </w:tcPr>
          <w:p w14:paraId="2BE618F7" w14:textId="369F4A78" w:rsidR="00D80B0B" w:rsidRPr="00507F9F" w:rsidRDefault="009B5C5D" w:rsidP="00C2360F">
            <w:pPr>
              <w:rPr>
                <w:rFonts w:cs="Arial"/>
                <w:b/>
                <w:lang w:val="fr-FR"/>
              </w:rPr>
            </w:pPr>
            <w:r>
              <w:rPr>
                <w:rFonts w:cs="Arial"/>
                <w:b/>
                <w:lang w:val="fr-FR"/>
              </w:rPr>
              <w:t>Oui</w:t>
            </w:r>
          </w:p>
        </w:tc>
      </w:tr>
      <w:tr w:rsidR="00D80B0B" w:rsidRPr="00507F9F" w14:paraId="5ECF82E4" w14:textId="77777777" w:rsidTr="00C2360F">
        <w:tc>
          <w:tcPr>
            <w:tcW w:w="1800" w:type="dxa"/>
            <w:vMerge/>
          </w:tcPr>
          <w:p w14:paraId="1F35D8D4" w14:textId="77777777" w:rsidR="00D80B0B" w:rsidRPr="00507F9F" w:rsidRDefault="00D80B0B" w:rsidP="00C2360F">
            <w:pPr>
              <w:rPr>
                <w:rFonts w:cs="Arial"/>
                <w:lang w:val="fr-FR"/>
              </w:rPr>
            </w:pPr>
          </w:p>
        </w:tc>
        <w:tc>
          <w:tcPr>
            <w:tcW w:w="2880" w:type="dxa"/>
          </w:tcPr>
          <w:p w14:paraId="6FCC0FE2" w14:textId="77777777" w:rsidR="00D80B0B" w:rsidRPr="00507F9F" w:rsidRDefault="00D80B0B" w:rsidP="00C2360F">
            <w:pPr>
              <w:rPr>
                <w:rFonts w:cs="Arial"/>
                <w:lang w:val="fr-FR"/>
              </w:rPr>
            </w:pPr>
            <w:r w:rsidRPr="00507F9F">
              <w:rPr>
                <w:rFonts w:cs="Arial"/>
                <w:lang w:val="fr-FR"/>
              </w:rPr>
              <w:t>Italie</w:t>
            </w:r>
          </w:p>
        </w:tc>
        <w:tc>
          <w:tcPr>
            <w:tcW w:w="1890" w:type="dxa"/>
          </w:tcPr>
          <w:p w14:paraId="028A4D43" w14:textId="53D0DD6E" w:rsidR="00D80B0B" w:rsidRPr="00507F9F" w:rsidRDefault="00D80B0B" w:rsidP="00C2360F">
            <w:pPr>
              <w:rPr>
                <w:rFonts w:cs="Arial"/>
              </w:rPr>
            </w:pPr>
            <w:r w:rsidRPr="00507F9F">
              <w:rPr>
                <w:rFonts w:cs="Arial"/>
              </w:rPr>
              <w:t>2020</w:t>
            </w:r>
            <w:r w:rsidR="00611A09">
              <w:rPr>
                <w:rFonts w:cs="Arial"/>
              </w:rPr>
              <w:t xml:space="preserve"> – COP13</w:t>
            </w:r>
          </w:p>
        </w:tc>
        <w:tc>
          <w:tcPr>
            <w:tcW w:w="1710" w:type="dxa"/>
          </w:tcPr>
          <w:p w14:paraId="0EC2B612" w14:textId="6BF2C9F3" w:rsidR="00D80B0B" w:rsidRPr="00507F9F" w:rsidRDefault="00611A09" w:rsidP="00C2360F">
            <w:pPr>
              <w:rPr>
                <w:rFonts w:cs="Arial"/>
                <w:b/>
                <w:lang w:val="fr-FR"/>
              </w:rPr>
            </w:pPr>
            <w:r>
              <w:rPr>
                <w:rFonts w:cs="Arial"/>
                <w:b/>
                <w:lang w:val="fr-FR"/>
              </w:rPr>
              <w:t>Non</w:t>
            </w:r>
          </w:p>
        </w:tc>
      </w:tr>
      <w:tr w:rsidR="00611A09" w:rsidRPr="00507F9F" w14:paraId="7C087764" w14:textId="77777777" w:rsidTr="00C2360F">
        <w:tc>
          <w:tcPr>
            <w:tcW w:w="1800" w:type="dxa"/>
            <w:vMerge/>
          </w:tcPr>
          <w:p w14:paraId="59DD5811" w14:textId="77777777" w:rsidR="00611A09" w:rsidRPr="00507F9F" w:rsidRDefault="00611A09" w:rsidP="00611A09">
            <w:pPr>
              <w:rPr>
                <w:rFonts w:cs="Arial"/>
                <w:lang w:val="fr-FR"/>
              </w:rPr>
            </w:pPr>
          </w:p>
        </w:tc>
        <w:tc>
          <w:tcPr>
            <w:tcW w:w="2880" w:type="dxa"/>
          </w:tcPr>
          <w:p w14:paraId="1B886BF4" w14:textId="77777777" w:rsidR="00611A09" w:rsidRPr="00507F9F" w:rsidRDefault="00611A09" w:rsidP="00611A09">
            <w:pPr>
              <w:rPr>
                <w:rFonts w:cs="Arial"/>
              </w:rPr>
            </w:pPr>
            <w:r w:rsidRPr="00507F9F">
              <w:rPr>
                <w:rFonts w:cs="Arial"/>
              </w:rPr>
              <w:t>Monaco</w:t>
            </w:r>
          </w:p>
        </w:tc>
        <w:tc>
          <w:tcPr>
            <w:tcW w:w="1890" w:type="dxa"/>
          </w:tcPr>
          <w:p w14:paraId="5BA23912" w14:textId="4B6BC398" w:rsidR="00611A09" w:rsidRPr="00507F9F" w:rsidRDefault="00611A09" w:rsidP="00611A09">
            <w:pPr>
              <w:rPr>
                <w:rFonts w:cs="Arial"/>
              </w:rPr>
            </w:pPr>
            <w:r w:rsidRPr="00507F9F">
              <w:rPr>
                <w:rFonts w:cs="Arial"/>
              </w:rPr>
              <w:t>2020</w:t>
            </w:r>
            <w:r>
              <w:rPr>
                <w:rFonts w:cs="Arial"/>
              </w:rPr>
              <w:t xml:space="preserve"> – COP13</w:t>
            </w:r>
          </w:p>
        </w:tc>
        <w:tc>
          <w:tcPr>
            <w:tcW w:w="1710" w:type="dxa"/>
          </w:tcPr>
          <w:p w14:paraId="797441AD" w14:textId="03E9EF97" w:rsidR="00611A09" w:rsidRPr="00507F9F" w:rsidRDefault="00611A09" w:rsidP="00611A09">
            <w:pPr>
              <w:rPr>
                <w:rFonts w:cs="Arial"/>
                <w:b/>
                <w:lang w:val="fr-FR"/>
              </w:rPr>
            </w:pPr>
            <w:r>
              <w:rPr>
                <w:rFonts w:cs="Arial"/>
                <w:b/>
                <w:lang w:val="fr-FR"/>
              </w:rPr>
              <w:t>Non</w:t>
            </w:r>
          </w:p>
        </w:tc>
      </w:tr>
      <w:tr w:rsidR="00611A09" w:rsidRPr="00507F9F" w14:paraId="2BD8A452" w14:textId="77777777" w:rsidTr="00C2360F">
        <w:tc>
          <w:tcPr>
            <w:tcW w:w="1800" w:type="dxa"/>
          </w:tcPr>
          <w:p w14:paraId="6BD926BF" w14:textId="77777777" w:rsidR="00611A09" w:rsidRPr="00507F9F" w:rsidRDefault="00611A09" w:rsidP="00611A09">
            <w:pPr>
              <w:rPr>
                <w:rFonts w:cs="Arial"/>
                <w:lang w:val="fr-FR"/>
              </w:rPr>
            </w:pPr>
            <w:r w:rsidRPr="00507F9F">
              <w:rPr>
                <w:rFonts w:cs="Arial"/>
                <w:lang w:val="fr-FR"/>
              </w:rPr>
              <w:t>Océanie</w:t>
            </w:r>
          </w:p>
        </w:tc>
        <w:tc>
          <w:tcPr>
            <w:tcW w:w="2880" w:type="dxa"/>
          </w:tcPr>
          <w:p w14:paraId="04B04B20" w14:textId="77777777" w:rsidR="00611A09" w:rsidRPr="00507F9F" w:rsidRDefault="00611A09" w:rsidP="00611A09">
            <w:pPr>
              <w:rPr>
                <w:rFonts w:cs="Arial"/>
                <w:lang w:val="fr-FR"/>
              </w:rPr>
            </w:pPr>
            <w:r w:rsidRPr="00507F9F">
              <w:rPr>
                <w:rFonts w:cs="Arial"/>
                <w:lang w:val="fr-FR"/>
              </w:rPr>
              <w:t>Nouvelle-Zélande</w:t>
            </w:r>
          </w:p>
        </w:tc>
        <w:tc>
          <w:tcPr>
            <w:tcW w:w="1890" w:type="dxa"/>
          </w:tcPr>
          <w:p w14:paraId="7A3EC717" w14:textId="5097B020" w:rsidR="00611A09" w:rsidRPr="00507F9F" w:rsidRDefault="00611A09" w:rsidP="00611A09">
            <w:pPr>
              <w:rPr>
                <w:rFonts w:cs="Arial"/>
              </w:rPr>
            </w:pPr>
            <w:r w:rsidRPr="00507F9F">
              <w:rPr>
                <w:rFonts w:cs="Arial"/>
              </w:rPr>
              <w:t>2020</w:t>
            </w:r>
            <w:r>
              <w:rPr>
                <w:rFonts w:cs="Arial"/>
              </w:rPr>
              <w:t xml:space="preserve"> – COP13</w:t>
            </w:r>
          </w:p>
        </w:tc>
        <w:tc>
          <w:tcPr>
            <w:tcW w:w="1710" w:type="dxa"/>
          </w:tcPr>
          <w:p w14:paraId="5568AD99" w14:textId="25F186AB" w:rsidR="00611A09" w:rsidRPr="00507F9F" w:rsidRDefault="00611A09" w:rsidP="00611A09">
            <w:pPr>
              <w:rPr>
                <w:rFonts w:cs="Arial"/>
                <w:b/>
                <w:lang w:val="fr-FR"/>
              </w:rPr>
            </w:pPr>
            <w:r>
              <w:rPr>
                <w:rFonts w:cs="Arial"/>
                <w:b/>
                <w:lang w:val="fr-FR"/>
              </w:rPr>
              <w:t>Non</w:t>
            </w:r>
          </w:p>
        </w:tc>
      </w:tr>
    </w:tbl>
    <w:p w14:paraId="31249A2F" w14:textId="77777777" w:rsidR="00D80B0B" w:rsidRPr="00507F9F" w:rsidRDefault="00D80B0B" w:rsidP="00D80B0B">
      <w:pPr>
        <w:jc w:val="both"/>
        <w:rPr>
          <w:lang w:val="fr-FR"/>
        </w:rPr>
      </w:pPr>
    </w:p>
    <w:p w14:paraId="643BBFFC" w14:textId="31DF0D5E" w:rsidR="00D80B0B" w:rsidRPr="00507F9F" w:rsidRDefault="00D80B0B" w:rsidP="00D80B0B">
      <w:pPr>
        <w:pStyle w:val="ListParagraph"/>
        <w:numPr>
          <w:ilvl w:val="0"/>
          <w:numId w:val="2"/>
        </w:numPr>
        <w:spacing w:after="0" w:line="240" w:lineRule="auto"/>
        <w:ind w:left="567" w:hanging="567"/>
        <w:contextualSpacing w:val="0"/>
        <w:jc w:val="both"/>
        <w:rPr>
          <w:lang w:val="fr-FR"/>
        </w:rPr>
      </w:pPr>
      <w:r w:rsidRPr="00507F9F">
        <w:rPr>
          <w:lang w:val="fr-FR"/>
        </w:rPr>
        <w:t xml:space="preserve">Le tableau ci-dessus montre clairement que </w:t>
      </w:r>
      <w:r w:rsidR="00C961F2">
        <w:rPr>
          <w:lang w:val="fr-FR"/>
        </w:rPr>
        <w:t>sept</w:t>
      </w:r>
      <w:r w:rsidRPr="00507F9F">
        <w:rPr>
          <w:lang w:val="fr-FR"/>
        </w:rPr>
        <w:t xml:space="preserve"> nouveaux représentants régionaux devront être élus en tant que membres du Comité Permanent</w:t>
      </w:r>
      <w:r w:rsidR="00235590">
        <w:rPr>
          <w:lang w:val="fr-FR"/>
        </w:rPr>
        <w:t xml:space="preserve">, </w:t>
      </w:r>
      <w:r w:rsidR="00611E90" w:rsidRPr="00611E90">
        <w:rPr>
          <w:lang w:val="fr-FR"/>
        </w:rPr>
        <w:t>car ils ont accompli deux mandats consécutifs.</w:t>
      </w:r>
      <w:r w:rsidRPr="00507F9F">
        <w:rPr>
          <w:rFonts w:cs="Arial"/>
          <w:lang w:val="fr-FR"/>
        </w:rPr>
        <w:t xml:space="preserve"> </w:t>
      </w:r>
      <w:r w:rsidRPr="00507F9F">
        <w:rPr>
          <w:lang w:val="fr-FR"/>
        </w:rPr>
        <w:t>Sur proposition des régions, les parties peuvent convenir, lors de la COP, de remplacer d'autres représentants qui n'ont exercé qu'un seul mandat, si elles le souhaitent.</w:t>
      </w:r>
    </w:p>
    <w:p w14:paraId="63410840" w14:textId="77777777" w:rsidR="00D80B0B" w:rsidRPr="00507F9F" w:rsidRDefault="00D80B0B" w:rsidP="00611E90">
      <w:pPr>
        <w:pStyle w:val="ListParagraph"/>
        <w:spacing w:after="0" w:line="240" w:lineRule="auto"/>
        <w:ind w:left="567" w:hanging="567"/>
        <w:contextualSpacing w:val="0"/>
        <w:jc w:val="both"/>
        <w:rPr>
          <w:lang w:val="fr-FR"/>
        </w:rPr>
      </w:pPr>
    </w:p>
    <w:p w14:paraId="50E67A0F" w14:textId="77777777" w:rsidR="00D80B0B" w:rsidRPr="00507F9F" w:rsidRDefault="00D80B0B" w:rsidP="00D80B0B">
      <w:pPr>
        <w:pStyle w:val="ListParagraph"/>
        <w:numPr>
          <w:ilvl w:val="0"/>
          <w:numId w:val="2"/>
        </w:numPr>
        <w:spacing w:after="0" w:line="240" w:lineRule="auto"/>
        <w:ind w:left="567" w:hanging="567"/>
        <w:contextualSpacing w:val="0"/>
        <w:jc w:val="both"/>
        <w:rPr>
          <w:lang w:val="fr-FR"/>
        </w:rPr>
      </w:pPr>
      <w:r w:rsidRPr="00507F9F">
        <w:rPr>
          <w:lang w:val="fr-FR"/>
        </w:rPr>
        <w:t xml:space="preserve">Conformément à la résolution 9.15, paragraphe 2(b), la COP doit également élire 11 représentants régionaux agissant en suppléants, et, en particulier, participant aux sessions du Comité Permanent en cas d'absence du membre de la région pour laquelle ils ont été désignés membre suppléant. Il n'y a pas de limite de nombre de mandats pour cette fonction. La liste actuelle des suppléants est la suivante :  </w:t>
      </w:r>
    </w:p>
    <w:p w14:paraId="34E56020" w14:textId="77777777" w:rsidR="00D80B0B" w:rsidRPr="00507F9F" w:rsidRDefault="00D80B0B" w:rsidP="00D80B0B">
      <w:pPr>
        <w:pStyle w:val="ListParagraph"/>
        <w:ind w:left="540"/>
        <w:jc w:val="both"/>
        <w:rPr>
          <w:lang w:val="fr-FR"/>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60"/>
      </w:tblGrid>
      <w:tr w:rsidR="00D80B0B" w:rsidRPr="00382936" w14:paraId="0D65CA45" w14:textId="77777777" w:rsidTr="00C2360F">
        <w:tc>
          <w:tcPr>
            <w:tcW w:w="8280" w:type="dxa"/>
            <w:gridSpan w:val="2"/>
          </w:tcPr>
          <w:p w14:paraId="5EA57AD3" w14:textId="77777777" w:rsidR="00D80B0B" w:rsidRPr="00507F9F" w:rsidRDefault="00D80B0B" w:rsidP="00571942">
            <w:pPr>
              <w:pStyle w:val="ListParagraph"/>
              <w:spacing w:before="40" w:after="40" w:line="240" w:lineRule="auto"/>
              <w:ind w:left="539"/>
              <w:contextualSpacing w:val="0"/>
              <w:jc w:val="both"/>
              <w:rPr>
                <w:b/>
                <w:lang w:val="fr-FR"/>
              </w:rPr>
            </w:pPr>
            <w:r w:rsidRPr="00507F9F">
              <w:rPr>
                <w:b/>
                <w:lang w:val="fr-FR"/>
              </w:rPr>
              <w:t>Suppléants régionaux actuels du Comité permanent</w:t>
            </w:r>
          </w:p>
        </w:tc>
      </w:tr>
      <w:tr w:rsidR="00D80B0B" w:rsidRPr="00507F9F" w14:paraId="6351AF73" w14:textId="77777777" w:rsidTr="00C2360F">
        <w:tc>
          <w:tcPr>
            <w:tcW w:w="4320" w:type="dxa"/>
          </w:tcPr>
          <w:p w14:paraId="150D75D6" w14:textId="77777777" w:rsidR="00D80B0B" w:rsidRPr="00507F9F" w:rsidRDefault="00D80B0B" w:rsidP="00571942">
            <w:pPr>
              <w:pStyle w:val="ListParagraph"/>
              <w:spacing w:before="40" w:after="40" w:line="240" w:lineRule="auto"/>
              <w:ind w:left="539"/>
              <w:contextualSpacing w:val="0"/>
              <w:jc w:val="both"/>
              <w:rPr>
                <w:b/>
                <w:lang w:val="fr-FR"/>
              </w:rPr>
            </w:pPr>
            <w:r w:rsidRPr="00507F9F">
              <w:rPr>
                <w:b/>
                <w:lang w:val="fr-FR"/>
              </w:rPr>
              <w:t>Région</w:t>
            </w:r>
          </w:p>
        </w:tc>
        <w:tc>
          <w:tcPr>
            <w:tcW w:w="3960" w:type="dxa"/>
          </w:tcPr>
          <w:p w14:paraId="406E5222" w14:textId="77777777" w:rsidR="00D80B0B" w:rsidRPr="00507F9F" w:rsidRDefault="00D80B0B" w:rsidP="00571942">
            <w:pPr>
              <w:pStyle w:val="ListParagraph"/>
              <w:spacing w:before="40" w:after="40" w:line="240" w:lineRule="auto"/>
              <w:ind w:left="539"/>
              <w:contextualSpacing w:val="0"/>
              <w:jc w:val="both"/>
              <w:rPr>
                <w:b/>
                <w:lang w:val="fr-FR"/>
              </w:rPr>
            </w:pPr>
            <w:r w:rsidRPr="00507F9F">
              <w:rPr>
                <w:b/>
                <w:lang w:val="fr-FR"/>
              </w:rPr>
              <w:t>Pays</w:t>
            </w:r>
          </w:p>
        </w:tc>
      </w:tr>
      <w:tr w:rsidR="00D80B0B" w:rsidRPr="00507F9F" w14:paraId="5981EE16" w14:textId="77777777" w:rsidTr="00C2360F">
        <w:tc>
          <w:tcPr>
            <w:tcW w:w="4320" w:type="dxa"/>
            <w:vMerge w:val="restart"/>
          </w:tcPr>
          <w:p w14:paraId="4FC4CB75" w14:textId="77777777" w:rsidR="00D80B0B" w:rsidRPr="00507F9F" w:rsidRDefault="00D80B0B" w:rsidP="00571942">
            <w:pPr>
              <w:pStyle w:val="ListParagraph"/>
              <w:spacing w:before="40" w:after="40" w:line="240" w:lineRule="auto"/>
              <w:ind w:left="539"/>
              <w:contextualSpacing w:val="0"/>
              <w:rPr>
                <w:lang w:val="fr-FR"/>
              </w:rPr>
            </w:pPr>
            <w:r w:rsidRPr="00507F9F">
              <w:rPr>
                <w:lang w:val="fr-FR"/>
              </w:rPr>
              <w:t>Afrique</w:t>
            </w:r>
          </w:p>
        </w:tc>
        <w:tc>
          <w:tcPr>
            <w:tcW w:w="3960" w:type="dxa"/>
          </w:tcPr>
          <w:p w14:paraId="4BBE2AEF" w14:textId="77777777" w:rsidR="00D80B0B" w:rsidRPr="00507F9F" w:rsidRDefault="00D80B0B" w:rsidP="00571942">
            <w:pPr>
              <w:pStyle w:val="ListParagraph"/>
              <w:spacing w:before="40" w:after="40" w:line="240" w:lineRule="auto"/>
              <w:ind w:left="539"/>
              <w:contextualSpacing w:val="0"/>
              <w:jc w:val="both"/>
            </w:pPr>
            <w:r w:rsidRPr="00507F9F">
              <w:t>Seychelles</w:t>
            </w:r>
          </w:p>
        </w:tc>
      </w:tr>
      <w:tr w:rsidR="00D80B0B" w:rsidRPr="00507F9F" w14:paraId="5D639EC6" w14:textId="77777777" w:rsidTr="00C2360F">
        <w:trPr>
          <w:trHeight w:val="152"/>
        </w:trPr>
        <w:tc>
          <w:tcPr>
            <w:tcW w:w="4320" w:type="dxa"/>
            <w:vMerge/>
          </w:tcPr>
          <w:p w14:paraId="6897A4F8"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1CA0BC47" w14:textId="77777777" w:rsidR="00D80B0B" w:rsidRPr="00507F9F" w:rsidRDefault="00D80B0B" w:rsidP="00571942">
            <w:pPr>
              <w:pStyle w:val="ListParagraph"/>
              <w:spacing w:before="40" w:after="40" w:line="240" w:lineRule="auto"/>
              <w:ind w:left="539"/>
              <w:contextualSpacing w:val="0"/>
              <w:jc w:val="both"/>
              <w:rPr>
                <w:lang w:val="fr-FR"/>
              </w:rPr>
            </w:pPr>
            <w:r w:rsidRPr="00507F9F">
              <w:rPr>
                <w:lang w:val="fr-FR"/>
              </w:rPr>
              <w:t>Ouganda</w:t>
            </w:r>
          </w:p>
        </w:tc>
      </w:tr>
      <w:tr w:rsidR="00D80B0B" w:rsidRPr="00507F9F" w14:paraId="08A987C9" w14:textId="77777777" w:rsidTr="00C2360F">
        <w:tc>
          <w:tcPr>
            <w:tcW w:w="4320" w:type="dxa"/>
            <w:vMerge/>
          </w:tcPr>
          <w:p w14:paraId="51CEE77F"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0993DD9D" w14:textId="64CD0DB8" w:rsidR="00D80B0B" w:rsidRPr="00507F9F" w:rsidRDefault="00A563AB" w:rsidP="00571942">
            <w:pPr>
              <w:pStyle w:val="ListParagraph"/>
              <w:spacing w:before="40" w:after="40" w:line="240" w:lineRule="auto"/>
              <w:ind w:left="539"/>
              <w:contextualSpacing w:val="0"/>
              <w:jc w:val="both"/>
            </w:pPr>
            <w:r>
              <w:t>Maroc</w:t>
            </w:r>
          </w:p>
        </w:tc>
      </w:tr>
      <w:tr w:rsidR="00D80B0B" w:rsidRPr="00507F9F" w14:paraId="353200DE" w14:textId="77777777" w:rsidTr="00C2360F">
        <w:tc>
          <w:tcPr>
            <w:tcW w:w="4320" w:type="dxa"/>
            <w:vMerge w:val="restart"/>
          </w:tcPr>
          <w:p w14:paraId="6ACAE2E3" w14:textId="77777777" w:rsidR="00D80B0B" w:rsidRPr="00507F9F" w:rsidRDefault="00D80B0B" w:rsidP="00571942">
            <w:pPr>
              <w:pStyle w:val="ListParagraph"/>
              <w:spacing w:before="40" w:after="40" w:line="240" w:lineRule="auto"/>
              <w:ind w:left="539"/>
              <w:contextualSpacing w:val="0"/>
              <w:rPr>
                <w:lang w:val="fr-FR"/>
              </w:rPr>
            </w:pPr>
            <w:r w:rsidRPr="00507F9F">
              <w:rPr>
                <w:lang w:val="fr-FR"/>
              </w:rPr>
              <w:t>Asie</w:t>
            </w:r>
          </w:p>
        </w:tc>
        <w:tc>
          <w:tcPr>
            <w:tcW w:w="3960" w:type="dxa"/>
          </w:tcPr>
          <w:p w14:paraId="046F1980" w14:textId="7DD000A6" w:rsidR="00D80B0B" w:rsidRPr="00507F9F" w:rsidRDefault="00DD16A1" w:rsidP="00571942">
            <w:pPr>
              <w:pStyle w:val="ListParagraph"/>
              <w:spacing w:before="40" w:after="40" w:line="240" w:lineRule="auto"/>
              <w:ind w:left="539"/>
              <w:contextualSpacing w:val="0"/>
              <w:jc w:val="both"/>
            </w:pPr>
            <w:r>
              <w:t>Maldives</w:t>
            </w:r>
          </w:p>
        </w:tc>
      </w:tr>
      <w:tr w:rsidR="00D80B0B" w:rsidRPr="00507F9F" w14:paraId="6481B93F" w14:textId="77777777" w:rsidTr="00C2360F">
        <w:tc>
          <w:tcPr>
            <w:tcW w:w="4320" w:type="dxa"/>
            <w:vMerge/>
          </w:tcPr>
          <w:p w14:paraId="5A58156B"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003AA2BC" w14:textId="6E7B7818" w:rsidR="00D80B0B" w:rsidRPr="00507F9F" w:rsidRDefault="00DD16A1" w:rsidP="00571942">
            <w:pPr>
              <w:pStyle w:val="ListParagraph"/>
              <w:spacing w:before="40" w:after="40" w:line="240" w:lineRule="auto"/>
              <w:ind w:left="539"/>
              <w:contextualSpacing w:val="0"/>
              <w:jc w:val="both"/>
            </w:pPr>
            <w:r w:rsidRPr="00507F9F">
              <w:t>Bangladesh</w:t>
            </w:r>
          </w:p>
        </w:tc>
      </w:tr>
      <w:tr w:rsidR="00D80B0B" w:rsidRPr="00507F9F" w14:paraId="771C4237" w14:textId="77777777" w:rsidTr="00C2360F">
        <w:tc>
          <w:tcPr>
            <w:tcW w:w="4320" w:type="dxa"/>
            <w:vMerge w:val="restart"/>
          </w:tcPr>
          <w:p w14:paraId="5FAC9382" w14:textId="77777777" w:rsidR="00D80B0B" w:rsidRPr="00507F9F" w:rsidRDefault="00D80B0B" w:rsidP="00571942">
            <w:pPr>
              <w:pStyle w:val="ListParagraph"/>
              <w:spacing w:before="40" w:after="40" w:line="240" w:lineRule="auto"/>
              <w:ind w:left="539"/>
              <w:contextualSpacing w:val="0"/>
              <w:rPr>
                <w:lang w:val="fr-FR"/>
              </w:rPr>
            </w:pPr>
            <w:r w:rsidRPr="00507F9F">
              <w:rPr>
                <w:lang w:val="fr-FR"/>
              </w:rPr>
              <w:t xml:space="preserve">Amérique du Sud, Amérique centrale et Caraïbes </w:t>
            </w:r>
          </w:p>
        </w:tc>
        <w:tc>
          <w:tcPr>
            <w:tcW w:w="3960" w:type="dxa"/>
          </w:tcPr>
          <w:p w14:paraId="7AA3C07C" w14:textId="77777777" w:rsidR="00D80B0B" w:rsidRPr="00507F9F" w:rsidRDefault="00D80B0B" w:rsidP="00571942">
            <w:pPr>
              <w:pStyle w:val="ListParagraph"/>
              <w:spacing w:before="40" w:after="40" w:line="240" w:lineRule="auto"/>
              <w:ind w:left="539"/>
              <w:contextualSpacing w:val="0"/>
              <w:jc w:val="both"/>
            </w:pPr>
            <w:r w:rsidRPr="00507F9F">
              <w:t>Costa Rica</w:t>
            </w:r>
          </w:p>
        </w:tc>
      </w:tr>
      <w:tr w:rsidR="00D80B0B" w:rsidRPr="00507F9F" w14:paraId="38A69C1C" w14:textId="77777777" w:rsidTr="00C2360F">
        <w:tc>
          <w:tcPr>
            <w:tcW w:w="4320" w:type="dxa"/>
            <w:vMerge/>
          </w:tcPr>
          <w:p w14:paraId="12252AD9"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36E98BD8" w14:textId="77777777" w:rsidR="00D80B0B" w:rsidRPr="00507F9F" w:rsidRDefault="00D80B0B" w:rsidP="00571942">
            <w:pPr>
              <w:pStyle w:val="ListParagraph"/>
              <w:spacing w:before="40" w:after="40" w:line="240" w:lineRule="auto"/>
              <w:ind w:left="539"/>
              <w:contextualSpacing w:val="0"/>
              <w:jc w:val="both"/>
              <w:rPr>
                <w:lang w:val="fr-FR"/>
              </w:rPr>
            </w:pPr>
            <w:r w:rsidRPr="00507F9F">
              <w:rPr>
                <w:lang w:val="fr-FR"/>
              </w:rPr>
              <w:t>Pérou</w:t>
            </w:r>
          </w:p>
        </w:tc>
      </w:tr>
      <w:tr w:rsidR="00D80B0B" w:rsidRPr="00507F9F" w14:paraId="4D8BCE8A" w14:textId="77777777" w:rsidTr="00C2360F">
        <w:tc>
          <w:tcPr>
            <w:tcW w:w="4320" w:type="dxa"/>
            <w:vMerge w:val="restart"/>
          </w:tcPr>
          <w:p w14:paraId="6ABFB250" w14:textId="77777777" w:rsidR="00D80B0B" w:rsidRPr="00507F9F" w:rsidRDefault="00D80B0B" w:rsidP="00571942">
            <w:pPr>
              <w:pStyle w:val="ListParagraph"/>
              <w:spacing w:before="40" w:after="40" w:line="240" w:lineRule="auto"/>
              <w:ind w:left="539"/>
              <w:contextualSpacing w:val="0"/>
            </w:pPr>
            <w:r w:rsidRPr="00507F9F">
              <w:t>Europe</w:t>
            </w:r>
          </w:p>
        </w:tc>
        <w:tc>
          <w:tcPr>
            <w:tcW w:w="3960" w:type="dxa"/>
          </w:tcPr>
          <w:p w14:paraId="5728A697" w14:textId="77777777" w:rsidR="00D80B0B" w:rsidRPr="00507F9F" w:rsidRDefault="00D80B0B" w:rsidP="00571942">
            <w:pPr>
              <w:pStyle w:val="ListParagraph"/>
              <w:spacing w:before="40" w:after="40" w:line="240" w:lineRule="auto"/>
              <w:ind w:left="539"/>
              <w:contextualSpacing w:val="0"/>
              <w:jc w:val="both"/>
              <w:rPr>
                <w:lang w:val="fr-FR"/>
              </w:rPr>
            </w:pPr>
            <w:r w:rsidRPr="00507F9F">
              <w:rPr>
                <w:lang w:val="fr-FR"/>
              </w:rPr>
              <w:t xml:space="preserve">Croatie </w:t>
            </w:r>
          </w:p>
        </w:tc>
      </w:tr>
      <w:tr w:rsidR="00D80B0B" w:rsidRPr="00507F9F" w14:paraId="52A9A6E4" w14:textId="77777777" w:rsidTr="00C2360F">
        <w:tc>
          <w:tcPr>
            <w:tcW w:w="4320" w:type="dxa"/>
            <w:vMerge/>
          </w:tcPr>
          <w:p w14:paraId="077F5C41"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3C02CE1B" w14:textId="77777777" w:rsidR="00D80B0B" w:rsidRPr="00507F9F" w:rsidRDefault="00D80B0B" w:rsidP="00571942">
            <w:pPr>
              <w:pStyle w:val="ListParagraph"/>
              <w:spacing w:before="40" w:after="40" w:line="240" w:lineRule="auto"/>
              <w:ind w:left="539"/>
              <w:contextualSpacing w:val="0"/>
              <w:jc w:val="both"/>
            </w:pPr>
            <w:r w:rsidRPr="00507F9F">
              <w:t>France</w:t>
            </w:r>
          </w:p>
        </w:tc>
      </w:tr>
      <w:tr w:rsidR="00D80B0B" w:rsidRPr="00507F9F" w14:paraId="6E56CDAC" w14:textId="77777777" w:rsidTr="00C2360F">
        <w:tc>
          <w:tcPr>
            <w:tcW w:w="4320" w:type="dxa"/>
            <w:vMerge/>
          </w:tcPr>
          <w:p w14:paraId="517464CD" w14:textId="77777777" w:rsidR="00D80B0B" w:rsidRPr="00507F9F" w:rsidRDefault="00D80B0B" w:rsidP="00571942">
            <w:pPr>
              <w:pStyle w:val="ListParagraph"/>
              <w:spacing w:before="40" w:after="40" w:line="240" w:lineRule="auto"/>
              <w:ind w:left="539"/>
              <w:contextualSpacing w:val="0"/>
              <w:rPr>
                <w:lang w:val="fr-FR"/>
              </w:rPr>
            </w:pPr>
          </w:p>
        </w:tc>
        <w:tc>
          <w:tcPr>
            <w:tcW w:w="3960" w:type="dxa"/>
          </w:tcPr>
          <w:p w14:paraId="794BDC7E" w14:textId="0F3CB297" w:rsidR="00D80B0B" w:rsidRPr="00507F9F" w:rsidRDefault="00234756" w:rsidP="00571942">
            <w:pPr>
              <w:pStyle w:val="ListParagraph"/>
              <w:spacing w:before="40" w:after="40" w:line="240" w:lineRule="auto"/>
              <w:ind w:left="539"/>
              <w:contextualSpacing w:val="0"/>
              <w:jc w:val="both"/>
              <w:rPr>
                <w:lang w:val="fr-FR"/>
              </w:rPr>
            </w:pPr>
            <w:r>
              <w:rPr>
                <w:lang w:val="fr-FR"/>
              </w:rPr>
              <w:t>Monténégro</w:t>
            </w:r>
          </w:p>
        </w:tc>
      </w:tr>
      <w:tr w:rsidR="00D80B0B" w:rsidRPr="00507F9F" w14:paraId="2CF09A6F" w14:textId="77777777" w:rsidTr="00C2360F">
        <w:tc>
          <w:tcPr>
            <w:tcW w:w="4320" w:type="dxa"/>
          </w:tcPr>
          <w:p w14:paraId="131D4216" w14:textId="77777777" w:rsidR="00D80B0B" w:rsidRPr="00507F9F" w:rsidRDefault="00D80B0B" w:rsidP="00571942">
            <w:pPr>
              <w:pStyle w:val="ListParagraph"/>
              <w:spacing w:before="40" w:after="40" w:line="240" w:lineRule="auto"/>
              <w:ind w:left="539"/>
              <w:contextualSpacing w:val="0"/>
              <w:rPr>
                <w:lang w:val="fr-FR"/>
              </w:rPr>
            </w:pPr>
            <w:r w:rsidRPr="00507F9F">
              <w:rPr>
                <w:lang w:val="fr-FR"/>
              </w:rPr>
              <w:t>Océanie</w:t>
            </w:r>
          </w:p>
        </w:tc>
        <w:tc>
          <w:tcPr>
            <w:tcW w:w="3960" w:type="dxa"/>
          </w:tcPr>
          <w:p w14:paraId="647D108B" w14:textId="0EEC77E3" w:rsidR="00D80B0B" w:rsidRPr="00507F9F" w:rsidRDefault="00234756" w:rsidP="00571942">
            <w:pPr>
              <w:pStyle w:val="ListParagraph"/>
              <w:spacing w:before="40" w:after="40" w:line="240" w:lineRule="auto"/>
              <w:ind w:left="539"/>
              <w:contextualSpacing w:val="0"/>
              <w:jc w:val="both"/>
            </w:pPr>
            <w:proofErr w:type="spellStart"/>
            <w:r>
              <w:t>Îles</w:t>
            </w:r>
            <w:proofErr w:type="spellEnd"/>
            <w:r>
              <w:t xml:space="preserve"> Cook</w:t>
            </w:r>
          </w:p>
        </w:tc>
      </w:tr>
    </w:tbl>
    <w:p w14:paraId="25616A6B" w14:textId="77777777" w:rsidR="00D80B0B" w:rsidRPr="00507F9F" w:rsidRDefault="00D80B0B" w:rsidP="00D80B0B">
      <w:pPr>
        <w:jc w:val="both"/>
        <w:rPr>
          <w:lang w:val="fr-FR"/>
        </w:rPr>
      </w:pPr>
    </w:p>
    <w:p w14:paraId="253C5966" w14:textId="77777777" w:rsidR="00D80B0B" w:rsidRDefault="00D80B0B" w:rsidP="00D80B0B">
      <w:pPr>
        <w:pStyle w:val="ListParagraph"/>
        <w:widowControl w:val="0"/>
        <w:numPr>
          <w:ilvl w:val="0"/>
          <w:numId w:val="2"/>
        </w:numPr>
        <w:suppressAutoHyphens/>
        <w:spacing w:after="0" w:line="240" w:lineRule="auto"/>
        <w:ind w:left="567" w:hanging="567"/>
        <w:contextualSpacing w:val="0"/>
        <w:jc w:val="both"/>
        <w:rPr>
          <w:rFonts w:cs="Arial"/>
          <w:color w:val="000000"/>
          <w:kern w:val="2"/>
          <w:lang w:val="fr-FR"/>
        </w:rPr>
      </w:pPr>
      <w:r w:rsidRPr="00507F9F">
        <w:rPr>
          <w:rFonts w:cs="Arial"/>
          <w:color w:val="000000"/>
          <w:kern w:val="2"/>
          <w:lang w:val="fr-FR"/>
        </w:rPr>
        <w:lastRenderedPageBreak/>
        <w:t xml:space="preserve">Conformément à la règle 1.1 du règlement intérieur du </w:t>
      </w:r>
      <w:proofErr w:type="spellStart"/>
      <w:r w:rsidRPr="00507F9F">
        <w:rPr>
          <w:rFonts w:cs="Arial"/>
          <w:color w:val="000000"/>
          <w:kern w:val="2"/>
          <w:lang w:val="fr-FR"/>
        </w:rPr>
        <w:t>StC</w:t>
      </w:r>
      <w:proofErr w:type="spellEnd"/>
      <w:r w:rsidRPr="00507F9F">
        <w:rPr>
          <w:rFonts w:cs="Arial"/>
          <w:color w:val="000000"/>
          <w:kern w:val="2"/>
          <w:lang w:val="fr-FR"/>
        </w:rPr>
        <w:t>, lors de la première réunion du Comité suivant chaque réunion ordinaire de la Conférence des Parties, les membres du Comité élisent son Président et son Vice-Président au sein de ses membres.</w:t>
      </w:r>
    </w:p>
    <w:p w14:paraId="173E5F52" w14:textId="77777777" w:rsidR="00D80B0B" w:rsidRPr="00507F9F" w:rsidRDefault="00D80B0B" w:rsidP="00D80B0B">
      <w:pPr>
        <w:pStyle w:val="ListParagraph"/>
        <w:widowControl w:val="0"/>
        <w:suppressAutoHyphens/>
        <w:ind w:left="567"/>
        <w:contextualSpacing w:val="0"/>
        <w:jc w:val="both"/>
        <w:rPr>
          <w:rFonts w:cs="Arial"/>
          <w:color w:val="000000"/>
          <w:kern w:val="2"/>
          <w:lang w:val="fr-FR"/>
        </w:rPr>
      </w:pPr>
    </w:p>
    <w:p w14:paraId="4EDB8848" w14:textId="3734E1A1" w:rsidR="00D80B0B" w:rsidRPr="00507F9F" w:rsidRDefault="00D80B0B" w:rsidP="00D80B0B">
      <w:pPr>
        <w:pStyle w:val="ListParagraph"/>
        <w:numPr>
          <w:ilvl w:val="0"/>
          <w:numId w:val="2"/>
        </w:numPr>
        <w:spacing w:after="0" w:line="240" w:lineRule="auto"/>
        <w:ind w:left="567" w:hanging="567"/>
        <w:jc w:val="both"/>
        <w:rPr>
          <w:lang w:val="fr-FR"/>
        </w:rPr>
      </w:pPr>
      <w:r w:rsidRPr="00507F9F">
        <w:rPr>
          <w:lang w:val="fr-FR"/>
        </w:rPr>
        <w:t>Les Parties doivent également savoir que, lors de la réunion du Comité Permanent qui suivra immédiatement la COP1</w:t>
      </w:r>
      <w:r w:rsidR="0067131E">
        <w:rPr>
          <w:lang w:val="fr-FR"/>
        </w:rPr>
        <w:t>5</w:t>
      </w:r>
      <w:r w:rsidRPr="00507F9F">
        <w:rPr>
          <w:lang w:val="fr-FR"/>
        </w:rPr>
        <w:t xml:space="preserve">, un sous-comité des finances et du budget sera créé parmi les membres du </w:t>
      </w:r>
      <w:proofErr w:type="spellStart"/>
      <w:r w:rsidRPr="00507F9F">
        <w:rPr>
          <w:lang w:val="fr-FR"/>
        </w:rPr>
        <w:t>StC</w:t>
      </w:r>
      <w:proofErr w:type="spellEnd"/>
      <w:r w:rsidRPr="00507F9F">
        <w:rPr>
          <w:lang w:val="fr-FR"/>
        </w:rPr>
        <w:t>, qui comptera un représentant national pour chaque région de la CMS, nommé par celle-ci. Ce sous-comité élira un Président parmi ses membres</w:t>
      </w:r>
      <w:r w:rsidRPr="00507F9F">
        <w:rPr>
          <w:rStyle w:val="FootnoteReference"/>
          <w:vertAlign w:val="superscript"/>
          <w:lang w:val="fr-FR"/>
        </w:rPr>
        <w:footnoteReference w:id="2"/>
      </w:r>
      <w:r w:rsidRPr="00507F9F">
        <w:rPr>
          <w:lang w:val="fr-FR"/>
        </w:rPr>
        <w:t xml:space="preserve"> </w:t>
      </w:r>
    </w:p>
    <w:p w14:paraId="57081489" w14:textId="77777777" w:rsidR="00D80B0B" w:rsidRPr="00507F9F" w:rsidRDefault="00D80B0B" w:rsidP="00BD2398">
      <w:pPr>
        <w:spacing w:after="0" w:line="240" w:lineRule="auto"/>
        <w:jc w:val="both"/>
        <w:rPr>
          <w:lang w:val="fr-FR"/>
        </w:rPr>
      </w:pPr>
    </w:p>
    <w:p w14:paraId="6C08B890" w14:textId="77777777" w:rsidR="00D80B0B" w:rsidRPr="00507F9F" w:rsidRDefault="00D80B0B" w:rsidP="00BD2398">
      <w:pPr>
        <w:spacing w:after="0" w:line="240" w:lineRule="auto"/>
        <w:jc w:val="both"/>
        <w:rPr>
          <w:rFonts w:cs="Arial"/>
          <w:lang w:val="fr-FR"/>
        </w:rPr>
      </w:pPr>
      <w:r w:rsidRPr="00507F9F">
        <w:rPr>
          <w:rFonts w:cs="Arial"/>
          <w:u w:val="single"/>
          <w:lang w:val="fr-FR"/>
        </w:rPr>
        <w:t>Actions recommandées</w:t>
      </w:r>
    </w:p>
    <w:p w14:paraId="259D62A0" w14:textId="77777777" w:rsidR="00D80B0B" w:rsidRPr="00507F9F" w:rsidRDefault="00D80B0B" w:rsidP="00BD2398">
      <w:pPr>
        <w:spacing w:after="0" w:line="240" w:lineRule="auto"/>
        <w:jc w:val="both"/>
        <w:rPr>
          <w:rFonts w:cs="Arial"/>
          <w:lang w:val="fr-FR"/>
        </w:rPr>
      </w:pPr>
    </w:p>
    <w:p w14:paraId="21DD66C6" w14:textId="77777777" w:rsidR="00D80B0B" w:rsidRPr="00507F9F" w:rsidRDefault="00D80B0B" w:rsidP="00BD2398">
      <w:pPr>
        <w:pStyle w:val="ListParagraph"/>
        <w:numPr>
          <w:ilvl w:val="0"/>
          <w:numId w:val="2"/>
        </w:numPr>
        <w:spacing w:after="0" w:line="240" w:lineRule="auto"/>
        <w:ind w:left="567" w:hanging="567"/>
        <w:contextualSpacing w:val="0"/>
        <w:jc w:val="both"/>
        <w:rPr>
          <w:rFonts w:cs="Arial"/>
          <w:lang w:val="fr-FR"/>
        </w:rPr>
      </w:pPr>
      <w:r w:rsidRPr="00507F9F">
        <w:rPr>
          <w:rFonts w:cs="Arial"/>
          <w:lang w:val="fr-FR" w:eastAsia="en-GB"/>
        </w:rPr>
        <w:t xml:space="preserve">Il est recommandé à la Conférence des Parties </w:t>
      </w:r>
      <w:r w:rsidRPr="00507F9F">
        <w:rPr>
          <w:rFonts w:cs="Arial"/>
          <w:lang w:val="fr-FR"/>
        </w:rPr>
        <w:t>:</w:t>
      </w:r>
    </w:p>
    <w:p w14:paraId="45BC7AD1" w14:textId="77777777" w:rsidR="00D80B0B" w:rsidRPr="00507F9F" w:rsidRDefault="00D80B0B" w:rsidP="00BD2398">
      <w:pPr>
        <w:pStyle w:val="ListParagraph"/>
        <w:spacing w:after="0" w:line="240" w:lineRule="auto"/>
        <w:ind w:left="567"/>
        <w:contextualSpacing w:val="0"/>
        <w:jc w:val="both"/>
        <w:rPr>
          <w:rFonts w:cs="Arial"/>
          <w:lang w:val="fr-FR"/>
        </w:rPr>
      </w:pPr>
    </w:p>
    <w:p w14:paraId="6AC0894D" w14:textId="34057E0F" w:rsidR="00D80B0B" w:rsidRPr="00507F9F" w:rsidRDefault="00D80B0B" w:rsidP="00BD2398">
      <w:pPr>
        <w:numPr>
          <w:ilvl w:val="0"/>
          <w:numId w:val="4"/>
        </w:numPr>
        <w:autoSpaceDN w:val="0"/>
        <w:spacing w:after="0" w:line="240" w:lineRule="auto"/>
        <w:ind w:left="1134" w:hanging="567"/>
        <w:jc w:val="both"/>
        <w:rPr>
          <w:rFonts w:cs="Arial"/>
          <w:lang w:val="fr-FR"/>
        </w:rPr>
      </w:pPr>
      <w:r w:rsidRPr="00507F9F">
        <w:rPr>
          <w:rFonts w:cs="Arial"/>
          <w:lang w:val="fr-FR"/>
        </w:rPr>
        <w:t>de mener des consultations au sein des groupes régionaux afin de déterminer les Parties qui seront nommées représentants ou suppléants régionaux du Comité Permanent</w:t>
      </w:r>
      <w:r w:rsidR="005C2295">
        <w:rPr>
          <w:rFonts w:cs="Arial"/>
          <w:lang w:val="fr-FR"/>
        </w:rPr>
        <w:t>, et</w:t>
      </w:r>
    </w:p>
    <w:p w14:paraId="776045F5" w14:textId="77777777" w:rsidR="00D80B0B" w:rsidRPr="00507F9F" w:rsidRDefault="00D80B0B" w:rsidP="00BD2398">
      <w:pPr>
        <w:autoSpaceDN w:val="0"/>
        <w:spacing w:after="0" w:line="240" w:lineRule="auto"/>
        <w:ind w:left="1134" w:hanging="567"/>
        <w:jc w:val="both"/>
        <w:rPr>
          <w:rFonts w:cs="Arial"/>
          <w:lang w:val="fr-FR"/>
        </w:rPr>
      </w:pPr>
    </w:p>
    <w:p w14:paraId="4368B2ED" w14:textId="5F621F29" w:rsidR="00D80B0B" w:rsidRPr="00507F9F" w:rsidRDefault="00D80B0B" w:rsidP="00BD2398">
      <w:pPr>
        <w:numPr>
          <w:ilvl w:val="0"/>
          <w:numId w:val="4"/>
        </w:numPr>
        <w:autoSpaceDN w:val="0"/>
        <w:spacing w:after="0" w:line="240" w:lineRule="auto"/>
        <w:ind w:left="1134" w:hanging="567"/>
        <w:jc w:val="both"/>
        <w:rPr>
          <w:lang w:val="fr-FR"/>
        </w:rPr>
      </w:pPr>
      <w:r w:rsidRPr="00507F9F">
        <w:rPr>
          <w:lang w:val="fr-FR"/>
        </w:rPr>
        <w:t>d'élire les membres et suppléants régionaux du Comité Permanent, conformément à la Résolution 9.15, au point 1</w:t>
      </w:r>
      <w:r w:rsidR="005C2295">
        <w:rPr>
          <w:lang w:val="fr-FR"/>
        </w:rPr>
        <w:t>7</w:t>
      </w:r>
      <w:r w:rsidRPr="00507F9F">
        <w:rPr>
          <w:lang w:val="fr-FR"/>
        </w:rPr>
        <w:t xml:space="preserve"> de l'ordre du jour de la COP</w:t>
      </w:r>
      <w:r w:rsidR="005C2295">
        <w:rPr>
          <w:lang w:val="fr-FR"/>
        </w:rPr>
        <w:t>15</w:t>
      </w:r>
      <w:r w:rsidRPr="00507F9F">
        <w:rPr>
          <w:lang w:val="fr-FR"/>
        </w:rPr>
        <w:t xml:space="preserve">. </w:t>
      </w:r>
    </w:p>
    <w:p w14:paraId="0ABE8676" w14:textId="77777777" w:rsidR="00D80B0B" w:rsidRPr="00EC2A58" w:rsidRDefault="00D80B0B" w:rsidP="00EC2A58">
      <w:pPr>
        <w:spacing w:after="0" w:line="240" w:lineRule="auto"/>
        <w:rPr>
          <w:lang w:val="fr-FR"/>
        </w:rPr>
      </w:pPr>
    </w:p>
    <w:sectPr w:rsidR="00D80B0B" w:rsidRPr="00EC2A58" w:rsidSect="007C010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F67C" w14:textId="77777777" w:rsidR="001436BF" w:rsidRDefault="001436BF" w:rsidP="00EC2A58">
      <w:pPr>
        <w:spacing w:after="0" w:line="240" w:lineRule="auto"/>
      </w:pPr>
      <w:r>
        <w:separator/>
      </w:r>
    </w:p>
  </w:endnote>
  <w:endnote w:type="continuationSeparator" w:id="0">
    <w:p w14:paraId="013640E2" w14:textId="77777777" w:rsidR="001436BF" w:rsidRDefault="001436BF"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3DF9205" w:rsidR="00EC2A58" w:rsidRPr="00EC2A58" w:rsidRDefault="00EC2A58" w:rsidP="001E586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F96C" w14:textId="77777777" w:rsidR="001E5864" w:rsidRDefault="001E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3CBB" w14:textId="77777777" w:rsidR="001436BF" w:rsidRDefault="001436BF" w:rsidP="00EC2A58">
      <w:pPr>
        <w:spacing w:after="0" w:line="240" w:lineRule="auto"/>
      </w:pPr>
      <w:r>
        <w:separator/>
      </w:r>
    </w:p>
  </w:footnote>
  <w:footnote w:type="continuationSeparator" w:id="0">
    <w:p w14:paraId="27387416" w14:textId="77777777" w:rsidR="001436BF" w:rsidRDefault="001436BF" w:rsidP="00EC2A58">
      <w:pPr>
        <w:spacing w:after="0" w:line="240" w:lineRule="auto"/>
      </w:pPr>
      <w:r>
        <w:continuationSeparator/>
      </w:r>
    </w:p>
  </w:footnote>
  <w:footnote w:id="1">
    <w:p w14:paraId="5101C1A5" w14:textId="4E5EBC57" w:rsidR="00EB52AF" w:rsidRPr="00E214E1" w:rsidRDefault="00EB52AF" w:rsidP="00E214E1">
      <w:pPr>
        <w:pStyle w:val="FootnoteText"/>
        <w:jc w:val="both"/>
        <w:rPr>
          <w:rFonts w:ascii="Arial" w:hAnsi="Arial" w:cs="Arial"/>
          <w:i/>
          <w:iCs/>
          <w:sz w:val="16"/>
          <w:szCs w:val="16"/>
          <w:lang w:val="fr-FR"/>
        </w:rPr>
      </w:pPr>
      <w:r w:rsidRPr="005011A4">
        <w:rPr>
          <w:rStyle w:val="FootnoteReference"/>
          <w:rFonts w:ascii="Arial" w:hAnsi="Arial" w:cs="Arial"/>
          <w:sz w:val="16"/>
          <w:szCs w:val="16"/>
        </w:rPr>
        <w:footnoteRef/>
      </w:r>
      <w:r w:rsidRPr="005011A4">
        <w:rPr>
          <w:rFonts w:ascii="Arial" w:hAnsi="Arial" w:cs="Arial"/>
          <w:sz w:val="16"/>
          <w:szCs w:val="16"/>
          <w:lang w:val="fr-FR"/>
        </w:rPr>
        <w:t xml:space="preserve"> </w:t>
      </w:r>
      <w:r w:rsidR="005011A4" w:rsidRPr="005011A4">
        <w:rPr>
          <w:rFonts w:ascii="Arial" w:hAnsi="Arial" w:cs="Arial"/>
          <w:sz w:val="16"/>
          <w:szCs w:val="16"/>
          <w:lang w:val="fr-FR"/>
        </w:rPr>
        <w:t>Résolution 9.15,paragraphe 2(</w:t>
      </w:r>
      <w:r w:rsidR="00594867">
        <w:rPr>
          <w:rFonts w:ascii="Arial" w:hAnsi="Arial" w:cs="Arial"/>
          <w:sz w:val="16"/>
          <w:szCs w:val="16"/>
          <w:lang w:val="fr-FR"/>
        </w:rPr>
        <w:t>l</w:t>
      </w:r>
      <w:r w:rsidR="005011A4" w:rsidRPr="005011A4">
        <w:rPr>
          <w:rFonts w:ascii="Arial" w:hAnsi="Arial" w:cs="Arial"/>
          <w:sz w:val="16"/>
          <w:szCs w:val="16"/>
          <w:lang w:val="fr-FR"/>
        </w:rPr>
        <w:t>)</w:t>
      </w:r>
      <w:r w:rsidR="00E214E1">
        <w:rPr>
          <w:rFonts w:ascii="Arial" w:hAnsi="Arial" w:cs="Arial"/>
          <w:sz w:val="16"/>
          <w:szCs w:val="16"/>
          <w:lang w:val="fr-FR"/>
        </w:rPr>
        <w:t xml:space="preserve"> : </w:t>
      </w:r>
      <w:r w:rsidR="00E214E1" w:rsidRPr="00E214E1">
        <w:rPr>
          <w:rFonts w:ascii="Arial" w:hAnsi="Arial" w:cs="Arial"/>
          <w:i/>
          <w:iCs/>
          <w:sz w:val="16"/>
          <w:szCs w:val="16"/>
          <w:lang w:val="fr-FR"/>
        </w:rPr>
        <w:t>Si un représentant ou un suppléant régional démissionne du Comité Permanent, le Secrétariat organise un scrutin parmi les Parties de cette région afin d’élire un successeur, le système de vote décrit dans le Règlement intérieur du CdP étant adopté mutatis mutandis.</w:t>
      </w:r>
    </w:p>
  </w:footnote>
  <w:footnote w:id="2">
    <w:p w14:paraId="7698D802" w14:textId="2D115F9B" w:rsidR="00D80B0B" w:rsidRPr="00533E73" w:rsidRDefault="00D80B0B" w:rsidP="00D80B0B">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Conformément au paragraphe 1(e) de la Résolution 9.15 et aux paragraphes 1(a) et 1(b) de </w:t>
      </w:r>
      <w:r w:rsidR="00BD2398">
        <w:rPr>
          <w:rFonts w:ascii="Arial" w:hAnsi="Arial" w:cs="Arial"/>
          <w:sz w:val="16"/>
          <w:szCs w:val="16"/>
          <w:lang w:val="fr-FR"/>
        </w:rPr>
        <w:t>l’</w:t>
      </w:r>
      <w:r w:rsidR="00BD2398">
        <w:rPr>
          <w:rFonts w:ascii="Arial" w:hAnsi="Arial" w:cs="Arial"/>
          <w:sz w:val="16"/>
          <w:szCs w:val="16"/>
          <w:lang w:val="fr-FR"/>
        </w:rPr>
        <w:t>Anenxe 4 de la</w:t>
      </w:r>
      <w:r>
        <w:rPr>
          <w:rFonts w:ascii="Arial" w:hAnsi="Arial" w:cs="Arial"/>
          <w:sz w:val="16"/>
          <w:szCs w:val="16"/>
          <w:lang w:val="fr-FR"/>
        </w:rPr>
        <w:t xml:space="preserve"> Résolution 1</w:t>
      </w:r>
      <w:r w:rsidR="00D53F77">
        <w:rPr>
          <w:rFonts w:ascii="Arial" w:hAnsi="Arial" w:cs="Arial"/>
          <w:sz w:val="16"/>
          <w:szCs w:val="16"/>
          <w:lang w:val="fr-FR"/>
        </w:rPr>
        <w:t>4</w:t>
      </w:r>
      <w:r>
        <w:rPr>
          <w:rFonts w:ascii="Arial" w:hAnsi="Arial" w:cs="Arial"/>
          <w:sz w:val="16"/>
          <w:szCs w:val="16"/>
          <w:lang w:val="fr-FR"/>
        </w:rPr>
        <w:t>.2</w:t>
      </w:r>
      <w:r w:rsidRPr="00D53F77">
        <w:rPr>
          <w:rFonts w:ascii="Arial" w:hAnsi="Arial" w:cs="Arial"/>
          <w:i/>
          <w:iCs/>
          <w:sz w:val="16"/>
          <w:szCs w:val="16"/>
          <w:lang w:val="fr-FR"/>
        </w:rPr>
        <w:t xml:space="preserve"> </w:t>
      </w:r>
      <w:r w:rsidR="00D53F77" w:rsidRPr="00D53F77">
        <w:rPr>
          <w:rFonts w:ascii="Arial" w:hAnsi="Arial" w:cs="Arial"/>
          <w:i/>
          <w:iCs/>
          <w:sz w:val="16"/>
          <w:szCs w:val="16"/>
          <w:lang w:val="fr-FR"/>
        </w:rPr>
        <w:t>Q</w:t>
      </w:r>
      <w:r w:rsidRPr="00D53F77">
        <w:rPr>
          <w:rFonts w:ascii="Arial" w:hAnsi="Arial" w:cs="Arial"/>
          <w:i/>
          <w:iCs/>
          <w:sz w:val="16"/>
          <w:szCs w:val="16"/>
          <w:lang w:val="fr-FR"/>
        </w:rPr>
        <w:t>uestions financières et administratives</w:t>
      </w:r>
      <w:r>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9554960"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D80B0B">
      <w:rPr>
        <w:rFonts w:eastAsia="Arial" w:cs="Arial"/>
        <w:i/>
        <w:sz w:val="18"/>
        <w:szCs w:val="18"/>
        <w:lang w:val="fr-FR"/>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66E1AF97" w:rsidR="00EC2A58" w:rsidRPr="00D80B0B"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D80B0B" w:rsidRPr="00D80B0B">
      <w:rPr>
        <w:rFonts w:eastAsia="Arial" w:cs="Arial"/>
        <w:i/>
        <w:sz w:val="18"/>
        <w:szCs w:val="18"/>
        <w:lang w:val="fr-FR"/>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143652F"/>
    <w:multiLevelType w:val="hybridMultilevel"/>
    <w:tmpl w:val="F3FE06C2"/>
    <w:lvl w:ilvl="0" w:tplc="4C88504A">
      <w:start w:val="1"/>
      <w:numFmt w:val="lowerRoman"/>
      <w:lvlText w:val="(%1)"/>
      <w:lvlJc w:val="left"/>
      <w:pPr>
        <w:ind w:left="1620" w:hanging="720"/>
      </w:pPr>
    </w:lvl>
    <w:lvl w:ilvl="1" w:tplc="4F106F44">
      <w:start w:val="1"/>
      <w:numFmt w:val="lowerLetter"/>
      <w:lvlText w:val="(%2)"/>
      <w:lvlJc w:val="left"/>
      <w:pPr>
        <w:ind w:left="1980" w:hanging="360"/>
      </w:pPr>
    </w:lvl>
    <w:lvl w:ilvl="2" w:tplc="0407001B">
      <w:start w:val="1"/>
      <w:numFmt w:val="lowerRoman"/>
      <w:lvlText w:val="%3."/>
      <w:lvlJc w:val="right"/>
      <w:pPr>
        <w:ind w:left="2700" w:hanging="180"/>
      </w:pPr>
    </w:lvl>
    <w:lvl w:ilvl="3" w:tplc="0407000F">
      <w:start w:val="1"/>
      <w:numFmt w:val="decimal"/>
      <w:lvlText w:val="%4."/>
      <w:lvlJc w:val="left"/>
      <w:pPr>
        <w:ind w:left="3420" w:hanging="360"/>
      </w:pPr>
    </w:lvl>
    <w:lvl w:ilvl="4" w:tplc="04070019">
      <w:start w:val="1"/>
      <w:numFmt w:val="lowerLetter"/>
      <w:lvlText w:val="%5."/>
      <w:lvlJc w:val="left"/>
      <w:pPr>
        <w:ind w:left="4140" w:hanging="360"/>
      </w:pPr>
    </w:lvl>
    <w:lvl w:ilvl="5" w:tplc="0407001B">
      <w:start w:val="1"/>
      <w:numFmt w:val="lowerRoman"/>
      <w:lvlText w:val="%6."/>
      <w:lvlJc w:val="right"/>
      <w:pPr>
        <w:ind w:left="4860" w:hanging="180"/>
      </w:pPr>
    </w:lvl>
    <w:lvl w:ilvl="6" w:tplc="0407000F">
      <w:start w:val="1"/>
      <w:numFmt w:val="decimal"/>
      <w:lvlText w:val="%7."/>
      <w:lvlJc w:val="left"/>
      <w:pPr>
        <w:ind w:left="5580" w:hanging="360"/>
      </w:pPr>
    </w:lvl>
    <w:lvl w:ilvl="7" w:tplc="04070019">
      <w:start w:val="1"/>
      <w:numFmt w:val="lowerLetter"/>
      <w:lvlText w:val="%8."/>
      <w:lvlJc w:val="left"/>
      <w:pPr>
        <w:ind w:left="6300" w:hanging="360"/>
      </w:pPr>
    </w:lvl>
    <w:lvl w:ilvl="8" w:tplc="0407001B">
      <w:start w:val="1"/>
      <w:numFmt w:val="lowerRoman"/>
      <w:lvlText w:val="%9."/>
      <w:lvlJc w:val="right"/>
      <w:pPr>
        <w:ind w:left="7020" w:hanging="180"/>
      </w:pPr>
    </w:lvl>
  </w:abstractNum>
  <w:abstractNum w:abstractNumId="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38902923">
    <w:abstractNumId w:val="2"/>
  </w:num>
  <w:num w:numId="2" w16cid:durableId="1897470158">
    <w:abstractNumId w:val="0"/>
  </w:num>
  <w:num w:numId="3" w16cid:durableId="887568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98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D2642"/>
    <w:rsid w:val="00106715"/>
    <w:rsid w:val="001436BF"/>
    <w:rsid w:val="001E5864"/>
    <w:rsid w:val="00234756"/>
    <w:rsid w:val="00235590"/>
    <w:rsid w:val="002B2A77"/>
    <w:rsid w:val="003831DB"/>
    <w:rsid w:val="003B13F7"/>
    <w:rsid w:val="003E40F1"/>
    <w:rsid w:val="003E6307"/>
    <w:rsid w:val="004465FF"/>
    <w:rsid w:val="0046108A"/>
    <w:rsid w:val="004731E6"/>
    <w:rsid w:val="004F2FBF"/>
    <w:rsid w:val="005011A4"/>
    <w:rsid w:val="005330F7"/>
    <w:rsid w:val="00545E35"/>
    <w:rsid w:val="00562C31"/>
    <w:rsid w:val="00562CF1"/>
    <w:rsid w:val="00563598"/>
    <w:rsid w:val="00571942"/>
    <w:rsid w:val="00594867"/>
    <w:rsid w:val="005C2295"/>
    <w:rsid w:val="005C4E76"/>
    <w:rsid w:val="005D1E01"/>
    <w:rsid w:val="00611A09"/>
    <w:rsid w:val="00611E90"/>
    <w:rsid w:val="0067131E"/>
    <w:rsid w:val="006B0D91"/>
    <w:rsid w:val="006B4B0D"/>
    <w:rsid w:val="0071181A"/>
    <w:rsid w:val="007C0105"/>
    <w:rsid w:val="00833D03"/>
    <w:rsid w:val="00870459"/>
    <w:rsid w:val="00871276"/>
    <w:rsid w:val="00896FBB"/>
    <w:rsid w:val="008D0157"/>
    <w:rsid w:val="008E55E9"/>
    <w:rsid w:val="00957E7E"/>
    <w:rsid w:val="00981584"/>
    <w:rsid w:val="009B5C5D"/>
    <w:rsid w:val="00A10251"/>
    <w:rsid w:val="00A563AB"/>
    <w:rsid w:val="00A8521C"/>
    <w:rsid w:val="00A95195"/>
    <w:rsid w:val="00AF3AEC"/>
    <w:rsid w:val="00B53FD4"/>
    <w:rsid w:val="00B75797"/>
    <w:rsid w:val="00BA33FE"/>
    <w:rsid w:val="00BD2398"/>
    <w:rsid w:val="00C7547E"/>
    <w:rsid w:val="00C961F2"/>
    <w:rsid w:val="00CB4AC9"/>
    <w:rsid w:val="00CE34A0"/>
    <w:rsid w:val="00D53F77"/>
    <w:rsid w:val="00D80B0B"/>
    <w:rsid w:val="00DD01C0"/>
    <w:rsid w:val="00DD16A1"/>
    <w:rsid w:val="00E214E1"/>
    <w:rsid w:val="00E25A3E"/>
    <w:rsid w:val="00E30B62"/>
    <w:rsid w:val="00E62DE2"/>
    <w:rsid w:val="00E65072"/>
    <w:rsid w:val="00EB52AF"/>
    <w:rsid w:val="00EC2A58"/>
    <w:rsid w:val="00EE166A"/>
    <w:rsid w:val="00EE30B3"/>
    <w:rsid w:val="00F573C8"/>
    <w:rsid w:val="00F65EC5"/>
    <w:rsid w:val="00F935F6"/>
    <w:rsid w:val="00FC4F18"/>
    <w:rsid w:val="00FD5407"/>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D80B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80B0B"/>
    <w:rPr>
      <w:rFonts w:ascii="Times New Roman" w:eastAsia="Times New Roman" w:hAnsi="Times New Roman" w:cs="Times New Roman"/>
      <w:sz w:val="20"/>
      <w:szCs w:val="20"/>
    </w:rPr>
  </w:style>
  <w:style w:type="character" w:styleId="FootnoteReference">
    <w:name w:val="footnote reference"/>
    <w:uiPriority w:val="99"/>
    <w:semiHidden/>
    <w:unhideWhenUsed/>
    <w:rsid w:val="00D80B0B"/>
    <w:rPr>
      <w:rFonts w:ascii="Times New Roman" w:hAnsi="Times New Roman" w:cs="Times New Roman" w:hint="default"/>
    </w:rPr>
  </w:style>
  <w:style w:type="table" w:styleId="TableGrid">
    <w:name w:val="Table Grid"/>
    <w:basedOn w:val="TableNormal"/>
    <w:uiPriority w:val="39"/>
    <w:rsid w:val="00D8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F6B44594-CED9-4626-AFB3-4FA44B0CB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761</Words>
  <Characters>4062</Characters>
  <Application>Microsoft Office Word</Application>
  <DocSecurity>0</DocSecurity>
  <Lines>213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28</cp:revision>
  <dcterms:created xsi:type="dcterms:W3CDTF">2025-11-28T09:41:00Z</dcterms:created>
  <dcterms:modified xsi:type="dcterms:W3CDTF">2025-11-28T10:03:00Z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