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5B12A8" w:rsidRPr="00696BC4" w14:paraId="17BE037A" w14:textId="77777777" w:rsidTr="67A58FA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696BC4"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696BC4">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696BC4"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696BC4"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696BC4">
              <w:rPr>
                <w:rFonts w:eastAsia="Times New Roman" w:cs="Arial"/>
                <w:b/>
                <w:sz w:val="32"/>
                <w:szCs w:val="32"/>
              </w:rPr>
              <w:t>CONVENTION ON</w:t>
            </w:r>
          </w:p>
          <w:p w14:paraId="32613398" w14:textId="77777777" w:rsidR="002E0DE9" w:rsidRPr="00696BC4"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696BC4">
              <w:rPr>
                <w:rFonts w:eastAsia="Times New Roman" w:cs="Arial"/>
                <w:b/>
                <w:sz w:val="32"/>
                <w:szCs w:val="32"/>
              </w:rPr>
              <w:t>MIGRATORY</w:t>
            </w:r>
          </w:p>
          <w:p w14:paraId="56052177" w14:textId="77777777" w:rsidR="002E0DE9" w:rsidRPr="00696BC4"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696BC4">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58C22937" w:rsidR="00A34291" w:rsidRPr="00696BC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696BC4">
              <w:rPr>
                <w:rFonts w:eastAsia="Times New Roman" w:cs="Arial"/>
              </w:rPr>
              <w:t>UNEP/CMS/COP</w:t>
            </w:r>
            <w:r w:rsidR="00C71691" w:rsidRPr="00696BC4">
              <w:rPr>
                <w:rFonts w:eastAsia="Times New Roman" w:cs="Arial"/>
              </w:rPr>
              <w:t>15</w:t>
            </w:r>
            <w:r w:rsidRPr="00696BC4">
              <w:rPr>
                <w:rFonts w:eastAsia="Times New Roman" w:cs="Arial"/>
              </w:rPr>
              <w:t>/Doc.</w:t>
            </w:r>
            <w:r w:rsidR="00847F9A" w:rsidRPr="00696BC4">
              <w:rPr>
                <w:rFonts w:eastAsia="Times New Roman" w:cs="Arial"/>
              </w:rPr>
              <w:t>17</w:t>
            </w:r>
          </w:p>
          <w:p w14:paraId="7470AD45" w14:textId="08DDF34D" w:rsidR="002E0DE9" w:rsidRPr="00696BC4" w:rsidRDefault="006C7CB4" w:rsidP="00661875">
            <w:pPr>
              <w:tabs>
                <w:tab w:val="left" w:pos="5040"/>
                <w:tab w:val="left" w:pos="5760"/>
                <w:tab w:val="left" w:pos="6008"/>
                <w:tab w:val="left" w:pos="6480"/>
                <w:tab w:val="left" w:pos="7200"/>
                <w:tab w:val="left" w:pos="7920"/>
                <w:tab w:val="left" w:pos="8640"/>
              </w:tabs>
              <w:rPr>
                <w:rFonts w:cs="Arial"/>
                <w:i/>
              </w:rPr>
            </w:pPr>
            <w:r w:rsidRPr="00696BC4">
              <w:rPr>
                <w:rFonts w:eastAsia="Times New Roman" w:cs="Arial"/>
              </w:rPr>
              <w:t>26 November 2025</w:t>
            </w:r>
          </w:p>
          <w:p w14:paraId="21B42A0D"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rPr>
            </w:pPr>
            <w:r w:rsidRPr="00696BC4">
              <w:rPr>
                <w:rFonts w:eastAsia="Times New Roman" w:cs="Arial"/>
              </w:rPr>
              <w:t>Original: English</w:t>
            </w:r>
          </w:p>
        </w:tc>
      </w:tr>
    </w:tbl>
    <w:p w14:paraId="6F980F1F" w14:textId="77777777" w:rsidR="002E0DE9" w:rsidRPr="00696BC4"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3A98C06D" w:rsidR="002E0DE9" w:rsidRPr="00696BC4" w:rsidRDefault="00C71691"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696BC4">
        <w:rPr>
          <w:rFonts w:eastAsia="Times New Roman" w:cs="Arial"/>
        </w:rPr>
        <w:t>15</w:t>
      </w:r>
      <w:r w:rsidR="002E0DE9" w:rsidRPr="00696BC4">
        <w:rPr>
          <w:rFonts w:eastAsia="Times New Roman" w:cs="Arial"/>
          <w:vertAlign w:val="superscript"/>
        </w:rPr>
        <w:t>th</w:t>
      </w:r>
      <w:r w:rsidR="002E0DE9" w:rsidRPr="00696BC4">
        <w:rPr>
          <w:rFonts w:eastAsia="Times New Roman" w:cs="Arial"/>
        </w:rPr>
        <w:t xml:space="preserve"> MEETING OF THE CONFERENCE OF THE PARTIES</w:t>
      </w:r>
    </w:p>
    <w:p w14:paraId="20D5A67B" w14:textId="65610BBB" w:rsidR="002E0DE9" w:rsidRPr="00696BC4" w:rsidRDefault="00B664F2"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696BC4">
        <w:rPr>
          <w:rFonts w:eastAsia="Times New Roman" w:cs="Arial"/>
        </w:rPr>
        <w:t xml:space="preserve">Campo Grande, Brazil, </w:t>
      </w:r>
      <w:r w:rsidR="00282444" w:rsidRPr="00696BC4">
        <w:rPr>
          <w:rFonts w:eastAsia="Times New Roman" w:cs="Arial"/>
        </w:rPr>
        <w:t>23 to 29 March 2026</w:t>
      </w:r>
    </w:p>
    <w:p w14:paraId="3F607F85" w14:textId="613491AC" w:rsidR="002E0DE9" w:rsidRPr="00696BC4" w:rsidRDefault="002E0DE9" w:rsidP="00661875">
      <w:pPr>
        <w:tabs>
          <w:tab w:val="left" w:pos="7020"/>
        </w:tabs>
        <w:rPr>
          <w:rFonts w:cs="Arial"/>
        </w:rPr>
      </w:pPr>
      <w:r w:rsidRPr="00696BC4">
        <w:rPr>
          <w:lang w:val="en-US"/>
        </w:rPr>
        <w:t xml:space="preserve">Agenda Item </w:t>
      </w:r>
      <w:r w:rsidR="00847F9A" w:rsidRPr="00696BC4">
        <w:rPr>
          <w:lang w:val="en-US"/>
        </w:rPr>
        <w:t>17</w:t>
      </w:r>
    </w:p>
    <w:p w14:paraId="7408EC0D"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rPr>
      </w:pPr>
    </w:p>
    <w:p w14:paraId="6BA2958E" w14:textId="2F2EEE73" w:rsidR="00661875" w:rsidRPr="00696BC4" w:rsidRDefault="00847F9A" w:rsidP="00440E1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sidRPr="00696BC4">
        <w:rPr>
          <w:rFonts w:eastAsia="Times New Roman" w:cs="Arial"/>
          <w:b/>
          <w:bCs/>
        </w:rPr>
        <w:t>ELECTION OF PARTIES TO THE STANDING COMMITTEE</w:t>
      </w:r>
    </w:p>
    <w:p w14:paraId="57504EB6" w14:textId="4ED1DF60" w:rsidR="002E0DE9" w:rsidRPr="00696BC4" w:rsidRDefault="008B0AC3" w:rsidP="00F81B4A">
      <w:pPr>
        <w:widowControl w:val="0"/>
        <w:suppressAutoHyphens/>
        <w:autoSpaceDE w:val="0"/>
        <w:autoSpaceDN w:val="0"/>
        <w:spacing w:after="0" w:line="240" w:lineRule="auto"/>
        <w:jc w:val="center"/>
        <w:textAlignment w:val="baseline"/>
        <w:rPr>
          <w:rFonts w:eastAsia="Times New Roman" w:cs="Arial"/>
          <w:i/>
        </w:rPr>
      </w:pPr>
      <w:r w:rsidRPr="00696BC4">
        <w:rPr>
          <w:rFonts w:eastAsia="Times New Roman" w:cs="Arial"/>
          <w:i/>
        </w:rPr>
        <w:t xml:space="preserve">(Prepared by </w:t>
      </w:r>
      <w:r w:rsidR="00847F9A" w:rsidRPr="00696BC4">
        <w:rPr>
          <w:rFonts w:eastAsia="Times New Roman" w:cs="Arial"/>
          <w:i/>
        </w:rPr>
        <w:t>the Secretariat</w:t>
      </w:r>
      <w:r w:rsidRPr="00696BC4">
        <w:rPr>
          <w:rFonts w:eastAsia="Times New Roman" w:cs="Arial"/>
          <w:i/>
        </w:rPr>
        <w:t>)</w:t>
      </w:r>
    </w:p>
    <w:p w14:paraId="64EB2086" w14:textId="77777777" w:rsidR="00847F9A" w:rsidRPr="00696BC4" w:rsidRDefault="00847F9A"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25A47AE0" w14:textId="77777777" w:rsidR="002E0DE9" w:rsidRPr="00696BC4"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696BC4">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64BA0620">
                <wp:simplePos x="0" y="0"/>
                <wp:positionH relativeFrom="column">
                  <wp:posOffset>919686</wp:posOffset>
                </wp:positionH>
                <wp:positionV relativeFrom="paragraph">
                  <wp:posOffset>123546</wp:posOffset>
                </wp:positionV>
                <wp:extent cx="4143870" cy="1358386"/>
                <wp:effectExtent l="0" t="0" r="28575" b="13335"/>
                <wp:wrapNone/>
                <wp:docPr id="5" name="Text Box 5"/>
                <wp:cNvGraphicFramePr/>
                <a:graphic xmlns:a="http://schemas.openxmlformats.org/drawingml/2006/main">
                  <a:graphicData uri="http://schemas.microsoft.com/office/word/2010/wordprocessingShape">
                    <wps:wsp>
                      <wps:cNvSpPr txBox="1"/>
                      <wps:spPr>
                        <a:xfrm>
                          <a:off x="0" y="0"/>
                          <a:ext cx="4143870" cy="1358386"/>
                        </a:xfrm>
                        <a:prstGeom prst="rect">
                          <a:avLst/>
                        </a:prstGeom>
                        <a:solidFill>
                          <a:srgbClr val="FFFFFF"/>
                        </a:solidFill>
                        <a:ln w="3172">
                          <a:solidFill>
                            <a:srgbClr val="000000"/>
                          </a:solidFill>
                          <a:prstDash val="solid"/>
                        </a:ln>
                      </wps:spPr>
                      <wps:txbx>
                        <w:txbxContent>
                          <w:p w14:paraId="0A7AC1E9" w14:textId="338F4D23" w:rsidR="009C1079" w:rsidRDefault="002E0DE9" w:rsidP="00DF3475">
                            <w:pPr>
                              <w:spacing w:after="0"/>
                              <w:rPr>
                                <w:rFonts w:cs="Arial"/>
                              </w:rPr>
                            </w:pPr>
                            <w:r>
                              <w:rPr>
                                <w:rFonts w:cs="Arial"/>
                              </w:rPr>
                              <w:t>Summary:</w:t>
                            </w:r>
                          </w:p>
                          <w:p w14:paraId="5B1FC091" w14:textId="77777777" w:rsidR="00DF3475" w:rsidRDefault="00DF3475" w:rsidP="00DF3475">
                            <w:pPr>
                              <w:spacing w:after="0"/>
                              <w:rPr>
                                <w:rFonts w:cs="Arial"/>
                              </w:rPr>
                            </w:pPr>
                          </w:p>
                          <w:p w14:paraId="4173CAF2" w14:textId="02F440C6" w:rsidR="00DF3475" w:rsidRPr="00DF3475" w:rsidRDefault="00DF3475" w:rsidP="00440E1D">
                            <w:pPr>
                              <w:spacing w:after="0" w:line="240" w:lineRule="auto"/>
                              <w:jc w:val="both"/>
                              <w:rPr>
                                <w:rFonts w:cs="Arial"/>
                              </w:rPr>
                            </w:pPr>
                            <w:r w:rsidRPr="00DF3475">
                              <w:rPr>
                                <w:rFonts w:cs="Arial"/>
                              </w:rPr>
                              <w:t xml:space="preserve">In accordance with Resolution 9.15 </w:t>
                            </w:r>
                            <w:r w:rsidRPr="00DF7799">
                              <w:rPr>
                                <w:rFonts w:cs="Arial"/>
                                <w:i/>
                                <w:iCs/>
                              </w:rPr>
                              <w:t>Composition and Organisation of the Standing Committee</w:t>
                            </w:r>
                            <w:r w:rsidR="006913B0">
                              <w:rPr>
                                <w:rFonts w:cs="Arial"/>
                              </w:rPr>
                              <w:t>,</w:t>
                            </w:r>
                            <w:r w:rsidRPr="00DF3475">
                              <w:rPr>
                                <w:rFonts w:cs="Arial"/>
                              </w:rPr>
                              <w:t xml:space="preserve"> the Secretariat has prepared guidance for Parties regarding the election of regional and alternate members to the Standing Committee. </w:t>
                            </w:r>
                          </w:p>
                          <w:p w14:paraId="5FAEFBE3" w14:textId="51337F2F" w:rsidR="00F70C29" w:rsidRPr="00440E1D" w:rsidRDefault="00F70C29" w:rsidP="00440E1D">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2.4pt;margin-top:9.75pt;width:326.3pt;height:10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" strokeweight=".08811mm">
                <v:textbox>
                  <w:txbxContent>
                    <w:p w14:paraId="0A7AC1E9" w14:textId="338F4D23" w:rsidR="009C1079" w:rsidRDefault="002E0DE9" w:rsidP="00DF3475">
                      <w:pPr>
                        <w:spacing w:after="0"/>
                        <w:rPr>
                          <w:rFonts w:cs="Arial"/>
                        </w:rPr>
                      </w:pPr>
                      <w:r>
                        <w:rPr>
                          <w:rFonts w:cs="Arial"/>
                        </w:rPr>
                        <w:t>Summary:</w:t>
                      </w:r>
                    </w:p>
                    <w:p w14:paraId="5B1FC091" w14:textId="77777777" w:rsidR="00DF3475" w:rsidRDefault="00DF3475" w:rsidP="00DF3475">
                      <w:pPr>
                        <w:spacing w:after="0"/>
                        <w:rPr>
                          <w:rFonts w:cs="Arial"/>
                        </w:rPr>
                      </w:pPr>
                    </w:p>
                    <w:p w14:paraId="4173CAF2" w14:textId="02F440C6" w:rsidR="00DF3475" w:rsidRPr="00DF3475" w:rsidRDefault="00DF3475" w:rsidP="00440E1D">
                      <w:pPr>
                        <w:spacing w:after="0" w:line="240" w:lineRule="auto"/>
                        <w:jc w:val="both"/>
                        <w:rPr>
                          <w:rFonts w:cs="Arial"/>
                        </w:rPr>
                      </w:pPr>
                      <w:r w:rsidRPr="00DF3475">
                        <w:rPr>
                          <w:rFonts w:cs="Arial"/>
                        </w:rPr>
                        <w:t xml:space="preserve">In accordance with Resolution 9.15 </w:t>
                      </w:r>
                      <w:r w:rsidRPr="00DF7799">
                        <w:rPr>
                          <w:rFonts w:cs="Arial"/>
                          <w:i/>
                          <w:iCs/>
                        </w:rPr>
                        <w:t>Composition and Organisation of the Standing Committee</w:t>
                      </w:r>
                      <w:r w:rsidR="006913B0">
                        <w:rPr>
                          <w:rFonts w:cs="Arial"/>
                        </w:rPr>
                        <w:t>,</w:t>
                      </w:r>
                      <w:r w:rsidRPr="00DF3475">
                        <w:rPr>
                          <w:rFonts w:cs="Arial"/>
                        </w:rPr>
                        <w:t xml:space="preserve"> the Secretariat has prepared guidance for Parties regarding the election of regional and alternate members to the Standing Committee. </w:t>
                      </w:r>
                    </w:p>
                    <w:p w14:paraId="5FAEFBE3" w14:textId="51337F2F" w:rsidR="00F70C29" w:rsidRPr="00440E1D" w:rsidRDefault="00F70C29" w:rsidP="00440E1D">
                      <w:pPr>
                        <w:spacing w:after="0" w:line="240" w:lineRule="auto"/>
                        <w:jc w:val="both"/>
                        <w:rPr>
                          <w:rFonts w:cs="Arial"/>
                        </w:rPr>
                      </w:pPr>
                    </w:p>
                  </w:txbxContent>
                </v:textbox>
              </v:shape>
            </w:pict>
          </mc:Fallback>
        </mc:AlternateContent>
      </w:r>
    </w:p>
    <w:p w14:paraId="320AAD7B"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696BC4"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696BC4"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696BC4" w:rsidRDefault="005330F7" w:rsidP="00EC4F04">
      <w:pPr>
        <w:spacing w:after="0" w:line="240" w:lineRule="auto"/>
      </w:pPr>
    </w:p>
    <w:p w14:paraId="111843FD" w14:textId="3BB741DE" w:rsidR="002E0DE9" w:rsidRPr="00696BC4" w:rsidRDefault="002E0DE9" w:rsidP="00EC4F04">
      <w:pPr>
        <w:spacing w:after="0" w:line="240" w:lineRule="auto"/>
      </w:pPr>
    </w:p>
    <w:p w14:paraId="6AF4E8FF" w14:textId="77777777" w:rsidR="002E0DE9" w:rsidRPr="00696BC4" w:rsidRDefault="002E0DE9" w:rsidP="00EC4F04">
      <w:pPr>
        <w:spacing w:after="0" w:line="240" w:lineRule="auto"/>
      </w:pPr>
    </w:p>
    <w:p w14:paraId="509B5F4B" w14:textId="77777777" w:rsidR="002E0DE9" w:rsidRPr="00696BC4" w:rsidRDefault="002E0DE9" w:rsidP="00EC4F04">
      <w:pPr>
        <w:spacing w:after="0" w:line="240" w:lineRule="auto"/>
      </w:pPr>
    </w:p>
    <w:p w14:paraId="73A3A65F" w14:textId="77777777" w:rsidR="00661875" w:rsidRPr="00696BC4" w:rsidRDefault="00661875" w:rsidP="00EC4F04">
      <w:pPr>
        <w:spacing w:after="0" w:line="240" w:lineRule="auto"/>
        <w:sectPr w:rsidR="00661875" w:rsidRPr="00696BC4" w:rsidSect="00D864DF">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52F85AE7" w14:textId="77777777" w:rsidR="00976F86" w:rsidRPr="00696BC4" w:rsidRDefault="00976F86" w:rsidP="00976F86">
      <w:pPr>
        <w:suppressAutoHyphens/>
        <w:autoSpaceDN w:val="0"/>
        <w:spacing w:after="0" w:line="240" w:lineRule="auto"/>
        <w:jc w:val="center"/>
        <w:textAlignment w:val="baseline"/>
        <w:rPr>
          <w:rFonts w:eastAsia="Times New Roman" w:cs="Arial"/>
          <w:b/>
          <w:bCs/>
          <w:caps/>
        </w:rPr>
      </w:pPr>
      <w:r w:rsidRPr="00696BC4">
        <w:rPr>
          <w:rFonts w:eastAsia="Times New Roman" w:cs="Arial"/>
          <w:b/>
          <w:bCs/>
          <w:caps/>
        </w:rPr>
        <w:lastRenderedPageBreak/>
        <w:t>ELECTION OF PARTIES TO THE STANDING COMMITTEE</w:t>
      </w:r>
    </w:p>
    <w:p w14:paraId="3532242C" w14:textId="77777777" w:rsidR="00FD3734" w:rsidRPr="00696BC4" w:rsidRDefault="00FD3734" w:rsidP="00FD3734">
      <w:pPr>
        <w:suppressAutoHyphens/>
        <w:autoSpaceDN w:val="0"/>
        <w:spacing w:after="0" w:line="240" w:lineRule="auto"/>
        <w:textAlignment w:val="baseline"/>
        <w:rPr>
          <w:rFonts w:eastAsia="Calibri" w:cs="Arial"/>
        </w:rPr>
      </w:pPr>
    </w:p>
    <w:p w14:paraId="5CDCBE54" w14:textId="77777777" w:rsidR="00416EBA" w:rsidRPr="00696BC4" w:rsidRDefault="00416EBA" w:rsidP="00FD3734">
      <w:pPr>
        <w:suppressAutoHyphens/>
        <w:autoSpaceDN w:val="0"/>
        <w:spacing w:after="0" w:line="240" w:lineRule="auto"/>
        <w:textAlignment w:val="baseline"/>
        <w:rPr>
          <w:rFonts w:eastAsia="Calibri" w:cs="Arial"/>
        </w:rPr>
      </w:pPr>
    </w:p>
    <w:p w14:paraId="2CD5E602" w14:textId="25688266" w:rsidR="0036455A" w:rsidRPr="00696BC4" w:rsidRDefault="0036455A" w:rsidP="0036455A">
      <w:pPr>
        <w:pStyle w:val="ListParagraph"/>
        <w:numPr>
          <w:ilvl w:val="0"/>
          <w:numId w:val="25"/>
        </w:numPr>
        <w:spacing w:after="0" w:line="240" w:lineRule="auto"/>
        <w:ind w:left="567" w:hanging="567"/>
        <w:jc w:val="both"/>
      </w:pPr>
      <w:r w:rsidRPr="00696BC4">
        <w:t>The Secretariat has prepared this note to assist Parties in their deliberations for the election of members to the Standing Committee to serve during the period from the close of the 15</w:t>
      </w:r>
      <w:r w:rsidRPr="00696BC4">
        <w:rPr>
          <w:vertAlign w:val="superscript"/>
        </w:rPr>
        <w:t>th</w:t>
      </w:r>
      <w:r w:rsidRPr="00696BC4">
        <w:t xml:space="preserve"> </w:t>
      </w:r>
      <w:r w:rsidR="00CD4680" w:rsidRPr="00696BC4">
        <w:t>m</w:t>
      </w:r>
      <w:r w:rsidRPr="00696BC4">
        <w:t>eeting to the close of the 16</w:t>
      </w:r>
      <w:r w:rsidRPr="00696BC4">
        <w:rPr>
          <w:vertAlign w:val="superscript"/>
        </w:rPr>
        <w:t>th</w:t>
      </w:r>
      <w:r w:rsidRPr="00696BC4">
        <w:t xml:space="preserve"> </w:t>
      </w:r>
      <w:r w:rsidR="00CD4680" w:rsidRPr="00696BC4">
        <w:t>m</w:t>
      </w:r>
      <w:r w:rsidRPr="00696BC4">
        <w:t xml:space="preserve">eeting of the Conference of the Parties. </w:t>
      </w:r>
    </w:p>
    <w:p w14:paraId="24E5B89D" w14:textId="77777777" w:rsidR="0036455A" w:rsidRPr="00696BC4" w:rsidRDefault="0036455A" w:rsidP="0036455A">
      <w:pPr>
        <w:pStyle w:val="ListParagraph"/>
        <w:spacing w:after="0" w:line="240" w:lineRule="auto"/>
        <w:ind w:left="567" w:hanging="567"/>
        <w:jc w:val="both"/>
      </w:pPr>
    </w:p>
    <w:p w14:paraId="1BE8295E" w14:textId="29CF340E" w:rsidR="0036455A" w:rsidRPr="00696BC4" w:rsidRDefault="0036455A" w:rsidP="0036455A">
      <w:pPr>
        <w:pStyle w:val="ListParagraph"/>
        <w:numPr>
          <w:ilvl w:val="0"/>
          <w:numId w:val="25"/>
        </w:numPr>
        <w:spacing w:after="0" w:line="240" w:lineRule="auto"/>
        <w:ind w:left="567" w:hanging="567"/>
        <w:jc w:val="both"/>
      </w:pPr>
      <w:r w:rsidRPr="00696BC4">
        <w:rPr>
          <w:rFonts w:cs="Arial"/>
        </w:rPr>
        <w:t>Resolution 9.15 outlines the composition and organization of the Standing Committee. In paragraph 2(k), it states that “[t]</w:t>
      </w:r>
      <w:r w:rsidRPr="00696BC4">
        <w:t xml:space="preserve">he membership of the Committee shall be renewed at every ordinary meeting of the Conference of the Parties”. </w:t>
      </w:r>
      <w:r w:rsidRPr="00696BC4">
        <w:rPr>
          <w:rFonts w:cs="Arial"/>
        </w:rPr>
        <w:t xml:space="preserve">Regarding its composition, it states the following: </w:t>
      </w:r>
    </w:p>
    <w:p w14:paraId="3487B5D1" w14:textId="77777777" w:rsidR="0036455A" w:rsidRPr="00696BC4" w:rsidRDefault="0036455A" w:rsidP="0036455A">
      <w:pPr>
        <w:spacing w:after="0"/>
        <w:ind w:left="360"/>
        <w:contextualSpacing/>
        <w:jc w:val="both"/>
        <w:rPr>
          <w:rFonts w:cs="Arial"/>
          <w:i/>
        </w:rPr>
      </w:pPr>
    </w:p>
    <w:p w14:paraId="5556F561" w14:textId="3FF47B66" w:rsidR="0036455A" w:rsidRPr="00696BC4" w:rsidRDefault="0036455A" w:rsidP="0036455A">
      <w:pPr>
        <w:spacing w:after="0" w:line="240" w:lineRule="auto"/>
        <w:ind w:left="1418" w:hanging="567"/>
        <w:jc w:val="both"/>
        <w:rPr>
          <w:rFonts w:cs="Arial"/>
          <w:i/>
          <w:sz w:val="20"/>
          <w:szCs w:val="20"/>
        </w:rPr>
      </w:pPr>
      <w:r w:rsidRPr="00696BC4">
        <w:rPr>
          <w:rFonts w:cs="Arial"/>
          <w:i/>
          <w:sz w:val="20"/>
          <w:szCs w:val="20"/>
        </w:rPr>
        <w:t>2. (a)</w:t>
      </w:r>
      <w:r w:rsidRPr="00696BC4">
        <w:rPr>
          <w:rFonts w:cs="Arial"/>
          <w:i/>
          <w:sz w:val="20"/>
          <w:szCs w:val="20"/>
        </w:rPr>
        <w:tab/>
        <w:t>The Membership of the Standing Committee shall be agreed at each meeting of the Conference of the Parties in accordance with the Conference’s Rules of Procedure (but also see 2 (l) below)</w:t>
      </w:r>
      <w:r w:rsidRPr="00696BC4">
        <w:rPr>
          <w:rStyle w:val="FootnoteReference"/>
          <w:rFonts w:cs="Arial"/>
          <w:i/>
          <w:sz w:val="20"/>
          <w:szCs w:val="20"/>
          <w:vertAlign w:val="superscript"/>
        </w:rPr>
        <w:footnoteReference w:id="2"/>
      </w:r>
      <w:r w:rsidRPr="00696BC4">
        <w:rPr>
          <w:rFonts w:cs="Arial"/>
          <w:i/>
          <w:sz w:val="20"/>
          <w:szCs w:val="20"/>
        </w:rPr>
        <w:t xml:space="preserve"> and shall comprise: </w:t>
      </w:r>
    </w:p>
    <w:p w14:paraId="04107E02" w14:textId="77777777" w:rsidR="0036455A" w:rsidRPr="00696BC4" w:rsidRDefault="0036455A" w:rsidP="0036455A">
      <w:pPr>
        <w:spacing w:after="0" w:line="240" w:lineRule="auto"/>
        <w:ind w:left="1418" w:hanging="567"/>
        <w:jc w:val="both"/>
        <w:rPr>
          <w:rFonts w:cs="Arial"/>
          <w:i/>
          <w:sz w:val="20"/>
          <w:szCs w:val="20"/>
        </w:rPr>
      </w:pPr>
    </w:p>
    <w:p w14:paraId="07BEB832" w14:textId="13CE5476" w:rsidR="0036455A" w:rsidRPr="00696BC4" w:rsidRDefault="0036455A" w:rsidP="0036455A">
      <w:pPr>
        <w:widowControl w:val="0"/>
        <w:numPr>
          <w:ilvl w:val="0"/>
          <w:numId w:val="26"/>
        </w:numPr>
        <w:autoSpaceDE w:val="0"/>
        <w:autoSpaceDN w:val="0"/>
        <w:adjustRightInd w:val="0"/>
        <w:spacing w:after="0" w:line="240" w:lineRule="auto"/>
        <w:ind w:left="1701" w:hanging="283"/>
        <w:jc w:val="both"/>
        <w:rPr>
          <w:rFonts w:cs="Arial"/>
          <w:i/>
          <w:sz w:val="20"/>
          <w:szCs w:val="20"/>
        </w:rPr>
      </w:pPr>
      <w:r w:rsidRPr="00696BC4">
        <w:rPr>
          <w:rFonts w:cs="Arial"/>
          <w:i/>
          <w:sz w:val="20"/>
          <w:szCs w:val="20"/>
        </w:rPr>
        <w:t>three Parties elected from each of the geographic regions (a)</w:t>
      </w:r>
      <w:r w:rsidR="00E20675" w:rsidRPr="00696BC4">
        <w:rPr>
          <w:rFonts w:cs="Arial"/>
          <w:i/>
          <w:sz w:val="20"/>
          <w:szCs w:val="20"/>
        </w:rPr>
        <w:t xml:space="preserve"> </w:t>
      </w:r>
      <w:r w:rsidRPr="00696BC4">
        <w:rPr>
          <w:rFonts w:cs="Arial"/>
          <w:i/>
          <w:sz w:val="20"/>
          <w:szCs w:val="20"/>
        </w:rPr>
        <w:t>Africa and (b)</w:t>
      </w:r>
      <w:r w:rsidR="00E20675" w:rsidRPr="00696BC4">
        <w:rPr>
          <w:rFonts w:cs="Arial"/>
          <w:i/>
          <w:sz w:val="20"/>
          <w:szCs w:val="20"/>
        </w:rPr>
        <w:t xml:space="preserve"> </w:t>
      </w:r>
      <w:r w:rsidRPr="00696BC4">
        <w:rPr>
          <w:rFonts w:cs="Arial"/>
          <w:i/>
          <w:sz w:val="20"/>
          <w:szCs w:val="20"/>
        </w:rPr>
        <w:t xml:space="preserve">Europe; </w:t>
      </w:r>
    </w:p>
    <w:p w14:paraId="3AAD02BF" w14:textId="77777777" w:rsidR="0036455A" w:rsidRPr="00696BC4" w:rsidRDefault="0036455A" w:rsidP="0036455A">
      <w:pPr>
        <w:widowControl w:val="0"/>
        <w:autoSpaceDE w:val="0"/>
        <w:autoSpaceDN w:val="0"/>
        <w:adjustRightInd w:val="0"/>
        <w:spacing w:after="0" w:line="240" w:lineRule="auto"/>
        <w:ind w:left="1701" w:hanging="283"/>
        <w:jc w:val="both"/>
        <w:rPr>
          <w:rFonts w:cs="Arial"/>
          <w:i/>
          <w:sz w:val="20"/>
          <w:szCs w:val="20"/>
        </w:rPr>
      </w:pPr>
    </w:p>
    <w:p w14:paraId="1A4F3627" w14:textId="77777777" w:rsidR="0036455A" w:rsidRPr="00696BC4" w:rsidRDefault="0036455A" w:rsidP="0036455A">
      <w:pPr>
        <w:widowControl w:val="0"/>
        <w:numPr>
          <w:ilvl w:val="0"/>
          <w:numId w:val="26"/>
        </w:numPr>
        <w:autoSpaceDE w:val="0"/>
        <w:autoSpaceDN w:val="0"/>
        <w:adjustRightInd w:val="0"/>
        <w:spacing w:after="0" w:line="240" w:lineRule="auto"/>
        <w:ind w:left="1701" w:hanging="283"/>
        <w:jc w:val="both"/>
        <w:rPr>
          <w:rFonts w:cs="Arial"/>
          <w:i/>
          <w:sz w:val="20"/>
          <w:szCs w:val="20"/>
        </w:rPr>
      </w:pPr>
      <w:r w:rsidRPr="00696BC4">
        <w:rPr>
          <w:rFonts w:cs="Arial"/>
          <w:i/>
          <w:sz w:val="20"/>
          <w:szCs w:val="20"/>
        </w:rPr>
        <w:t xml:space="preserve">two Parties elected from each of the geographic regions (a) Asia and (b) South and Central America and the Caribbean; </w:t>
      </w:r>
    </w:p>
    <w:p w14:paraId="6BDD24B2" w14:textId="77777777" w:rsidR="0036455A" w:rsidRPr="00696BC4" w:rsidRDefault="0036455A" w:rsidP="0036455A">
      <w:pPr>
        <w:widowControl w:val="0"/>
        <w:autoSpaceDE w:val="0"/>
        <w:autoSpaceDN w:val="0"/>
        <w:adjustRightInd w:val="0"/>
        <w:spacing w:after="0" w:line="240" w:lineRule="auto"/>
        <w:ind w:left="1701" w:hanging="283"/>
        <w:jc w:val="both"/>
        <w:rPr>
          <w:rFonts w:cs="Arial"/>
          <w:i/>
          <w:sz w:val="20"/>
          <w:szCs w:val="20"/>
        </w:rPr>
      </w:pPr>
    </w:p>
    <w:p w14:paraId="1DD5B927" w14:textId="77777777" w:rsidR="0036455A" w:rsidRPr="00696BC4" w:rsidRDefault="0036455A" w:rsidP="0036455A">
      <w:pPr>
        <w:widowControl w:val="0"/>
        <w:numPr>
          <w:ilvl w:val="0"/>
          <w:numId w:val="26"/>
        </w:numPr>
        <w:autoSpaceDE w:val="0"/>
        <w:autoSpaceDN w:val="0"/>
        <w:adjustRightInd w:val="0"/>
        <w:spacing w:after="0" w:line="240" w:lineRule="auto"/>
        <w:ind w:left="1701" w:hanging="283"/>
        <w:jc w:val="both"/>
        <w:rPr>
          <w:rFonts w:cs="Arial"/>
          <w:i/>
          <w:sz w:val="20"/>
          <w:szCs w:val="20"/>
        </w:rPr>
      </w:pPr>
      <w:r w:rsidRPr="00696BC4">
        <w:rPr>
          <w:rFonts w:cs="Arial"/>
          <w:i/>
          <w:sz w:val="20"/>
          <w:szCs w:val="20"/>
        </w:rPr>
        <w:t xml:space="preserve">one Party from each of the geographic regions (a) North America and (b)Oceania; </w:t>
      </w:r>
    </w:p>
    <w:p w14:paraId="2B2CC3A4" w14:textId="77777777" w:rsidR="0036455A" w:rsidRPr="00696BC4" w:rsidRDefault="0036455A" w:rsidP="0036455A">
      <w:pPr>
        <w:widowControl w:val="0"/>
        <w:autoSpaceDE w:val="0"/>
        <w:autoSpaceDN w:val="0"/>
        <w:adjustRightInd w:val="0"/>
        <w:spacing w:after="0" w:line="240" w:lineRule="auto"/>
        <w:ind w:left="1701" w:hanging="283"/>
        <w:jc w:val="both"/>
        <w:rPr>
          <w:rFonts w:cs="Arial"/>
          <w:i/>
          <w:sz w:val="20"/>
          <w:szCs w:val="20"/>
        </w:rPr>
      </w:pPr>
    </w:p>
    <w:p w14:paraId="6F5A4670" w14:textId="77777777" w:rsidR="0036455A" w:rsidRPr="00696BC4" w:rsidRDefault="0036455A" w:rsidP="0036455A">
      <w:pPr>
        <w:widowControl w:val="0"/>
        <w:numPr>
          <w:ilvl w:val="0"/>
          <w:numId w:val="26"/>
        </w:numPr>
        <w:autoSpaceDE w:val="0"/>
        <w:autoSpaceDN w:val="0"/>
        <w:adjustRightInd w:val="0"/>
        <w:spacing w:after="0" w:line="240" w:lineRule="auto"/>
        <w:ind w:left="1701" w:hanging="283"/>
        <w:jc w:val="both"/>
        <w:rPr>
          <w:rFonts w:cs="Arial"/>
          <w:i/>
          <w:sz w:val="20"/>
          <w:szCs w:val="20"/>
        </w:rPr>
      </w:pPr>
      <w:r w:rsidRPr="00696BC4">
        <w:rPr>
          <w:rFonts w:cs="Arial"/>
          <w:i/>
          <w:sz w:val="20"/>
          <w:szCs w:val="20"/>
        </w:rPr>
        <w:t xml:space="preserve">the Depositary and Host Government of the host of the Secretariat; and </w:t>
      </w:r>
    </w:p>
    <w:p w14:paraId="754D2B0C" w14:textId="77777777" w:rsidR="0036455A" w:rsidRPr="00696BC4" w:rsidRDefault="0036455A" w:rsidP="0036455A">
      <w:pPr>
        <w:widowControl w:val="0"/>
        <w:autoSpaceDE w:val="0"/>
        <w:autoSpaceDN w:val="0"/>
        <w:adjustRightInd w:val="0"/>
        <w:spacing w:after="0" w:line="240" w:lineRule="auto"/>
        <w:ind w:left="1701" w:hanging="283"/>
        <w:jc w:val="both"/>
        <w:rPr>
          <w:rFonts w:cs="Arial"/>
          <w:i/>
          <w:sz w:val="20"/>
          <w:szCs w:val="20"/>
        </w:rPr>
      </w:pPr>
    </w:p>
    <w:p w14:paraId="2C796F03" w14:textId="77777777" w:rsidR="0036455A" w:rsidRPr="00696BC4" w:rsidRDefault="0036455A" w:rsidP="0036455A">
      <w:pPr>
        <w:widowControl w:val="0"/>
        <w:numPr>
          <w:ilvl w:val="0"/>
          <w:numId w:val="26"/>
        </w:numPr>
        <w:autoSpaceDE w:val="0"/>
        <w:autoSpaceDN w:val="0"/>
        <w:adjustRightInd w:val="0"/>
        <w:spacing w:after="0" w:line="240" w:lineRule="auto"/>
        <w:ind w:left="1701" w:hanging="283"/>
        <w:jc w:val="both"/>
        <w:rPr>
          <w:rFonts w:cs="Arial"/>
          <w:i/>
          <w:sz w:val="20"/>
          <w:szCs w:val="20"/>
        </w:rPr>
      </w:pPr>
      <w:r w:rsidRPr="00696BC4">
        <w:rPr>
          <w:rFonts w:cs="Arial"/>
          <w:i/>
          <w:sz w:val="20"/>
          <w:szCs w:val="20"/>
        </w:rPr>
        <w:t>where appropriate, the Host Government of the next and previous meetings of the Conference of the Parties.</w:t>
      </w:r>
    </w:p>
    <w:p w14:paraId="49A47F1C" w14:textId="77777777" w:rsidR="0036455A" w:rsidRPr="00696BC4" w:rsidRDefault="0036455A" w:rsidP="0036455A">
      <w:pPr>
        <w:widowControl w:val="0"/>
        <w:autoSpaceDE w:val="0"/>
        <w:autoSpaceDN w:val="0"/>
        <w:adjustRightInd w:val="0"/>
        <w:spacing w:after="0" w:line="240" w:lineRule="auto"/>
        <w:ind w:left="851"/>
        <w:jc w:val="both"/>
        <w:rPr>
          <w:rFonts w:cs="Arial"/>
          <w:i/>
          <w:sz w:val="20"/>
          <w:szCs w:val="20"/>
        </w:rPr>
      </w:pPr>
    </w:p>
    <w:p w14:paraId="46AD37C7" w14:textId="2C66F6F0" w:rsidR="0036455A" w:rsidRPr="00696BC4" w:rsidRDefault="005F5F67" w:rsidP="005F5F67">
      <w:pPr>
        <w:widowControl w:val="0"/>
        <w:autoSpaceDE w:val="0"/>
        <w:autoSpaceDN w:val="0"/>
        <w:adjustRightInd w:val="0"/>
        <w:spacing w:after="0" w:line="240" w:lineRule="auto"/>
        <w:ind w:left="1418" w:hanging="567"/>
        <w:jc w:val="both"/>
        <w:rPr>
          <w:rFonts w:cs="Arial"/>
          <w:i/>
          <w:sz w:val="20"/>
          <w:szCs w:val="20"/>
        </w:rPr>
      </w:pPr>
      <w:r>
        <w:rPr>
          <w:rFonts w:cs="Arial"/>
          <w:i/>
          <w:sz w:val="20"/>
          <w:szCs w:val="20"/>
        </w:rPr>
        <w:t xml:space="preserve">    </w:t>
      </w:r>
      <w:r w:rsidR="0036455A" w:rsidRPr="00696BC4">
        <w:rPr>
          <w:rFonts w:cs="Arial"/>
          <w:i/>
          <w:sz w:val="20"/>
          <w:szCs w:val="20"/>
        </w:rPr>
        <w:t xml:space="preserve">(b) </w:t>
      </w:r>
      <w:r w:rsidR="0036455A" w:rsidRPr="00696BC4">
        <w:rPr>
          <w:rFonts w:cs="Arial"/>
          <w:i/>
          <w:sz w:val="20"/>
          <w:szCs w:val="20"/>
        </w:rPr>
        <w:tab/>
        <w:t xml:space="preserve">Each meeting of the Conference of the Parties (COP) also shall elect twelve regional representatives to serve as alternate members and, in particular, to attend the meetings of the Standing Committee in the absence of the member of the region for which they are alternate member. </w:t>
      </w:r>
    </w:p>
    <w:p w14:paraId="7E41A8A1" w14:textId="77777777" w:rsidR="0036455A" w:rsidRPr="00696BC4" w:rsidRDefault="0036455A" w:rsidP="0036455A">
      <w:pPr>
        <w:widowControl w:val="0"/>
        <w:autoSpaceDE w:val="0"/>
        <w:autoSpaceDN w:val="0"/>
        <w:adjustRightInd w:val="0"/>
        <w:spacing w:after="0" w:line="240" w:lineRule="auto"/>
        <w:ind w:left="1418" w:hanging="284"/>
        <w:jc w:val="both"/>
        <w:rPr>
          <w:rFonts w:cs="Arial"/>
          <w:i/>
          <w:sz w:val="20"/>
          <w:szCs w:val="20"/>
        </w:rPr>
      </w:pPr>
    </w:p>
    <w:p w14:paraId="37EF1270" w14:textId="1DA9C503" w:rsidR="0036455A" w:rsidRPr="00696BC4" w:rsidRDefault="005F5F67" w:rsidP="005F5F67">
      <w:pPr>
        <w:widowControl w:val="0"/>
        <w:autoSpaceDE w:val="0"/>
        <w:autoSpaceDN w:val="0"/>
        <w:adjustRightInd w:val="0"/>
        <w:spacing w:after="0" w:line="240" w:lineRule="auto"/>
        <w:ind w:left="1418" w:hanging="567"/>
        <w:jc w:val="both"/>
        <w:rPr>
          <w:i/>
        </w:rPr>
      </w:pPr>
      <w:r>
        <w:rPr>
          <w:rFonts w:cs="Arial"/>
          <w:i/>
          <w:sz w:val="20"/>
          <w:szCs w:val="20"/>
        </w:rPr>
        <w:t xml:space="preserve">    </w:t>
      </w:r>
      <w:r w:rsidR="0036455A" w:rsidRPr="00696BC4">
        <w:rPr>
          <w:rFonts w:cs="Arial"/>
          <w:i/>
          <w:sz w:val="20"/>
          <w:szCs w:val="20"/>
        </w:rPr>
        <w:t xml:space="preserve">(c) </w:t>
      </w:r>
      <w:r w:rsidR="0036455A" w:rsidRPr="00696BC4">
        <w:rPr>
          <w:rFonts w:cs="Arial"/>
          <w:i/>
          <w:sz w:val="20"/>
          <w:szCs w:val="20"/>
        </w:rPr>
        <w:tab/>
        <w:t>The term of office of regional members and alternates shall expire at the close of the next ordinary meeting of the COP following the meeting at which they were originally elected. Regional members may not serve more than two consecutive terms of office (…</w:t>
      </w:r>
      <w:r w:rsidR="0036455A" w:rsidRPr="00696BC4">
        <w:rPr>
          <w:i/>
        </w:rPr>
        <w:t>)”</w:t>
      </w:r>
    </w:p>
    <w:p w14:paraId="69A32688" w14:textId="77777777" w:rsidR="0036455A" w:rsidRPr="00696BC4" w:rsidRDefault="0036455A" w:rsidP="0036455A">
      <w:pPr>
        <w:ind w:left="1418" w:hanging="567"/>
        <w:jc w:val="both"/>
        <w:rPr>
          <w:i/>
        </w:rPr>
      </w:pPr>
    </w:p>
    <w:p w14:paraId="330A1310" w14:textId="77777777" w:rsidR="0036455A" w:rsidRPr="00696BC4" w:rsidRDefault="0036455A" w:rsidP="0036455A">
      <w:pPr>
        <w:jc w:val="both"/>
        <w:rPr>
          <w:i/>
        </w:rPr>
      </w:pPr>
    </w:p>
    <w:p w14:paraId="248A169E" w14:textId="77777777" w:rsidR="0036455A" w:rsidRPr="00696BC4" w:rsidRDefault="0036455A" w:rsidP="0036455A">
      <w:pPr>
        <w:rPr>
          <w:i/>
        </w:rPr>
      </w:pPr>
      <w:r w:rsidRPr="00696BC4">
        <w:rPr>
          <w:i/>
        </w:rPr>
        <w:br w:type="page"/>
      </w:r>
    </w:p>
    <w:p w14:paraId="60928204" w14:textId="1AE6D615" w:rsidR="0036455A" w:rsidRPr="00696BC4" w:rsidRDefault="0036455A" w:rsidP="0036455A">
      <w:pPr>
        <w:pStyle w:val="ListParagraph"/>
        <w:numPr>
          <w:ilvl w:val="0"/>
          <w:numId w:val="25"/>
        </w:numPr>
        <w:spacing w:after="0" w:line="240" w:lineRule="auto"/>
        <w:ind w:left="567" w:hanging="567"/>
        <w:jc w:val="both"/>
      </w:pPr>
      <w:r w:rsidRPr="00696BC4">
        <w:rPr>
          <w:rFonts w:cs="Arial"/>
        </w:rPr>
        <w:lastRenderedPageBreak/>
        <w:t xml:space="preserve">The table below indicates the </w:t>
      </w:r>
      <w:r w:rsidR="00827D90" w:rsidRPr="00696BC4">
        <w:rPr>
          <w:rFonts w:cs="Arial"/>
        </w:rPr>
        <w:t>11</w:t>
      </w:r>
      <w:r w:rsidRPr="00696BC4">
        <w:rPr>
          <w:rFonts w:cs="Arial"/>
        </w:rPr>
        <w:t xml:space="preserve"> regional representatives currently serving as members of the Standing Committee.</w:t>
      </w:r>
    </w:p>
    <w:p w14:paraId="6F92AC64" w14:textId="77777777" w:rsidR="0036455A" w:rsidRPr="00696BC4" w:rsidRDefault="0036455A" w:rsidP="0036455A">
      <w:pPr>
        <w:spacing w:after="0" w:line="240" w:lineRule="auto"/>
        <w:jc w:val="both"/>
      </w:pPr>
    </w:p>
    <w:tbl>
      <w:tblPr>
        <w:tblStyle w:val="TableGrid"/>
        <w:tblW w:w="8280" w:type="dxa"/>
        <w:jc w:val="center"/>
        <w:tblLook w:val="04A0" w:firstRow="1" w:lastRow="0" w:firstColumn="1" w:lastColumn="0" w:noHBand="0" w:noVBand="1"/>
      </w:tblPr>
      <w:tblGrid>
        <w:gridCol w:w="1980"/>
        <w:gridCol w:w="2700"/>
        <w:gridCol w:w="2070"/>
        <w:gridCol w:w="1530"/>
      </w:tblGrid>
      <w:tr w:rsidR="0036455A" w:rsidRPr="00696BC4" w14:paraId="50970539" w14:textId="77777777" w:rsidTr="00D5655F">
        <w:trPr>
          <w:jc w:val="center"/>
        </w:trPr>
        <w:tc>
          <w:tcPr>
            <w:tcW w:w="8280" w:type="dxa"/>
            <w:gridSpan w:val="4"/>
          </w:tcPr>
          <w:p w14:paraId="68EC6978" w14:textId="77777777" w:rsidR="0036455A" w:rsidRPr="00696BC4" w:rsidRDefault="0036455A">
            <w:pPr>
              <w:jc w:val="center"/>
              <w:rPr>
                <w:rFonts w:cs="Arial"/>
                <w:b/>
              </w:rPr>
            </w:pPr>
            <w:r w:rsidRPr="00696BC4">
              <w:rPr>
                <w:rFonts w:cs="Arial"/>
                <w:b/>
              </w:rPr>
              <w:t xml:space="preserve">Current </w:t>
            </w:r>
            <w:r w:rsidRPr="00696BC4">
              <w:rPr>
                <w:rFonts w:cs="Arial"/>
                <w:b/>
                <w:bCs/>
              </w:rPr>
              <w:t xml:space="preserve">Regional </w:t>
            </w:r>
            <w:r w:rsidRPr="00696BC4">
              <w:rPr>
                <w:rFonts w:cs="Arial"/>
                <w:b/>
              </w:rPr>
              <w:t>Members of the Standing Committee</w:t>
            </w:r>
          </w:p>
        </w:tc>
      </w:tr>
      <w:tr w:rsidR="0036455A" w:rsidRPr="00696BC4" w14:paraId="44EC3E83" w14:textId="77777777" w:rsidTr="00D5655F">
        <w:trPr>
          <w:jc w:val="center"/>
        </w:trPr>
        <w:tc>
          <w:tcPr>
            <w:tcW w:w="1980" w:type="dxa"/>
          </w:tcPr>
          <w:p w14:paraId="4CB0335F" w14:textId="77777777" w:rsidR="0036455A" w:rsidRPr="00696BC4" w:rsidRDefault="0036455A">
            <w:pPr>
              <w:rPr>
                <w:rFonts w:cs="Arial"/>
                <w:b/>
              </w:rPr>
            </w:pPr>
            <w:r w:rsidRPr="00696BC4">
              <w:rPr>
                <w:rFonts w:cs="Arial"/>
                <w:b/>
              </w:rPr>
              <w:t>Region</w:t>
            </w:r>
          </w:p>
        </w:tc>
        <w:tc>
          <w:tcPr>
            <w:tcW w:w="2700" w:type="dxa"/>
          </w:tcPr>
          <w:p w14:paraId="1EAFB149" w14:textId="77777777" w:rsidR="0036455A" w:rsidRPr="00696BC4" w:rsidRDefault="0036455A">
            <w:pPr>
              <w:rPr>
                <w:rFonts w:cs="Arial"/>
                <w:b/>
              </w:rPr>
            </w:pPr>
            <w:r w:rsidRPr="00696BC4">
              <w:rPr>
                <w:rFonts w:cs="Arial"/>
                <w:b/>
              </w:rPr>
              <w:t>Country</w:t>
            </w:r>
          </w:p>
        </w:tc>
        <w:tc>
          <w:tcPr>
            <w:tcW w:w="2070" w:type="dxa"/>
          </w:tcPr>
          <w:p w14:paraId="5530F4F7" w14:textId="24AF9888" w:rsidR="0036455A" w:rsidRPr="00696BC4" w:rsidRDefault="0036455A">
            <w:pPr>
              <w:rPr>
                <w:rFonts w:cs="Arial"/>
                <w:b/>
              </w:rPr>
            </w:pPr>
            <w:r w:rsidRPr="00696BC4">
              <w:rPr>
                <w:rFonts w:cs="Arial"/>
                <w:b/>
              </w:rPr>
              <w:t xml:space="preserve">First </w:t>
            </w:r>
            <w:r w:rsidR="007C22C4" w:rsidRPr="00696BC4">
              <w:rPr>
                <w:rFonts w:cs="Arial"/>
                <w:b/>
              </w:rPr>
              <w:t>e</w:t>
            </w:r>
            <w:r w:rsidRPr="00696BC4">
              <w:rPr>
                <w:rFonts w:cs="Arial"/>
                <w:b/>
              </w:rPr>
              <w:t xml:space="preserve">lected to </w:t>
            </w:r>
            <w:r w:rsidR="002C21B0" w:rsidRPr="00696BC4">
              <w:rPr>
                <w:rFonts w:cs="Arial"/>
                <w:b/>
              </w:rPr>
              <w:t xml:space="preserve">the </w:t>
            </w:r>
            <w:r w:rsidRPr="00696BC4">
              <w:rPr>
                <w:rFonts w:cs="Arial"/>
                <w:b/>
              </w:rPr>
              <w:t>Standing Committee</w:t>
            </w:r>
          </w:p>
        </w:tc>
        <w:tc>
          <w:tcPr>
            <w:tcW w:w="1530" w:type="dxa"/>
          </w:tcPr>
          <w:p w14:paraId="52329174" w14:textId="77777777" w:rsidR="0036455A" w:rsidRPr="00696BC4" w:rsidRDefault="0036455A">
            <w:pPr>
              <w:rPr>
                <w:rFonts w:cs="Arial"/>
                <w:b/>
              </w:rPr>
            </w:pPr>
            <w:r w:rsidRPr="00696BC4">
              <w:rPr>
                <w:rFonts w:cs="Arial"/>
                <w:b/>
              </w:rPr>
              <w:t>Eligible for</w:t>
            </w:r>
          </w:p>
          <w:p w14:paraId="7902F44A" w14:textId="77777777" w:rsidR="0036455A" w:rsidRPr="00696BC4" w:rsidRDefault="0036455A">
            <w:pPr>
              <w:rPr>
                <w:rFonts w:cs="Arial"/>
                <w:b/>
              </w:rPr>
            </w:pPr>
            <w:r w:rsidRPr="00696BC4">
              <w:rPr>
                <w:rFonts w:cs="Arial"/>
                <w:b/>
              </w:rPr>
              <w:t>further term</w:t>
            </w:r>
          </w:p>
          <w:p w14:paraId="0162C355" w14:textId="77777777" w:rsidR="0036455A" w:rsidRPr="00696BC4" w:rsidRDefault="0036455A">
            <w:pPr>
              <w:rPr>
                <w:rFonts w:cs="Arial"/>
                <w:b/>
              </w:rPr>
            </w:pPr>
          </w:p>
        </w:tc>
      </w:tr>
      <w:tr w:rsidR="0036455A" w:rsidRPr="00696BC4" w14:paraId="64D3F050" w14:textId="77777777" w:rsidTr="00D5655F">
        <w:trPr>
          <w:jc w:val="center"/>
        </w:trPr>
        <w:tc>
          <w:tcPr>
            <w:tcW w:w="1980" w:type="dxa"/>
            <w:vMerge w:val="restart"/>
          </w:tcPr>
          <w:p w14:paraId="36270EFE" w14:textId="77777777" w:rsidR="0036455A" w:rsidRPr="00696BC4" w:rsidRDefault="0036455A">
            <w:pPr>
              <w:rPr>
                <w:rFonts w:cs="Arial"/>
              </w:rPr>
            </w:pPr>
            <w:r w:rsidRPr="00696BC4">
              <w:rPr>
                <w:rFonts w:cs="Arial"/>
              </w:rPr>
              <w:t>Africa</w:t>
            </w:r>
          </w:p>
        </w:tc>
        <w:tc>
          <w:tcPr>
            <w:tcW w:w="2700" w:type="dxa"/>
          </w:tcPr>
          <w:p w14:paraId="1376FEB1" w14:textId="01689F79" w:rsidR="0036455A" w:rsidRPr="00696BC4" w:rsidRDefault="0036455A">
            <w:pPr>
              <w:rPr>
                <w:rFonts w:cs="Arial"/>
              </w:rPr>
            </w:pPr>
            <w:r w:rsidRPr="00696BC4">
              <w:rPr>
                <w:rFonts w:cs="Arial"/>
              </w:rPr>
              <w:t>Algeria</w:t>
            </w:r>
          </w:p>
        </w:tc>
        <w:tc>
          <w:tcPr>
            <w:tcW w:w="2070" w:type="dxa"/>
          </w:tcPr>
          <w:p w14:paraId="57158CAA" w14:textId="51D6BB7C" w:rsidR="0036455A" w:rsidRPr="00696BC4" w:rsidRDefault="0036455A">
            <w:pPr>
              <w:rPr>
                <w:rFonts w:cs="Arial"/>
              </w:rPr>
            </w:pPr>
            <w:r w:rsidRPr="00696BC4">
              <w:rPr>
                <w:rFonts w:cs="Arial"/>
              </w:rPr>
              <w:t>2020</w:t>
            </w:r>
            <w:r w:rsidR="00133F05" w:rsidRPr="00696BC4">
              <w:rPr>
                <w:rFonts w:cs="Arial"/>
              </w:rPr>
              <w:t xml:space="preserve"> – COP13</w:t>
            </w:r>
          </w:p>
        </w:tc>
        <w:tc>
          <w:tcPr>
            <w:tcW w:w="1530" w:type="dxa"/>
          </w:tcPr>
          <w:p w14:paraId="70C230B8" w14:textId="17B46C44" w:rsidR="0036455A" w:rsidRPr="00696BC4" w:rsidRDefault="002E64D5">
            <w:pPr>
              <w:rPr>
                <w:rFonts w:cs="Arial"/>
                <w:b/>
              </w:rPr>
            </w:pPr>
            <w:r w:rsidRPr="00696BC4">
              <w:rPr>
                <w:rFonts w:cs="Arial"/>
                <w:b/>
              </w:rPr>
              <w:t>No</w:t>
            </w:r>
          </w:p>
        </w:tc>
      </w:tr>
      <w:tr w:rsidR="0036455A" w:rsidRPr="00696BC4" w14:paraId="58CB17DF" w14:textId="77777777" w:rsidTr="00D5655F">
        <w:trPr>
          <w:trHeight w:val="152"/>
          <w:jc w:val="center"/>
        </w:trPr>
        <w:tc>
          <w:tcPr>
            <w:tcW w:w="1980" w:type="dxa"/>
            <w:vMerge/>
          </w:tcPr>
          <w:p w14:paraId="31B71570" w14:textId="77777777" w:rsidR="0036455A" w:rsidRPr="00696BC4" w:rsidRDefault="0036455A">
            <w:pPr>
              <w:rPr>
                <w:rFonts w:cs="Arial"/>
              </w:rPr>
            </w:pPr>
          </w:p>
        </w:tc>
        <w:tc>
          <w:tcPr>
            <w:tcW w:w="2700" w:type="dxa"/>
          </w:tcPr>
          <w:p w14:paraId="57BE4480" w14:textId="77777777" w:rsidR="0036455A" w:rsidRPr="00696BC4" w:rsidRDefault="0036455A">
            <w:pPr>
              <w:rPr>
                <w:rFonts w:cs="Arial"/>
              </w:rPr>
            </w:pPr>
            <w:r w:rsidRPr="00696BC4">
              <w:rPr>
                <w:rFonts w:cs="Arial"/>
              </w:rPr>
              <w:t>Kenya</w:t>
            </w:r>
          </w:p>
        </w:tc>
        <w:tc>
          <w:tcPr>
            <w:tcW w:w="2070" w:type="dxa"/>
          </w:tcPr>
          <w:p w14:paraId="3956C209" w14:textId="24575A9B" w:rsidR="0036455A" w:rsidRPr="00696BC4" w:rsidRDefault="0036455A">
            <w:pPr>
              <w:rPr>
                <w:rFonts w:cs="Arial"/>
              </w:rPr>
            </w:pPr>
            <w:r w:rsidRPr="00696BC4">
              <w:rPr>
                <w:rFonts w:cs="Arial"/>
              </w:rPr>
              <w:t>2020</w:t>
            </w:r>
            <w:r w:rsidR="00133F05" w:rsidRPr="00696BC4">
              <w:rPr>
                <w:rFonts w:cs="Arial"/>
              </w:rPr>
              <w:t xml:space="preserve"> – COP13</w:t>
            </w:r>
          </w:p>
        </w:tc>
        <w:tc>
          <w:tcPr>
            <w:tcW w:w="1530" w:type="dxa"/>
          </w:tcPr>
          <w:p w14:paraId="505E9D73" w14:textId="3D1DF293" w:rsidR="0036455A" w:rsidRPr="00696BC4" w:rsidRDefault="008C5494">
            <w:pPr>
              <w:ind w:right="160"/>
              <w:rPr>
                <w:rFonts w:cs="Arial"/>
                <w:b/>
              </w:rPr>
            </w:pPr>
            <w:r w:rsidRPr="00696BC4">
              <w:rPr>
                <w:rFonts w:cs="Arial"/>
                <w:b/>
              </w:rPr>
              <w:t>No</w:t>
            </w:r>
          </w:p>
        </w:tc>
      </w:tr>
      <w:tr w:rsidR="0036455A" w:rsidRPr="00696BC4" w14:paraId="38C647FF" w14:textId="77777777" w:rsidTr="00D5655F">
        <w:trPr>
          <w:jc w:val="center"/>
        </w:trPr>
        <w:tc>
          <w:tcPr>
            <w:tcW w:w="1980" w:type="dxa"/>
            <w:vMerge/>
          </w:tcPr>
          <w:p w14:paraId="025FB0B7" w14:textId="77777777" w:rsidR="0036455A" w:rsidRPr="00696BC4" w:rsidRDefault="0036455A">
            <w:pPr>
              <w:rPr>
                <w:rFonts w:cs="Arial"/>
              </w:rPr>
            </w:pPr>
          </w:p>
        </w:tc>
        <w:tc>
          <w:tcPr>
            <w:tcW w:w="2700" w:type="dxa"/>
          </w:tcPr>
          <w:p w14:paraId="2C0B02C5" w14:textId="40CE161E" w:rsidR="0036455A" w:rsidRPr="00696BC4" w:rsidRDefault="008C5494">
            <w:pPr>
              <w:rPr>
                <w:rFonts w:cs="Arial"/>
              </w:rPr>
            </w:pPr>
            <w:r w:rsidRPr="00696BC4">
              <w:rPr>
                <w:rFonts w:cs="Arial"/>
              </w:rPr>
              <w:t xml:space="preserve">Zimbabwe </w:t>
            </w:r>
          </w:p>
        </w:tc>
        <w:tc>
          <w:tcPr>
            <w:tcW w:w="2070" w:type="dxa"/>
          </w:tcPr>
          <w:p w14:paraId="3D761271" w14:textId="45DD5B8D" w:rsidR="0036455A" w:rsidRPr="00696BC4" w:rsidRDefault="0036455A">
            <w:pPr>
              <w:rPr>
                <w:rFonts w:cs="Arial"/>
              </w:rPr>
            </w:pPr>
            <w:r w:rsidRPr="00696BC4">
              <w:rPr>
                <w:rFonts w:cs="Arial"/>
              </w:rPr>
              <w:t>202</w:t>
            </w:r>
            <w:r w:rsidR="008C5494" w:rsidRPr="00696BC4">
              <w:rPr>
                <w:rFonts w:cs="Arial"/>
              </w:rPr>
              <w:t>4</w:t>
            </w:r>
            <w:r w:rsidR="00133F05" w:rsidRPr="00696BC4">
              <w:rPr>
                <w:rFonts w:cs="Arial"/>
              </w:rPr>
              <w:t xml:space="preserve"> – COP1</w:t>
            </w:r>
            <w:r w:rsidR="00FA1B20" w:rsidRPr="00696BC4">
              <w:rPr>
                <w:rFonts w:cs="Arial"/>
              </w:rPr>
              <w:t>4</w:t>
            </w:r>
          </w:p>
        </w:tc>
        <w:tc>
          <w:tcPr>
            <w:tcW w:w="1530" w:type="dxa"/>
          </w:tcPr>
          <w:p w14:paraId="75AE3F7B" w14:textId="77777777" w:rsidR="0036455A" w:rsidRPr="00696BC4" w:rsidRDefault="0036455A">
            <w:pPr>
              <w:rPr>
                <w:rFonts w:cs="Arial"/>
                <w:b/>
              </w:rPr>
            </w:pPr>
            <w:r w:rsidRPr="00696BC4">
              <w:rPr>
                <w:rFonts w:cs="Arial"/>
                <w:b/>
              </w:rPr>
              <w:t>Yes</w:t>
            </w:r>
          </w:p>
        </w:tc>
      </w:tr>
      <w:tr w:rsidR="0036455A" w:rsidRPr="00696BC4" w14:paraId="0E4BAFC0" w14:textId="77777777" w:rsidTr="00D5655F">
        <w:trPr>
          <w:jc w:val="center"/>
        </w:trPr>
        <w:tc>
          <w:tcPr>
            <w:tcW w:w="1980" w:type="dxa"/>
            <w:vMerge w:val="restart"/>
          </w:tcPr>
          <w:p w14:paraId="29C4D449" w14:textId="77777777" w:rsidR="0036455A" w:rsidRPr="00696BC4" w:rsidRDefault="0036455A">
            <w:pPr>
              <w:rPr>
                <w:rFonts w:cs="Arial"/>
              </w:rPr>
            </w:pPr>
            <w:r w:rsidRPr="00696BC4">
              <w:rPr>
                <w:rFonts w:cs="Arial"/>
              </w:rPr>
              <w:t>Asia</w:t>
            </w:r>
          </w:p>
        </w:tc>
        <w:tc>
          <w:tcPr>
            <w:tcW w:w="2700" w:type="dxa"/>
          </w:tcPr>
          <w:p w14:paraId="7F10B567" w14:textId="07C86D32" w:rsidR="0036455A" w:rsidRPr="00696BC4" w:rsidRDefault="00E52162">
            <w:pPr>
              <w:rPr>
                <w:rFonts w:cs="Arial"/>
              </w:rPr>
            </w:pPr>
            <w:r w:rsidRPr="00696BC4">
              <w:rPr>
                <w:rFonts w:cs="Arial"/>
              </w:rPr>
              <w:t>Bahrain</w:t>
            </w:r>
          </w:p>
        </w:tc>
        <w:tc>
          <w:tcPr>
            <w:tcW w:w="2070" w:type="dxa"/>
          </w:tcPr>
          <w:p w14:paraId="3F0C3C29" w14:textId="287CFC7B" w:rsidR="0036455A" w:rsidRPr="00696BC4" w:rsidRDefault="0036455A">
            <w:pPr>
              <w:rPr>
                <w:rFonts w:cs="Arial"/>
              </w:rPr>
            </w:pPr>
            <w:r w:rsidRPr="00696BC4">
              <w:rPr>
                <w:rFonts w:cs="Arial"/>
              </w:rPr>
              <w:t>202</w:t>
            </w:r>
            <w:r w:rsidR="00E52162" w:rsidRPr="00696BC4">
              <w:rPr>
                <w:rFonts w:cs="Arial"/>
              </w:rPr>
              <w:t>4</w:t>
            </w:r>
            <w:r w:rsidR="00FA1B20" w:rsidRPr="00696BC4">
              <w:rPr>
                <w:rFonts w:cs="Arial"/>
              </w:rPr>
              <w:t xml:space="preserve"> – COP14</w:t>
            </w:r>
          </w:p>
        </w:tc>
        <w:tc>
          <w:tcPr>
            <w:tcW w:w="1530" w:type="dxa"/>
          </w:tcPr>
          <w:p w14:paraId="536CC197" w14:textId="77777777" w:rsidR="0036455A" w:rsidRPr="00696BC4" w:rsidRDefault="0036455A">
            <w:pPr>
              <w:rPr>
                <w:rFonts w:cs="Arial"/>
                <w:b/>
              </w:rPr>
            </w:pPr>
            <w:r w:rsidRPr="00696BC4">
              <w:rPr>
                <w:rFonts w:cs="Arial"/>
                <w:b/>
              </w:rPr>
              <w:t>Yes</w:t>
            </w:r>
          </w:p>
        </w:tc>
      </w:tr>
      <w:tr w:rsidR="0036455A" w:rsidRPr="00696BC4" w14:paraId="31F401C3" w14:textId="77777777" w:rsidTr="00D5655F">
        <w:trPr>
          <w:jc w:val="center"/>
        </w:trPr>
        <w:tc>
          <w:tcPr>
            <w:tcW w:w="1980" w:type="dxa"/>
            <w:vMerge/>
          </w:tcPr>
          <w:p w14:paraId="08A20FD3" w14:textId="77777777" w:rsidR="0036455A" w:rsidRPr="00696BC4" w:rsidRDefault="0036455A">
            <w:pPr>
              <w:rPr>
                <w:rFonts w:cs="Arial"/>
              </w:rPr>
            </w:pPr>
          </w:p>
        </w:tc>
        <w:tc>
          <w:tcPr>
            <w:tcW w:w="2700" w:type="dxa"/>
          </w:tcPr>
          <w:p w14:paraId="4C45D889" w14:textId="4683A15F" w:rsidR="0036455A" w:rsidRPr="00696BC4" w:rsidRDefault="00E52162">
            <w:pPr>
              <w:rPr>
                <w:rFonts w:cs="Arial"/>
              </w:rPr>
            </w:pPr>
            <w:r w:rsidRPr="00696BC4">
              <w:rPr>
                <w:rFonts w:cs="Arial"/>
              </w:rPr>
              <w:t>India</w:t>
            </w:r>
          </w:p>
        </w:tc>
        <w:tc>
          <w:tcPr>
            <w:tcW w:w="2070" w:type="dxa"/>
          </w:tcPr>
          <w:p w14:paraId="2E90D32B" w14:textId="72EB70F3" w:rsidR="0036455A" w:rsidRPr="00696BC4" w:rsidRDefault="0036455A">
            <w:pPr>
              <w:rPr>
                <w:rFonts w:cs="Arial"/>
              </w:rPr>
            </w:pPr>
            <w:r w:rsidRPr="00696BC4">
              <w:rPr>
                <w:rFonts w:cs="Arial"/>
              </w:rPr>
              <w:t>202</w:t>
            </w:r>
            <w:r w:rsidR="00E52162" w:rsidRPr="00696BC4">
              <w:rPr>
                <w:rFonts w:cs="Arial"/>
              </w:rPr>
              <w:t>4</w:t>
            </w:r>
            <w:r w:rsidR="00FA1B20" w:rsidRPr="00696BC4">
              <w:rPr>
                <w:rFonts w:cs="Arial"/>
              </w:rPr>
              <w:t xml:space="preserve"> – COP14</w:t>
            </w:r>
          </w:p>
        </w:tc>
        <w:tc>
          <w:tcPr>
            <w:tcW w:w="1530" w:type="dxa"/>
          </w:tcPr>
          <w:p w14:paraId="0501D278" w14:textId="7C68D4AF" w:rsidR="0036455A" w:rsidRPr="00696BC4" w:rsidRDefault="00E52162">
            <w:pPr>
              <w:rPr>
                <w:rFonts w:cs="Arial"/>
                <w:b/>
                <w:bCs/>
              </w:rPr>
            </w:pPr>
            <w:r w:rsidRPr="00696BC4">
              <w:rPr>
                <w:rFonts w:cs="Arial"/>
                <w:b/>
                <w:bCs/>
              </w:rPr>
              <w:t>Yes</w:t>
            </w:r>
          </w:p>
        </w:tc>
      </w:tr>
      <w:tr w:rsidR="0036455A" w:rsidRPr="00696BC4" w14:paraId="5FFB7DB4" w14:textId="77777777" w:rsidTr="00D5655F">
        <w:trPr>
          <w:jc w:val="center"/>
        </w:trPr>
        <w:tc>
          <w:tcPr>
            <w:tcW w:w="1980" w:type="dxa"/>
            <w:vMerge w:val="restart"/>
          </w:tcPr>
          <w:p w14:paraId="78F46A35" w14:textId="77777777" w:rsidR="0036455A" w:rsidRPr="00696BC4" w:rsidRDefault="0036455A">
            <w:pPr>
              <w:rPr>
                <w:rFonts w:cs="Arial"/>
              </w:rPr>
            </w:pPr>
            <w:r w:rsidRPr="00696BC4">
              <w:rPr>
                <w:rFonts w:cs="Arial"/>
              </w:rPr>
              <w:t>South &amp; Central America &amp; the Caribbean</w:t>
            </w:r>
          </w:p>
        </w:tc>
        <w:tc>
          <w:tcPr>
            <w:tcW w:w="2700" w:type="dxa"/>
          </w:tcPr>
          <w:p w14:paraId="539B6153" w14:textId="77777777" w:rsidR="0036455A" w:rsidRPr="00696BC4" w:rsidRDefault="0036455A">
            <w:pPr>
              <w:rPr>
                <w:rFonts w:cs="Arial"/>
              </w:rPr>
            </w:pPr>
            <w:r w:rsidRPr="00696BC4">
              <w:rPr>
                <w:rFonts w:cs="Arial"/>
              </w:rPr>
              <w:t>Panama</w:t>
            </w:r>
          </w:p>
        </w:tc>
        <w:tc>
          <w:tcPr>
            <w:tcW w:w="2070" w:type="dxa"/>
          </w:tcPr>
          <w:p w14:paraId="0AF1808D" w14:textId="3176C87E" w:rsidR="00FA1B20" w:rsidRPr="00696BC4" w:rsidRDefault="0036455A">
            <w:pPr>
              <w:rPr>
                <w:rFonts w:cs="Arial"/>
              </w:rPr>
            </w:pPr>
            <w:r w:rsidRPr="00696BC4">
              <w:rPr>
                <w:rFonts w:cs="Arial"/>
              </w:rPr>
              <w:t>2020</w:t>
            </w:r>
            <w:r w:rsidR="00FA1B20" w:rsidRPr="00696BC4">
              <w:rPr>
                <w:rFonts w:cs="Arial"/>
              </w:rPr>
              <w:t xml:space="preserve"> – COP13</w:t>
            </w:r>
          </w:p>
        </w:tc>
        <w:tc>
          <w:tcPr>
            <w:tcW w:w="1530" w:type="dxa"/>
          </w:tcPr>
          <w:p w14:paraId="6DDD5B11" w14:textId="1D548193" w:rsidR="0036455A" w:rsidRPr="00696BC4" w:rsidRDefault="00E52162">
            <w:pPr>
              <w:rPr>
                <w:rFonts w:cs="Arial"/>
                <w:b/>
              </w:rPr>
            </w:pPr>
            <w:r w:rsidRPr="00696BC4">
              <w:rPr>
                <w:rFonts w:cs="Arial"/>
                <w:b/>
              </w:rPr>
              <w:t>No</w:t>
            </w:r>
          </w:p>
        </w:tc>
      </w:tr>
      <w:tr w:rsidR="0036455A" w:rsidRPr="00696BC4" w14:paraId="44C56239" w14:textId="77777777" w:rsidTr="00D5655F">
        <w:trPr>
          <w:jc w:val="center"/>
        </w:trPr>
        <w:tc>
          <w:tcPr>
            <w:tcW w:w="1980" w:type="dxa"/>
            <w:vMerge/>
          </w:tcPr>
          <w:p w14:paraId="4E125D33" w14:textId="77777777" w:rsidR="0036455A" w:rsidRPr="00696BC4" w:rsidRDefault="0036455A">
            <w:pPr>
              <w:rPr>
                <w:rFonts w:cs="Arial"/>
              </w:rPr>
            </w:pPr>
          </w:p>
        </w:tc>
        <w:tc>
          <w:tcPr>
            <w:tcW w:w="2700" w:type="dxa"/>
          </w:tcPr>
          <w:p w14:paraId="318E3C34" w14:textId="1BD5784A" w:rsidR="0036455A" w:rsidRPr="00696BC4" w:rsidRDefault="0036455A">
            <w:pPr>
              <w:rPr>
                <w:rFonts w:cs="Arial"/>
              </w:rPr>
            </w:pPr>
            <w:r w:rsidRPr="00696BC4">
              <w:rPr>
                <w:rFonts w:cs="Arial"/>
              </w:rPr>
              <w:t>Uruguay</w:t>
            </w:r>
            <w:r w:rsidR="002C21B0" w:rsidRPr="00696BC4">
              <w:rPr>
                <w:rFonts w:cs="Arial"/>
              </w:rPr>
              <w:t xml:space="preserve"> – Vice-Chair</w:t>
            </w:r>
          </w:p>
        </w:tc>
        <w:tc>
          <w:tcPr>
            <w:tcW w:w="2070" w:type="dxa"/>
          </w:tcPr>
          <w:p w14:paraId="38A86617" w14:textId="6E6410CF" w:rsidR="00FA1B20" w:rsidRPr="00696BC4" w:rsidRDefault="0036455A">
            <w:pPr>
              <w:rPr>
                <w:rFonts w:cs="Arial"/>
              </w:rPr>
            </w:pPr>
            <w:r w:rsidRPr="00696BC4">
              <w:rPr>
                <w:rFonts w:cs="Arial"/>
              </w:rPr>
              <w:t>2020</w:t>
            </w:r>
            <w:r w:rsidR="00FA1B20" w:rsidRPr="00696BC4">
              <w:rPr>
                <w:rFonts w:cs="Arial"/>
              </w:rPr>
              <w:t xml:space="preserve"> – COP13</w:t>
            </w:r>
          </w:p>
        </w:tc>
        <w:tc>
          <w:tcPr>
            <w:tcW w:w="1530" w:type="dxa"/>
          </w:tcPr>
          <w:p w14:paraId="2F6159F9" w14:textId="3A5D875D" w:rsidR="0036455A" w:rsidRPr="00696BC4" w:rsidRDefault="00E52162">
            <w:pPr>
              <w:rPr>
                <w:rFonts w:cs="Arial"/>
                <w:b/>
              </w:rPr>
            </w:pPr>
            <w:r w:rsidRPr="00696BC4">
              <w:rPr>
                <w:rFonts w:cs="Arial"/>
                <w:b/>
              </w:rPr>
              <w:t>No</w:t>
            </w:r>
          </w:p>
        </w:tc>
      </w:tr>
      <w:tr w:rsidR="0036455A" w:rsidRPr="00696BC4" w14:paraId="285936BE" w14:textId="77777777" w:rsidTr="00D5655F">
        <w:trPr>
          <w:jc w:val="center"/>
        </w:trPr>
        <w:tc>
          <w:tcPr>
            <w:tcW w:w="1980" w:type="dxa"/>
            <w:vMerge w:val="restart"/>
          </w:tcPr>
          <w:p w14:paraId="63560A75" w14:textId="77777777" w:rsidR="0036455A" w:rsidRPr="00696BC4" w:rsidRDefault="0036455A">
            <w:pPr>
              <w:rPr>
                <w:rFonts w:cs="Arial"/>
              </w:rPr>
            </w:pPr>
            <w:r w:rsidRPr="00696BC4">
              <w:rPr>
                <w:rFonts w:cs="Arial"/>
              </w:rPr>
              <w:t>Europe</w:t>
            </w:r>
          </w:p>
        </w:tc>
        <w:tc>
          <w:tcPr>
            <w:tcW w:w="2700" w:type="dxa"/>
          </w:tcPr>
          <w:p w14:paraId="76DC1DF7" w14:textId="2E34F381" w:rsidR="0036455A" w:rsidRPr="00696BC4" w:rsidRDefault="008164D7">
            <w:pPr>
              <w:rPr>
                <w:rFonts w:cs="Arial"/>
              </w:rPr>
            </w:pPr>
            <w:r w:rsidRPr="00696BC4">
              <w:rPr>
                <w:rFonts w:cs="Arial"/>
              </w:rPr>
              <w:t xml:space="preserve">United Kingdom </w:t>
            </w:r>
            <w:r w:rsidR="002C21B0" w:rsidRPr="00696BC4">
              <w:rPr>
                <w:rFonts w:cs="Arial"/>
              </w:rPr>
              <w:t>- Chair</w:t>
            </w:r>
          </w:p>
        </w:tc>
        <w:tc>
          <w:tcPr>
            <w:tcW w:w="2070" w:type="dxa"/>
          </w:tcPr>
          <w:p w14:paraId="75768969" w14:textId="0B19253F" w:rsidR="0036455A" w:rsidRPr="00696BC4" w:rsidRDefault="0036455A">
            <w:pPr>
              <w:rPr>
                <w:rFonts w:cs="Arial"/>
              </w:rPr>
            </w:pPr>
            <w:r w:rsidRPr="00696BC4">
              <w:rPr>
                <w:rFonts w:cs="Arial"/>
              </w:rPr>
              <w:t>20</w:t>
            </w:r>
            <w:r w:rsidR="008164D7" w:rsidRPr="00696BC4">
              <w:rPr>
                <w:rFonts w:cs="Arial"/>
              </w:rPr>
              <w:t>24</w:t>
            </w:r>
            <w:r w:rsidR="00FA1B20" w:rsidRPr="00696BC4">
              <w:rPr>
                <w:rFonts w:cs="Arial"/>
              </w:rPr>
              <w:t xml:space="preserve"> – COP14</w:t>
            </w:r>
          </w:p>
        </w:tc>
        <w:tc>
          <w:tcPr>
            <w:tcW w:w="1530" w:type="dxa"/>
          </w:tcPr>
          <w:p w14:paraId="5F826493" w14:textId="3ECD58F4" w:rsidR="0036455A" w:rsidRPr="00696BC4" w:rsidRDefault="008164D7">
            <w:pPr>
              <w:rPr>
                <w:rFonts w:cs="Arial"/>
                <w:b/>
              </w:rPr>
            </w:pPr>
            <w:r w:rsidRPr="00696BC4">
              <w:rPr>
                <w:rFonts w:cs="Arial"/>
                <w:b/>
              </w:rPr>
              <w:t>Yes</w:t>
            </w:r>
          </w:p>
        </w:tc>
      </w:tr>
      <w:tr w:rsidR="0036455A" w:rsidRPr="00696BC4" w14:paraId="52E7AD9D" w14:textId="77777777" w:rsidTr="00D5655F">
        <w:trPr>
          <w:jc w:val="center"/>
        </w:trPr>
        <w:tc>
          <w:tcPr>
            <w:tcW w:w="1980" w:type="dxa"/>
            <w:vMerge/>
          </w:tcPr>
          <w:p w14:paraId="0195DA9D" w14:textId="77777777" w:rsidR="0036455A" w:rsidRPr="00696BC4" w:rsidRDefault="0036455A">
            <w:pPr>
              <w:rPr>
                <w:rFonts w:cs="Arial"/>
              </w:rPr>
            </w:pPr>
          </w:p>
        </w:tc>
        <w:tc>
          <w:tcPr>
            <w:tcW w:w="2700" w:type="dxa"/>
          </w:tcPr>
          <w:p w14:paraId="6CF0665D" w14:textId="77777777" w:rsidR="0036455A" w:rsidRPr="00696BC4" w:rsidRDefault="0036455A">
            <w:pPr>
              <w:rPr>
                <w:rFonts w:cs="Arial"/>
              </w:rPr>
            </w:pPr>
            <w:r w:rsidRPr="00696BC4">
              <w:rPr>
                <w:rFonts w:cs="Arial"/>
              </w:rPr>
              <w:t>Italy</w:t>
            </w:r>
          </w:p>
        </w:tc>
        <w:tc>
          <w:tcPr>
            <w:tcW w:w="2070" w:type="dxa"/>
          </w:tcPr>
          <w:p w14:paraId="5D93F9DE" w14:textId="2917AC69" w:rsidR="0036455A" w:rsidRPr="00696BC4" w:rsidRDefault="0036455A">
            <w:pPr>
              <w:rPr>
                <w:rFonts w:cs="Arial"/>
              </w:rPr>
            </w:pPr>
            <w:r w:rsidRPr="00696BC4">
              <w:rPr>
                <w:rFonts w:cs="Arial"/>
              </w:rPr>
              <w:t>2020</w:t>
            </w:r>
            <w:r w:rsidR="00FA1B20" w:rsidRPr="00696BC4">
              <w:rPr>
                <w:rFonts w:cs="Arial"/>
              </w:rPr>
              <w:t xml:space="preserve"> – COP13 </w:t>
            </w:r>
          </w:p>
        </w:tc>
        <w:tc>
          <w:tcPr>
            <w:tcW w:w="1530" w:type="dxa"/>
          </w:tcPr>
          <w:p w14:paraId="10E5973D" w14:textId="77A724A2" w:rsidR="0036455A" w:rsidRPr="00696BC4" w:rsidRDefault="008164D7">
            <w:pPr>
              <w:rPr>
                <w:rFonts w:cs="Arial"/>
                <w:b/>
              </w:rPr>
            </w:pPr>
            <w:r w:rsidRPr="00696BC4">
              <w:rPr>
                <w:rFonts w:cs="Arial"/>
                <w:b/>
              </w:rPr>
              <w:t>No</w:t>
            </w:r>
          </w:p>
        </w:tc>
      </w:tr>
      <w:tr w:rsidR="0036455A" w:rsidRPr="00696BC4" w14:paraId="2012872D" w14:textId="77777777" w:rsidTr="00D5655F">
        <w:trPr>
          <w:jc w:val="center"/>
        </w:trPr>
        <w:tc>
          <w:tcPr>
            <w:tcW w:w="1980" w:type="dxa"/>
            <w:vMerge/>
          </w:tcPr>
          <w:p w14:paraId="1CFC518E" w14:textId="77777777" w:rsidR="0036455A" w:rsidRPr="00696BC4" w:rsidRDefault="0036455A">
            <w:pPr>
              <w:rPr>
                <w:rFonts w:cs="Arial"/>
              </w:rPr>
            </w:pPr>
          </w:p>
        </w:tc>
        <w:tc>
          <w:tcPr>
            <w:tcW w:w="2700" w:type="dxa"/>
          </w:tcPr>
          <w:p w14:paraId="16D16F2F" w14:textId="77777777" w:rsidR="0036455A" w:rsidRPr="00696BC4" w:rsidRDefault="0036455A">
            <w:pPr>
              <w:rPr>
                <w:rFonts w:cs="Arial"/>
              </w:rPr>
            </w:pPr>
            <w:r w:rsidRPr="00696BC4">
              <w:rPr>
                <w:rFonts w:cs="Arial"/>
              </w:rPr>
              <w:t>Monaco</w:t>
            </w:r>
          </w:p>
        </w:tc>
        <w:tc>
          <w:tcPr>
            <w:tcW w:w="2070" w:type="dxa"/>
          </w:tcPr>
          <w:p w14:paraId="7BA31332" w14:textId="65873DBD" w:rsidR="0036455A" w:rsidRPr="00696BC4" w:rsidRDefault="0036455A">
            <w:pPr>
              <w:rPr>
                <w:rFonts w:cs="Arial"/>
              </w:rPr>
            </w:pPr>
            <w:r w:rsidRPr="00696BC4">
              <w:rPr>
                <w:rFonts w:cs="Arial"/>
              </w:rPr>
              <w:t>2020</w:t>
            </w:r>
            <w:r w:rsidR="00FA1B20" w:rsidRPr="00696BC4">
              <w:rPr>
                <w:rFonts w:cs="Arial"/>
              </w:rPr>
              <w:t xml:space="preserve"> – COP13</w:t>
            </w:r>
          </w:p>
        </w:tc>
        <w:tc>
          <w:tcPr>
            <w:tcW w:w="1530" w:type="dxa"/>
          </w:tcPr>
          <w:p w14:paraId="3A245D0D" w14:textId="1A52C734" w:rsidR="0036455A" w:rsidRPr="00696BC4" w:rsidRDefault="008164D7">
            <w:pPr>
              <w:rPr>
                <w:rFonts w:cs="Arial"/>
                <w:b/>
              </w:rPr>
            </w:pPr>
            <w:r w:rsidRPr="00696BC4">
              <w:rPr>
                <w:rFonts w:cs="Arial"/>
                <w:b/>
              </w:rPr>
              <w:t>No</w:t>
            </w:r>
          </w:p>
        </w:tc>
      </w:tr>
      <w:tr w:rsidR="0036455A" w:rsidRPr="00696BC4" w14:paraId="23095573" w14:textId="77777777" w:rsidTr="00D5655F">
        <w:trPr>
          <w:jc w:val="center"/>
        </w:trPr>
        <w:tc>
          <w:tcPr>
            <w:tcW w:w="1980" w:type="dxa"/>
          </w:tcPr>
          <w:p w14:paraId="01D89FD2" w14:textId="77777777" w:rsidR="0036455A" w:rsidRPr="00696BC4" w:rsidRDefault="0036455A">
            <w:pPr>
              <w:rPr>
                <w:rFonts w:cs="Arial"/>
              </w:rPr>
            </w:pPr>
            <w:r w:rsidRPr="00696BC4">
              <w:rPr>
                <w:rFonts w:cs="Arial"/>
              </w:rPr>
              <w:t>Oceania</w:t>
            </w:r>
          </w:p>
        </w:tc>
        <w:tc>
          <w:tcPr>
            <w:tcW w:w="2700" w:type="dxa"/>
          </w:tcPr>
          <w:p w14:paraId="6E77DFED" w14:textId="77777777" w:rsidR="0036455A" w:rsidRPr="00696BC4" w:rsidRDefault="0036455A">
            <w:pPr>
              <w:rPr>
                <w:rFonts w:cs="Arial"/>
              </w:rPr>
            </w:pPr>
            <w:r w:rsidRPr="00696BC4">
              <w:rPr>
                <w:rFonts w:cs="Arial"/>
              </w:rPr>
              <w:t>New Zealand</w:t>
            </w:r>
          </w:p>
        </w:tc>
        <w:tc>
          <w:tcPr>
            <w:tcW w:w="2070" w:type="dxa"/>
          </w:tcPr>
          <w:p w14:paraId="07D6807D" w14:textId="6E89EBA9" w:rsidR="0036455A" w:rsidRPr="00696BC4" w:rsidRDefault="0036455A">
            <w:pPr>
              <w:rPr>
                <w:rFonts w:cs="Arial"/>
              </w:rPr>
            </w:pPr>
            <w:r w:rsidRPr="00696BC4">
              <w:rPr>
                <w:rFonts w:cs="Arial"/>
              </w:rPr>
              <w:t>2020</w:t>
            </w:r>
            <w:r w:rsidR="00FA1B20" w:rsidRPr="00696BC4">
              <w:rPr>
                <w:rFonts w:cs="Arial"/>
              </w:rPr>
              <w:t xml:space="preserve"> – COP13 </w:t>
            </w:r>
          </w:p>
        </w:tc>
        <w:tc>
          <w:tcPr>
            <w:tcW w:w="1530" w:type="dxa"/>
          </w:tcPr>
          <w:p w14:paraId="4B0BE97E" w14:textId="3BBDEE5F" w:rsidR="0036455A" w:rsidRPr="00696BC4" w:rsidRDefault="008164D7">
            <w:pPr>
              <w:rPr>
                <w:rFonts w:cs="Arial"/>
                <w:b/>
              </w:rPr>
            </w:pPr>
            <w:r w:rsidRPr="00696BC4">
              <w:rPr>
                <w:rFonts w:cs="Arial"/>
                <w:b/>
              </w:rPr>
              <w:t>No</w:t>
            </w:r>
          </w:p>
        </w:tc>
      </w:tr>
    </w:tbl>
    <w:p w14:paraId="381FEBFA" w14:textId="77777777" w:rsidR="0036455A" w:rsidRPr="00696BC4" w:rsidRDefault="0036455A" w:rsidP="0036455A">
      <w:pPr>
        <w:spacing w:after="0" w:line="240" w:lineRule="auto"/>
        <w:jc w:val="both"/>
      </w:pPr>
    </w:p>
    <w:p w14:paraId="3BACAF6F" w14:textId="4740BD57" w:rsidR="0036455A" w:rsidRPr="00696BC4" w:rsidRDefault="0036455A" w:rsidP="0036455A">
      <w:pPr>
        <w:pStyle w:val="ListParagraph"/>
        <w:numPr>
          <w:ilvl w:val="0"/>
          <w:numId w:val="25"/>
        </w:numPr>
        <w:spacing w:after="0" w:line="240" w:lineRule="auto"/>
        <w:ind w:left="567" w:hanging="567"/>
        <w:contextualSpacing w:val="0"/>
        <w:jc w:val="both"/>
      </w:pPr>
      <w:r w:rsidRPr="00696BC4">
        <w:t xml:space="preserve">From the above table, it is clear that </w:t>
      </w:r>
      <w:r w:rsidR="00D224F9" w:rsidRPr="00696BC4">
        <w:t>seven</w:t>
      </w:r>
      <w:r w:rsidRPr="00696BC4">
        <w:t xml:space="preserve"> new regional representatives will need to be elected as members of the Standing Committee</w:t>
      </w:r>
      <w:r w:rsidR="00D224F9" w:rsidRPr="00696BC4">
        <w:t xml:space="preserve">, as they have </w:t>
      </w:r>
      <w:r w:rsidR="007725F1" w:rsidRPr="00696BC4">
        <w:t>completed</w:t>
      </w:r>
      <w:r w:rsidR="00452594" w:rsidRPr="00696BC4">
        <w:t xml:space="preserve"> two consecutive terms.</w:t>
      </w:r>
      <w:r w:rsidR="00867A03" w:rsidRPr="00696BC4">
        <w:rPr>
          <w:rFonts w:ascii="Segoe UI" w:hAnsi="Segoe UI" w:cs="Segoe UI"/>
          <w:sz w:val="18"/>
          <w:szCs w:val="18"/>
        </w:rPr>
        <w:t xml:space="preserve"> </w:t>
      </w:r>
      <w:r w:rsidR="00867A03" w:rsidRPr="00696BC4">
        <w:t>If proposed by the regions, Parties may agree at the COP to replace members that have only served one term of office, if they so wish.</w:t>
      </w:r>
    </w:p>
    <w:p w14:paraId="6AD31874" w14:textId="77777777" w:rsidR="0036455A" w:rsidRPr="00696BC4" w:rsidRDefault="0036455A" w:rsidP="0036455A">
      <w:pPr>
        <w:pStyle w:val="ListParagraph"/>
        <w:spacing w:after="0" w:line="240" w:lineRule="auto"/>
        <w:ind w:left="567" w:hanging="567"/>
        <w:contextualSpacing w:val="0"/>
        <w:jc w:val="both"/>
      </w:pPr>
    </w:p>
    <w:p w14:paraId="3F5DFFE5" w14:textId="304A84C1" w:rsidR="0036455A" w:rsidRPr="00696BC4" w:rsidRDefault="0036455A" w:rsidP="0036455A">
      <w:pPr>
        <w:pStyle w:val="ListParagraph"/>
        <w:numPr>
          <w:ilvl w:val="0"/>
          <w:numId w:val="25"/>
        </w:numPr>
        <w:spacing w:after="0" w:line="240" w:lineRule="auto"/>
        <w:ind w:left="567" w:hanging="567"/>
        <w:contextualSpacing w:val="0"/>
        <w:jc w:val="both"/>
      </w:pPr>
      <w:r w:rsidRPr="00696BC4">
        <w:t xml:space="preserve">As per Resolution 9.15, </w:t>
      </w:r>
      <w:r w:rsidR="00592014" w:rsidRPr="00696BC4">
        <w:t>p</w:t>
      </w:r>
      <w:r w:rsidRPr="00696BC4">
        <w:t xml:space="preserve">aragraph 2(b), the COP shall </w:t>
      </w:r>
      <w:r w:rsidR="00592014" w:rsidRPr="00696BC4">
        <w:t xml:space="preserve">also </w:t>
      </w:r>
      <w:r w:rsidRPr="00696BC4">
        <w:t xml:space="preserve">elect 11 regional representatives to serve as alternate members and, in particular, to attend the meetings of the Standing Committee in the absence of the member of the region for which they are </w:t>
      </w:r>
      <w:r w:rsidR="002C21B0" w:rsidRPr="00696BC4">
        <w:t xml:space="preserve">an </w:t>
      </w:r>
      <w:r w:rsidRPr="00696BC4">
        <w:t xml:space="preserve">alternate member. There is no time limit for service in this role. The current list of alternates is as follows: </w:t>
      </w:r>
    </w:p>
    <w:p w14:paraId="142EC172" w14:textId="77777777" w:rsidR="0036455A" w:rsidRPr="00696BC4" w:rsidRDefault="0036455A" w:rsidP="0036455A">
      <w:pPr>
        <w:pStyle w:val="ListParagraph"/>
        <w:spacing w:after="0" w:line="240" w:lineRule="auto"/>
        <w:ind w:left="540"/>
        <w:jc w:val="both"/>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3960"/>
      </w:tblGrid>
      <w:tr w:rsidR="0036455A" w:rsidRPr="00696BC4" w14:paraId="3E72BB86" w14:textId="77777777">
        <w:tc>
          <w:tcPr>
            <w:tcW w:w="8280" w:type="dxa"/>
            <w:gridSpan w:val="2"/>
          </w:tcPr>
          <w:p w14:paraId="60BFF04E" w14:textId="77777777" w:rsidR="0036455A" w:rsidRPr="00696BC4" w:rsidRDefault="0036455A">
            <w:pPr>
              <w:pStyle w:val="ListParagraph"/>
              <w:spacing w:after="0" w:line="240" w:lineRule="auto"/>
              <w:ind w:left="540"/>
              <w:jc w:val="both"/>
              <w:rPr>
                <w:b/>
              </w:rPr>
            </w:pPr>
            <w:r w:rsidRPr="00696BC4">
              <w:rPr>
                <w:b/>
              </w:rPr>
              <w:t>Current Alternate Members of the Standing Committee</w:t>
            </w:r>
          </w:p>
        </w:tc>
      </w:tr>
      <w:tr w:rsidR="0036455A" w:rsidRPr="00696BC4" w14:paraId="7A52AA20" w14:textId="77777777">
        <w:tc>
          <w:tcPr>
            <w:tcW w:w="4320" w:type="dxa"/>
          </w:tcPr>
          <w:p w14:paraId="5290DFB1" w14:textId="77777777" w:rsidR="0036455A" w:rsidRPr="00696BC4" w:rsidRDefault="0036455A">
            <w:pPr>
              <w:pStyle w:val="ListParagraph"/>
              <w:spacing w:after="0" w:line="240" w:lineRule="auto"/>
              <w:ind w:left="540"/>
              <w:jc w:val="both"/>
              <w:rPr>
                <w:b/>
              </w:rPr>
            </w:pPr>
            <w:r w:rsidRPr="00696BC4">
              <w:rPr>
                <w:b/>
              </w:rPr>
              <w:t>Region</w:t>
            </w:r>
          </w:p>
        </w:tc>
        <w:tc>
          <w:tcPr>
            <w:tcW w:w="3960" w:type="dxa"/>
          </w:tcPr>
          <w:p w14:paraId="1AE2653E" w14:textId="77777777" w:rsidR="0036455A" w:rsidRPr="00696BC4" w:rsidRDefault="0036455A">
            <w:pPr>
              <w:pStyle w:val="ListParagraph"/>
              <w:spacing w:after="0" w:line="240" w:lineRule="auto"/>
              <w:ind w:left="540"/>
              <w:jc w:val="both"/>
              <w:rPr>
                <w:b/>
              </w:rPr>
            </w:pPr>
            <w:r w:rsidRPr="00696BC4">
              <w:rPr>
                <w:b/>
              </w:rPr>
              <w:t>Country</w:t>
            </w:r>
          </w:p>
        </w:tc>
      </w:tr>
      <w:tr w:rsidR="0036455A" w:rsidRPr="00696BC4" w14:paraId="3925294B" w14:textId="77777777">
        <w:tc>
          <w:tcPr>
            <w:tcW w:w="4320" w:type="dxa"/>
            <w:vMerge w:val="restart"/>
          </w:tcPr>
          <w:p w14:paraId="50558D14" w14:textId="77777777" w:rsidR="0036455A" w:rsidRPr="00696BC4" w:rsidRDefault="0036455A">
            <w:pPr>
              <w:pStyle w:val="ListParagraph"/>
              <w:spacing w:after="0" w:line="240" w:lineRule="auto"/>
              <w:ind w:left="540"/>
            </w:pPr>
            <w:r w:rsidRPr="00696BC4">
              <w:t>Africa</w:t>
            </w:r>
          </w:p>
        </w:tc>
        <w:tc>
          <w:tcPr>
            <w:tcW w:w="3960" w:type="dxa"/>
          </w:tcPr>
          <w:p w14:paraId="7D12110D" w14:textId="77777777" w:rsidR="0036455A" w:rsidRPr="00696BC4" w:rsidRDefault="0036455A">
            <w:pPr>
              <w:pStyle w:val="ListParagraph"/>
              <w:spacing w:after="0" w:line="240" w:lineRule="auto"/>
              <w:ind w:left="540"/>
              <w:jc w:val="both"/>
            </w:pPr>
            <w:r w:rsidRPr="00696BC4">
              <w:t>Seychelles</w:t>
            </w:r>
          </w:p>
        </w:tc>
      </w:tr>
      <w:tr w:rsidR="0036455A" w:rsidRPr="00696BC4" w14:paraId="7D722C92" w14:textId="77777777">
        <w:trPr>
          <w:trHeight w:val="152"/>
        </w:trPr>
        <w:tc>
          <w:tcPr>
            <w:tcW w:w="4320" w:type="dxa"/>
            <w:vMerge/>
          </w:tcPr>
          <w:p w14:paraId="61ADE89A" w14:textId="77777777" w:rsidR="0036455A" w:rsidRPr="00696BC4" w:rsidRDefault="0036455A">
            <w:pPr>
              <w:pStyle w:val="ListParagraph"/>
              <w:spacing w:after="0" w:line="240" w:lineRule="auto"/>
              <w:ind w:left="540"/>
            </w:pPr>
          </w:p>
        </w:tc>
        <w:tc>
          <w:tcPr>
            <w:tcW w:w="3960" w:type="dxa"/>
          </w:tcPr>
          <w:p w14:paraId="67C14B49" w14:textId="77777777" w:rsidR="0036455A" w:rsidRPr="00696BC4" w:rsidRDefault="0036455A">
            <w:pPr>
              <w:pStyle w:val="ListParagraph"/>
              <w:spacing w:after="0" w:line="240" w:lineRule="auto"/>
              <w:ind w:left="540"/>
              <w:jc w:val="both"/>
            </w:pPr>
            <w:r w:rsidRPr="00696BC4">
              <w:t>Uganda</w:t>
            </w:r>
          </w:p>
        </w:tc>
      </w:tr>
      <w:tr w:rsidR="0036455A" w:rsidRPr="00696BC4" w14:paraId="75A689B2" w14:textId="77777777">
        <w:tc>
          <w:tcPr>
            <w:tcW w:w="4320" w:type="dxa"/>
            <w:vMerge/>
          </w:tcPr>
          <w:p w14:paraId="2024E350" w14:textId="77777777" w:rsidR="0036455A" w:rsidRPr="00696BC4" w:rsidRDefault="0036455A">
            <w:pPr>
              <w:pStyle w:val="ListParagraph"/>
              <w:spacing w:after="0" w:line="240" w:lineRule="auto"/>
              <w:ind w:left="540"/>
            </w:pPr>
          </w:p>
        </w:tc>
        <w:tc>
          <w:tcPr>
            <w:tcW w:w="3960" w:type="dxa"/>
          </w:tcPr>
          <w:p w14:paraId="42313AB8" w14:textId="709D0DF3" w:rsidR="0036455A" w:rsidRPr="00696BC4" w:rsidRDefault="00F714BB">
            <w:pPr>
              <w:pStyle w:val="ListParagraph"/>
              <w:spacing w:after="0" w:line="240" w:lineRule="auto"/>
              <w:ind w:left="540"/>
              <w:jc w:val="both"/>
            </w:pPr>
            <w:r w:rsidRPr="00696BC4">
              <w:t>Morocco</w:t>
            </w:r>
          </w:p>
        </w:tc>
      </w:tr>
      <w:tr w:rsidR="0036455A" w:rsidRPr="00696BC4" w14:paraId="38785AB2" w14:textId="77777777">
        <w:tc>
          <w:tcPr>
            <w:tcW w:w="4320" w:type="dxa"/>
            <w:vMerge w:val="restart"/>
          </w:tcPr>
          <w:p w14:paraId="10FD5E3D" w14:textId="77777777" w:rsidR="0036455A" w:rsidRPr="00696BC4" w:rsidRDefault="0036455A">
            <w:pPr>
              <w:pStyle w:val="ListParagraph"/>
              <w:spacing w:after="0" w:line="240" w:lineRule="auto"/>
              <w:ind w:left="540"/>
            </w:pPr>
            <w:r w:rsidRPr="00696BC4">
              <w:t>Asia</w:t>
            </w:r>
          </w:p>
        </w:tc>
        <w:tc>
          <w:tcPr>
            <w:tcW w:w="3960" w:type="dxa"/>
          </w:tcPr>
          <w:p w14:paraId="63150547" w14:textId="13A36EFE" w:rsidR="0036455A" w:rsidRPr="00696BC4" w:rsidRDefault="00F714BB">
            <w:pPr>
              <w:pStyle w:val="ListParagraph"/>
              <w:spacing w:after="0" w:line="240" w:lineRule="auto"/>
              <w:ind w:left="540"/>
              <w:jc w:val="both"/>
            </w:pPr>
            <w:r w:rsidRPr="00696BC4">
              <w:t>Maldives</w:t>
            </w:r>
          </w:p>
        </w:tc>
      </w:tr>
      <w:tr w:rsidR="0036455A" w:rsidRPr="00696BC4" w14:paraId="6879C58F" w14:textId="77777777">
        <w:tc>
          <w:tcPr>
            <w:tcW w:w="4320" w:type="dxa"/>
            <w:vMerge/>
          </w:tcPr>
          <w:p w14:paraId="7C3C39B3" w14:textId="77777777" w:rsidR="0036455A" w:rsidRPr="00696BC4" w:rsidRDefault="0036455A">
            <w:pPr>
              <w:pStyle w:val="ListParagraph"/>
              <w:spacing w:after="0" w:line="240" w:lineRule="auto"/>
              <w:ind w:left="540"/>
            </w:pPr>
          </w:p>
        </w:tc>
        <w:tc>
          <w:tcPr>
            <w:tcW w:w="3960" w:type="dxa"/>
          </w:tcPr>
          <w:p w14:paraId="2D7E7C78" w14:textId="03F87A78" w:rsidR="0036455A" w:rsidRPr="00696BC4" w:rsidRDefault="00E95EF4">
            <w:pPr>
              <w:pStyle w:val="ListParagraph"/>
              <w:spacing w:after="0" w:line="240" w:lineRule="auto"/>
              <w:ind w:left="540"/>
              <w:jc w:val="both"/>
            </w:pPr>
            <w:r w:rsidRPr="00696BC4">
              <w:t>Bangladesh</w:t>
            </w:r>
          </w:p>
        </w:tc>
      </w:tr>
      <w:tr w:rsidR="0036455A" w:rsidRPr="00696BC4" w14:paraId="5045CF57" w14:textId="77777777">
        <w:tc>
          <w:tcPr>
            <w:tcW w:w="4320" w:type="dxa"/>
            <w:vMerge w:val="restart"/>
          </w:tcPr>
          <w:p w14:paraId="229CE11B" w14:textId="77777777" w:rsidR="0036455A" w:rsidRPr="00696BC4" w:rsidRDefault="0036455A">
            <w:pPr>
              <w:pStyle w:val="ListParagraph"/>
              <w:spacing w:after="0" w:line="240" w:lineRule="auto"/>
              <w:ind w:left="540"/>
            </w:pPr>
            <w:r w:rsidRPr="00696BC4">
              <w:t xml:space="preserve">South &amp; Central America &amp; the Caribbean </w:t>
            </w:r>
          </w:p>
        </w:tc>
        <w:tc>
          <w:tcPr>
            <w:tcW w:w="3960" w:type="dxa"/>
          </w:tcPr>
          <w:p w14:paraId="7774A0B2" w14:textId="77777777" w:rsidR="0036455A" w:rsidRPr="00696BC4" w:rsidRDefault="0036455A">
            <w:pPr>
              <w:pStyle w:val="ListParagraph"/>
              <w:spacing w:after="0" w:line="240" w:lineRule="auto"/>
              <w:ind w:left="540"/>
              <w:jc w:val="both"/>
            </w:pPr>
            <w:r w:rsidRPr="00696BC4">
              <w:t>Costa Rica</w:t>
            </w:r>
          </w:p>
        </w:tc>
      </w:tr>
      <w:tr w:rsidR="0036455A" w:rsidRPr="00696BC4" w14:paraId="1F6802A1" w14:textId="77777777">
        <w:tc>
          <w:tcPr>
            <w:tcW w:w="4320" w:type="dxa"/>
            <w:vMerge/>
          </w:tcPr>
          <w:p w14:paraId="21300E0E" w14:textId="77777777" w:rsidR="0036455A" w:rsidRPr="00696BC4" w:rsidRDefault="0036455A">
            <w:pPr>
              <w:pStyle w:val="ListParagraph"/>
              <w:spacing w:after="0" w:line="240" w:lineRule="auto"/>
              <w:ind w:left="540"/>
            </w:pPr>
          </w:p>
        </w:tc>
        <w:tc>
          <w:tcPr>
            <w:tcW w:w="3960" w:type="dxa"/>
          </w:tcPr>
          <w:p w14:paraId="4B97F392" w14:textId="77777777" w:rsidR="0036455A" w:rsidRPr="00696BC4" w:rsidRDefault="0036455A">
            <w:pPr>
              <w:pStyle w:val="ListParagraph"/>
              <w:spacing w:after="0" w:line="240" w:lineRule="auto"/>
              <w:ind w:left="540"/>
              <w:jc w:val="both"/>
            </w:pPr>
            <w:r w:rsidRPr="00696BC4">
              <w:t>Peru</w:t>
            </w:r>
          </w:p>
        </w:tc>
      </w:tr>
      <w:tr w:rsidR="0036455A" w:rsidRPr="00696BC4" w14:paraId="6E1B2F18" w14:textId="77777777">
        <w:tc>
          <w:tcPr>
            <w:tcW w:w="4320" w:type="dxa"/>
            <w:vMerge w:val="restart"/>
          </w:tcPr>
          <w:p w14:paraId="7439A51D" w14:textId="77777777" w:rsidR="0036455A" w:rsidRPr="00696BC4" w:rsidRDefault="0036455A">
            <w:pPr>
              <w:pStyle w:val="ListParagraph"/>
              <w:spacing w:after="0" w:line="240" w:lineRule="auto"/>
              <w:ind w:left="540"/>
            </w:pPr>
            <w:r w:rsidRPr="00696BC4">
              <w:t>Europe</w:t>
            </w:r>
          </w:p>
        </w:tc>
        <w:tc>
          <w:tcPr>
            <w:tcW w:w="3960" w:type="dxa"/>
          </w:tcPr>
          <w:p w14:paraId="62804670" w14:textId="77777777" w:rsidR="0036455A" w:rsidRPr="00696BC4" w:rsidRDefault="0036455A">
            <w:pPr>
              <w:pStyle w:val="ListParagraph"/>
              <w:spacing w:after="0" w:line="240" w:lineRule="auto"/>
              <w:ind w:left="540"/>
              <w:jc w:val="both"/>
            </w:pPr>
            <w:r w:rsidRPr="00696BC4">
              <w:t xml:space="preserve">Croatia </w:t>
            </w:r>
          </w:p>
        </w:tc>
      </w:tr>
      <w:tr w:rsidR="0036455A" w:rsidRPr="00696BC4" w14:paraId="568898B5" w14:textId="77777777">
        <w:tc>
          <w:tcPr>
            <w:tcW w:w="4320" w:type="dxa"/>
            <w:vMerge/>
          </w:tcPr>
          <w:p w14:paraId="23EAA7F4" w14:textId="77777777" w:rsidR="0036455A" w:rsidRPr="00696BC4" w:rsidRDefault="0036455A">
            <w:pPr>
              <w:pStyle w:val="ListParagraph"/>
              <w:spacing w:after="0" w:line="240" w:lineRule="auto"/>
              <w:ind w:left="540"/>
            </w:pPr>
          </w:p>
        </w:tc>
        <w:tc>
          <w:tcPr>
            <w:tcW w:w="3960" w:type="dxa"/>
          </w:tcPr>
          <w:p w14:paraId="7C39F568" w14:textId="77777777" w:rsidR="0036455A" w:rsidRPr="00696BC4" w:rsidRDefault="0036455A">
            <w:pPr>
              <w:pStyle w:val="ListParagraph"/>
              <w:spacing w:after="0" w:line="240" w:lineRule="auto"/>
              <w:ind w:left="540"/>
              <w:jc w:val="both"/>
            </w:pPr>
            <w:r w:rsidRPr="00696BC4">
              <w:t>France</w:t>
            </w:r>
          </w:p>
        </w:tc>
      </w:tr>
      <w:tr w:rsidR="0036455A" w:rsidRPr="00696BC4" w14:paraId="26E916F8" w14:textId="77777777">
        <w:tc>
          <w:tcPr>
            <w:tcW w:w="4320" w:type="dxa"/>
            <w:vMerge/>
          </w:tcPr>
          <w:p w14:paraId="51573065" w14:textId="77777777" w:rsidR="0036455A" w:rsidRPr="00696BC4" w:rsidRDefault="0036455A">
            <w:pPr>
              <w:pStyle w:val="ListParagraph"/>
              <w:spacing w:after="0" w:line="240" w:lineRule="auto"/>
              <w:ind w:left="540"/>
            </w:pPr>
          </w:p>
        </w:tc>
        <w:tc>
          <w:tcPr>
            <w:tcW w:w="3960" w:type="dxa"/>
          </w:tcPr>
          <w:p w14:paraId="18E867F6" w14:textId="27A31C1A" w:rsidR="0036455A" w:rsidRPr="00696BC4" w:rsidRDefault="00E95EF4">
            <w:pPr>
              <w:pStyle w:val="ListParagraph"/>
              <w:spacing w:after="0" w:line="240" w:lineRule="auto"/>
              <w:ind w:left="540"/>
              <w:jc w:val="both"/>
            </w:pPr>
            <w:r w:rsidRPr="00696BC4">
              <w:t>Montenegro</w:t>
            </w:r>
          </w:p>
        </w:tc>
      </w:tr>
      <w:tr w:rsidR="0036455A" w:rsidRPr="00696BC4" w14:paraId="7A6C5038" w14:textId="77777777">
        <w:tc>
          <w:tcPr>
            <w:tcW w:w="4320" w:type="dxa"/>
          </w:tcPr>
          <w:p w14:paraId="5722F053" w14:textId="77777777" w:rsidR="0036455A" w:rsidRPr="00696BC4" w:rsidRDefault="0036455A">
            <w:pPr>
              <w:pStyle w:val="ListParagraph"/>
              <w:spacing w:after="0" w:line="240" w:lineRule="auto"/>
              <w:ind w:left="540"/>
            </w:pPr>
            <w:r w:rsidRPr="00696BC4">
              <w:t>Oceania</w:t>
            </w:r>
          </w:p>
        </w:tc>
        <w:tc>
          <w:tcPr>
            <w:tcW w:w="3960" w:type="dxa"/>
          </w:tcPr>
          <w:p w14:paraId="726A7DE3" w14:textId="409005BC" w:rsidR="0036455A" w:rsidRPr="00696BC4" w:rsidRDefault="00E95EF4">
            <w:pPr>
              <w:pStyle w:val="ListParagraph"/>
              <w:spacing w:after="0" w:line="240" w:lineRule="auto"/>
              <w:ind w:left="540"/>
              <w:jc w:val="both"/>
            </w:pPr>
            <w:r w:rsidRPr="00696BC4">
              <w:t>Cook Islands</w:t>
            </w:r>
          </w:p>
        </w:tc>
      </w:tr>
    </w:tbl>
    <w:p w14:paraId="284E5DC5" w14:textId="77777777" w:rsidR="0036455A" w:rsidRPr="00696BC4" w:rsidRDefault="0036455A" w:rsidP="0036455A">
      <w:pPr>
        <w:spacing w:after="0" w:line="240" w:lineRule="auto"/>
        <w:jc w:val="both"/>
      </w:pPr>
    </w:p>
    <w:p w14:paraId="617017EB" w14:textId="35D3A439" w:rsidR="0036455A" w:rsidRPr="00696BC4" w:rsidRDefault="0036455A" w:rsidP="0036455A">
      <w:pPr>
        <w:pStyle w:val="ListParagraph"/>
        <w:widowControl w:val="0"/>
        <w:numPr>
          <w:ilvl w:val="0"/>
          <w:numId w:val="25"/>
        </w:numPr>
        <w:suppressAutoHyphens/>
        <w:spacing w:after="0" w:line="240" w:lineRule="auto"/>
        <w:ind w:left="567" w:hanging="567"/>
        <w:contextualSpacing w:val="0"/>
        <w:jc w:val="both"/>
        <w:rPr>
          <w:rFonts w:cs="Arial"/>
          <w:color w:val="000000"/>
          <w:kern w:val="2"/>
        </w:rPr>
      </w:pPr>
      <w:r w:rsidRPr="00696BC4">
        <w:rPr>
          <w:rFonts w:cs="Arial"/>
          <w:color w:val="000000"/>
          <w:kern w:val="2"/>
        </w:rPr>
        <w:t xml:space="preserve">Under Rule 1.1 of the Rules of Procedure of the </w:t>
      </w:r>
      <w:r w:rsidR="004F047C" w:rsidRPr="00696BC4">
        <w:rPr>
          <w:rFonts w:cs="Arial"/>
          <w:color w:val="000000"/>
          <w:kern w:val="2"/>
        </w:rPr>
        <w:t>Standing Committee (</w:t>
      </w:r>
      <w:proofErr w:type="spellStart"/>
      <w:r w:rsidRPr="00696BC4">
        <w:rPr>
          <w:rFonts w:cs="Arial"/>
          <w:color w:val="000000"/>
          <w:kern w:val="2"/>
        </w:rPr>
        <w:t>StC</w:t>
      </w:r>
      <w:proofErr w:type="spellEnd"/>
      <w:r w:rsidR="004F047C" w:rsidRPr="00696BC4">
        <w:rPr>
          <w:rFonts w:cs="Arial"/>
          <w:color w:val="000000"/>
          <w:kern w:val="2"/>
        </w:rPr>
        <w:t>)</w:t>
      </w:r>
      <w:r w:rsidRPr="00696BC4">
        <w:rPr>
          <w:rFonts w:cs="Arial"/>
          <w:color w:val="000000"/>
          <w:kern w:val="2"/>
        </w:rPr>
        <w:t xml:space="preserve">, the </w:t>
      </w:r>
      <w:r w:rsidR="002255A0" w:rsidRPr="00696BC4">
        <w:rPr>
          <w:rFonts w:cs="Arial"/>
          <w:color w:val="000000"/>
          <w:kern w:val="2"/>
        </w:rPr>
        <w:t>m</w:t>
      </w:r>
      <w:r w:rsidRPr="00696BC4">
        <w:rPr>
          <w:rFonts w:cs="Arial"/>
          <w:color w:val="000000"/>
          <w:kern w:val="2"/>
        </w:rPr>
        <w:t xml:space="preserve">embers of the Committee shall elect its Chair and Vice-Chair from among themselves at the first meeting of the </w:t>
      </w:r>
      <w:proofErr w:type="spellStart"/>
      <w:r w:rsidRPr="00696BC4">
        <w:rPr>
          <w:rFonts w:cs="Arial"/>
          <w:color w:val="000000"/>
          <w:kern w:val="2"/>
        </w:rPr>
        <w:t>StC</w:t>
      </w:r>
      <w:proofErr w:type="spellEnd"/>
      <w:r w:rsidRPr="00696BC4">
        <w:rPr>
          <w:rFonts w:cs="Arial"/>
          <w:color w:val="000000"/>
          <w:kern w:val="2"/>
        </w:rPr>
        <w:t xml:space="preserve"> following each regular meeting of the COP.</w:t>
      </w:r>
    </w:p>
    <w:p w14:paraId="195D06F3" w14:textId="23DCCCE4" w:rsidR="00786FC4" w:rsidRDefault="00786FC4" w:rsidP="00DF7799">
      <w:pPr>
        <w:pStyle w:val="ListParagraph"/>
        <w:widowControl w:val="0"/>
        <w:suppressAutoHyphens/>
        <w:spacing w:after="0" w:line="240" w:lineRule="auto"/>
        <w:ind w:left="567"/>
        <w:contextualSpacing w:val="0"/>
        <w:jc w:val="both"/>
        <w:rPr>
          <w:rFonts w:cs="Arial"/>
          <w:color w:val="000000"/>
          <w:kern w:val="2"/>
        </w:rPr>
      </w:pPr>
      <w:r>
        <w:rPr>
          <w:rFonts w:cs="Arial"/>
          <w:color w:val="000000"/>
          <w:kern w:val="2"/>
        </w:rPr>
        <w:br w:type="page"/>
      </w:r>
    </w:p>
    <w:p w14:paraId="24528BE8" w14:textId="250ABBD7" w:rsidR="0036455A" w:rsidRPr="00696BC4" w:rsidRDefault="0036455A" w:rsidP="0036455A">
      <w:pPr>
        <w:pStyle w:val="ListParagraph"/>
        <w:numPr>
          <w:ilvl w:val="0"/>
          <w:numId w:val="25"/>
        </w:numPr>
        <w:spacing w:after="0" w:line="240" w:lineRule="auto"/>
        <w:ind w:left="567" w:hanging="567"/>
        <w:jc w:val="both"/>
      </w:pPr>
      <w:r w:rsidRPr="00696BC4">
        <w:lastRenderedPageBreak/>
        <w:t xml:space="preserve">Parties should also be aware that, at the meeting of the </w:t>
      </w:r>
      <w:proofErr w:type="spellStart"/>
      <w:r w:rsidRPr="00696BC4">
        <w:t>StC</w:t>
      </w:r>
      <w:proofErr w:type="spellEnd"/>
      <w:r w:rsidRPr="00696BC4">
        <w:t xml:space="preserve"> immediately following COP1</w:t>
      </w:r>
      <w:r w:rsidR="008841B6" w:rsidRPr="00696BC4">
        <w:t>5</w:t>
      </w:r>
      <w:r w:rsidRPr="00696BC4">
        <w:t xml:space="preserve">, a Finance and Budget Subcommittee will be established from among the members of the </w:t>
      </w:r>
      <w:proofErr w:type="spellStart"/>
      <w:r w:rsidRPr="00696BC4">
        <w:t>StC</w:t>
      </w:r>
      <w:proofErr w:type="spellEnd"/>
      <w:r w:rsidRPr="00696BC4">
        <w:t>, with one country representative from each of the CMS regions nominated by the region, and that the Subcommittee shall elect a Chair from among its members.</w:t>
      </w:r>
      <w:r w:rsidRPr="00696BC4">
        <w:rPr>
          <w:rStyle w:val="FootnoteReference"/>
          <w:vertAlign w:val="superscript"/>
        </w:rPr>
        <w:t xml:space="preserve"> </w:t>
      </w:r>
      <w:r w:rsidRPr="00696BC4">
        <w:rPr>
          <w:rStyle w:val="FootnoteReference"/>
          <w:vertAlign w:val="superscript"/>
        </w:rPr>
        <w:footnoteReference w:id="3"/>
      </w:r>
      <w:r w:rsidRPr="00696BC4">
        <w:t xml:space="preserve"> </w:t>
      </w:r>
    </w:p>
    <w:p w14:paraId="0DCE0E96" w14:textId="77777777" w:rsidR="0036455A" w:rsidRPr="00696BC4" w:rsidRDefault="0036455A" w:rsidP="0036455A">
      <w:pPr>
        <w:spacing w:after="0" w:line="240" w:lineRule="auto"/>
        <w:jc w:val="both"/>
      </w:pPr>
    </w:p>
    <w:p w14:paraId="35125906" w14:textId="77777777" w:rsidR="0036455A" w:rsidRPr="00696BC4" w:rsidRDefault="0036455A" w:rsidP="0036455A">
      <w:pPr>
        <w:spacing w:after="0" w:line="240" w:lineRule="auto"/>
        <w:jc w:val="both"/>
        <w:rPr>
          <w:rFonts w:cs="Arial"/>
        </w:rPr>
      </w:pPr>
      <w:r w:rsidRPr="00696BC4">
        <w:rPr>
          <w:rFonts w:cs="Arial"/>
          <w:u w:val="single"/>
        </w:rPr>
        <w:t>Recommended actions</w:t>
      </w:r>
    </w:p>
    <w:p w14:paraId="1BEE0E6D" w14:textId="77777777" w:rsidR="0036455A" w:rsidRPr="00696BC4" w:rsidRDefault="0036455A" w:rsidP="0036455A">
      <w:pPr>
        <w:spacing w:after="0" w:line="240" w:lineRule="auto"/>
        <w:jc w:val="both"/>
        <w:rPr>
          <w:rFonts w:cs="Arial"/>
        </w:rPr>
      </w:pPr>
    </w:p>
    <w:p w14:paraId="16AC3DDF" w14:textId="77777777" w:rsidR="0036455A" w:rsidRPr="00696BC4" w:rsidRDefault="0036455A" w:rsidP="0036455A">
      <w:pPr>
        <w:pStyle w:val="ListParagraph"/>
        <w:numPr>
          <w:ilvl w:val="0"/>
          <w:numId w:val="25"/>
        </w:numPr>
        <w:spacing w:after="0" w:line="240" w:lineRule="auto"/>
        <w:ind w:left="567" w:hanging="567"/>
        <w:contextualSpacing w:val="0"/>
        <w:jc w:val="both"/>
        <w:rPr>
          <w:rFonts w:cs="Arial"/>
        </w:rPr>
      </w:pPr>
      <w:r w:rsidRPr="00696BC4">
        <w:rPr>
          <w:rFonts w:cs="Arial"/>
        </w:rPr>
        <w:t>The</w:t>
      </w:r>
      <w:r w:rsidRPr="00696BC4">
        <w:rPr>
          <w:rFonts w:cs="Arial"/>
          <w:lang w:eastAsia="en-GB"/>
        </w:rPr>
        <w:t xml:space="preserve"> Conference of the Parties is recommended to</w:t>
      </w:r>
      <w:r w:rsidRPr="00696BC4">
        <w:rPr>
          <w:rFonts w:cs="Arial"/>
        </w:rPr>
        <w:t>:</w:t>
      </w:r>
    </w:p>
    <w:p w14:paraId="68CE586B" w14:textId="77777777" w:rsidR="0036455A" w:rsidRPr="00696BC4" w:rsidRDefault="0036455A" w:rsidP="0036455A">
      <w:pPr>
        <w:pStyle w:val="ListParagraph"/>
        <w:spacing w:after="0" w:line="240" w:lineRule="auto"/>
        <w:ind w:left="567"/>
        <w:contextualSpacing w:val="0"/>
        <w:jc w:val="both"/>
        <w:rPr>
          <w:rFonts w:cs="Arial"/>
        </w:rPr>
      </w:pPr>
    </w:p>
    <w:p w14:paraId="4F22FADB" w14:textId="7EA2BD28" w:rsidR="0036455A" w:rsidRPr="00696BC4" w:rsidRDefault="004F047C" w:rsidP="0036455A">
      <w:pPr>
        <w:numPr>
          <w:ilvl w:val="0"/>
          <w:numId w:val="7"/>
        </w:numPr>
        <w:autoSpaceDN w:val="0"/>
        <w:spacing w:after="0" w:line="240" w:lineRule="auto"/>
        <w:ind w:left="1134" w:hanging="567"/>
        <w:jc w:val="both"/>
        <w:rPr>
          <w:rFonts w:cs="Arial"/>
        </w:rPr>
      </w:pPr>
      <w:r w:rsidRPr="00696BC4">
        <w:rPr>
          <w:rFonts w:cs="Arial"/>
        </w:rPr>
        <w:t>c</w:t>
      </w:r>
      <w:r w:rsidR="0036455A" w:rsidRPr="00696BC4">
        <w:rPr>
          <w:rFonts w:cs="Arial"/>
        </w:rPr>
        <w:t>onsult within regional groups and determine which Parties will be nominated as regional or alternate members of the Standing Committee</w:t>
      </w:r>
      <w:r w:rsidR="00FC79CB" w:rsidRPr="00696BC4">
        <w:rPr>
          <w:rFonts w:cs="Arial"/>
        </w:rPr>
        <w:t>;</w:t>
      </w:r>
      <w:r w:rsidR="0036455A" w:rsidRPr="00696BC4">
        <w:rPr>
          <w:rFonts w:cs="Arial"/>
        </w:rPr>
        <w:t xml:space="preserve"> </w:t>
      </w:r>
      <w:r w:rsidR="0003797A" w:rsidRPr="00696BC4">
        <w:rPr>
          <w:rFonts w:cs="Arial"/>
        </w:rPr>
        <w:t>and</w:t>
      </w:r>
    </w:p>
    <w:p w14:paraId="0BFE7250" w14:textId="77777777" w:rsidR="0036455A" w:rsidRPr="00696BC4" w:rsidRDefault="0036455A" w:rsidP="0036455A">
      <w:pPr>
        <w:autoSpaceDN w:val="0"/>
        <w:spacing w:after="0" w:line="240" w:lineRule="auto"/>
        <w:ind w:left="1134" w:hanging="567"/>
        <w:jc w:val="both"/>
        <w:rPr>
          <w:rFonts w:cs="Arial"/>
        </w:rPr>
      </w:pPr>
    </w:p>
    <w:p w14:paraId="3B7416DE" w14:textId="02A31CC2" w:rsidR="0036455A" w:rsidRPr="00696BC4" w:rsidRDefault="00FC79CB" w:rsidP="0036455A">
      <w:pPr>
        <w:numPr>
          <w:ilvl w:val="0"/>
          <w:numId w:val="7"/>
        </w:numPr>
        <w:autoSpaceDN w:val="0"/>
        <w:spacing w:after="0" w:line="240" w:lineRule="auto"/>
        <w:ind w:left="1134" w:hanging="567"/>
        <w:jc w:val="both"/>
      </w:pPr>
      <w:r w:rsidRPr="00696BC4">
        <w:t>e</w:t>
      </w:r>
      <w:r w:rsidR="0036455A" w:rsidRPr="00696BC4">
        <w:t>lect the regional and alternate members of the Standing Committee, in accordance with Resolution 9.15, under Agenda item 17 of COP</w:t>
      </w:r>
      <w:r w:rsidR="00867A03" w:rsidRPr="00696BC4">
        <w:t>15</w:t>
      </w:r>
      <w:r w:rsidR="0036455A" w:rsidRPr="00696BC4">
        <w:t xml:space="preserve">. </w:t>
      </w:r>
    </w:p>
    <w:p w14:paraId="58CD53A6" w14:textId="77777777" w:rsidR="00831DC2" w:rsidRPr="00DD07FD" w:rsidRDefault="00831DC2" w:rsidP="00DD07FD">
      <w:pPr>
        <w:pStyle w:val="Secondnumbering"/>
        <w:numPr>
          <w:ilvl w:val="0"/>
          <w:numId w:val="0"/>
        </w:numPr>
      </w:pPr>
    </w:p>
    <w:sectPr w:rsidR="00831DC2" w:rsidRPr="00DD07FD" w:rsidSect="00416EBA">
      <w:head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19DF" w14:textId="77777777" w:rsidR="004F0610" w:rsidRDefault="004F0610" w:rsidP="002E0DE9">
      <w:pPr>
        <w:spacing w:after="0" w:line="240" w:lineRule="auto"/>
      </w:pPr>
      <w:r>
        <w:separator/>
      </w:r>
    </w:p>
  </w:endnote>
  <w:endnote w:type="continuationSeparator" w:id="0">
    <w:p w14:paraId="4ABF1A4A" w14:textId="77777777" w:rsidR="004F0610" w:rsidRDefault="004F0610" w:rsidP="002E0DE9">
      <w:pPr>
        <w:spacing w:after="0" w:line="240" w:lineRule="auto"/>
      </w:pPr>
      <w:r>
        <w:continuationSeparator/>
      </w:r>
    </w:p>
  </w:endnote>
  <w:endnote w:type="continuationNotice" w:id="1">
    <w:p w14:paraId="2D8CDB4F" w14:textId="77777777" w:rsidR="004F0610" w:rsidRDefault="004F0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57670826"/>
      <w:docPartObj>
        <w:docPartGallery w:val="Page Numbers (Bottom of Page)"/>
        <w:docPartUnique/>
      </w:docPartObj>
    </w:sdtPr>
    <w:sdtEndPr>
      <w:rPr>
        <w:noProof/>
      </w:rPr>
    </w:sdtEndPr>
    <w:sdtContent>
      <w:p w14:paraId="47732255" w14:textId="19C30DF6" w:rsidR="00B2195D" w:rsidRPr="00B2195D" w:rsidRDefault="00B2195D" w:rsidP="00B2195D">
        <w:pPr>
          <w:pStyle w:val="Footer"/>
          <w:jc w:val="center"/>
          <w:rPr>
            <w:sz w:val="18"/>
            <w:szCs w:val="18"/>
          </w:rPr>
        </w:pPr>
        <w:r w:rsidRPr="00B2195D">
          <w:rPr>
            <w:sz w:val="18"/>
            <w:szCs w:val="18"/>
          </w:rPr>
          <w:fldChar w:fldCharType="begin"/>
        </w:r>
        <w:r w:rsidRPr="00B2195D">
          <w:rPr>
            <w:sz w:val="18"/>
            <w:szCs w:val="18"/>
          </w:rPr>
          <w:instrText xml:space="preserve"> PAGE   \* MERGEFORMAT </w:instrText>
        </w:r>
        <w:r w:rsidRPr="00B2195D">
          <w:rPr>
            <w:sz w:val="18"/>
            <w:szCs w:val="18"/>
          </w:rPr>
          <w:fldChar w:fldCharType="separate"/>
        </w:r>
        <w:r w:rsidRPr="00B2195D">
          <w:rPr>
            <w:noProof/>
            <w:sz w:val="18"/>
            <w:szCs w:val="18"/>
          </w:rPr>
          <w:t>2</w:t>
        </w:r>
        <w:r w:rsidRPr="00B2195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65875742"/>
      <w:docPartObj>
        <w:docPartGallery w:val="Page Numbers (Bottom of Page)"/>
        <w:docPartUnique/>
      </w:docPartObj>
    </w:sdtPr>
    <w:sdtEndPr>
      <w:rPr>
        <w:noProof/>
      </w:rPr>
    </w:sdtEndPr>
    <w:sdtContent>
      <w:p w14:paraId="64FA4B3C" w14:textId="74ED4110" w:rsidR="00B2195D" w:rsidRPr="00B2195D" w:rsidRDefault="00B2195D" w:rsidP="00B2195D">
        <w:pPr>
          <w:pStyle w:val="Footer"/>
          <w:jc w:val="center"/>
          <w:rPr>
            <w:sz w:val="18"/>
            <w:szCs w:val="18"/>
          </w:rPr>
        </w:pPr>
        <w:r w:rsidRPr="00B2195D">
          <w:rPr>
            <w:sz w:val="18"/>
            <w:szCs w:val="18"/>
          </w:rPr>
          <w:fldChar w:fldCharType="begin"/>
        </w:r>
        <w:r w:rsidRPr="00B2195D">
          <w:rPr>
            <w:sz w:val="18"/>
            <w:szCs w:val="18"/>
          </w:rPr>
          <w:instrText xml:space="preserve"> PAGE   \* MERGEFORMAT </w:instrText>
        </w:r>
        <w:r w:rsidRPr="00B2195D">
          <w:rPr>
            <w:sz w:val="18"/>
            <w:szCs w:val="18"/>
          </w:rPr>
          <w:fldChar w:fldCharType="separate"/>
        </w:r>
        <w:r w:rsidRPr="00B2195D">
          <w:rPr>
            <w:noProof/>
            <w:sz w:val="18"/>
            <w:szCs w:val="18"/>
          </w:rPr>
          <w:t>2</w:t>
        </w:r>
        <w:r w:rsidRPr="00B2195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3D4C" w14:textId="77777777" w:rsidR="004F0610" w:rsidRDefault="004F0610" w:rsidP="002E0DE9">
      <w:pPr>
        <w:spacing w:after="0" w:line="240" w:lineRule="auto"/>
      </w:pPr>
      <w:r>
        <w:separator/>
      </w:r>
    </w:p>
  </w:footnote>
  <w:footnote w:type="continuationSeparator" w:id="0">
    <w:p w14:paraId="57BCE174" w14:textId="77777777" w:rsidR="004F0610" w:rsidRDefault="004F0610" w:rsidP="002E0DE9">
      <w:pPr>
        <w:spacing w:after="0" w:line="240" w:lineRule="auto"/>
      </w:pPr>
      <w:r>
        <w:continuationSeparator/>
      </w:r>
    </w:p>
  </w:footnote>
  <w:footnote w:type="continuationNotice" w:id="1">
    <w:p w14:paraId="28A3EC7A" w14:textId="77777777" w:rsidR="004F0610" w:rsidRDefault="004F0610">
      <w:pPr>
        <w:spacing w:after="0" w:line="240" w:lineRule="auto"/>
      </w:pPr>
    </w:p>
  </w:footnote>
  <w:footnote w:id="2">
    <w:p w14:paraId="6F9E1824" w14:textId="77777777" w:rsidR="0036455A" w:rsidRPr="00E24779" w:rsidRDefault="0036455A" w:rsidP="0036455A">
      <w:pPr>
        <w:pStyle w:val="FootnoteText"/>
        <w:jc w:val="both"/>
        <w:rPr>
          <w:rFonts w:ascii="Arial" w:hAnsi="Arial" w:cs="Arial"/>
          <w:i/>
          <w:sz w:val="18"/>
          <w:szCs w:val="18"/>
          <w:lang w:val="en-GB"/>
        </w:rPr>
      </w:pPr>
      <w:r w:rsidRPr="00C32419">
        <w:rPr>
          <w:rStyle w:val="FootnoteReference"/>
          <w:rFonts w:ascii="Arial" w:hAnsi="Arial" w:cs="Arial"/>
          <w:iCs/>
          <w:sz w:val="16"/>
          <w:szCs w:val="16"/>
        </w:rPr>
        <w:footnoteRef/>
      </w:r>
      <w:r w:rsidRPr="00C32419">
        <w:rPr>
          <w:rFonts w:ascii="Arial" w:hAnsi="Arial" w:cs="Arial"/>
          <w:iCs/>
          <w:sz w:val="16"/>
          <w:szCs w:val="16"/>
          <w:lang w:val="en-GB"/>
        </w:rPr>
        <w:t xml:space="preserve"> </w:t>
      </w:r>
      <w:r>
        <w:rPr>
          <w:rFonts w:ascii="Arial" w:hAnsi="Arial" w:cs="Arial"/>
          <w:iCs/>
          <w:sz w:val="16"/>
          <w:szCs w:val="16"/>
          <w:lang w:val="en-GB"/>
        </w:rPr>
        <w:t>Resolution 9.15, Paragraph</w:t>
      </w:r>
      <w:r w:rsidRPr="00C32419">
        <w:rPr>
          <w:rFonts w:ascii="Arial" w:hAnsi="Arial" w:cs="Arial"/>
          <w:iCs/>
          <w:sz w:val="16"/>
          <w:szCs w:val="16"/>
          <w:lang w:val="en-GB"/>
        </w:rPr>
        <w:t xml:space="preserve"> 2(l)</w:t>
      </w:r>
      <w:r>
        <w:rPr>
          <w:rFonts w:ascii="Arial" w:hAnsi="Arial" w:cs="Arial"/>
          <w:iCs/>
          <w:sz w:val="16"/>
          <w:szCs w:val="16"/>
          <w:lang w:val="en-GB"/>
        </w:rPr>
        <w:t>:</w:t>
      </w:r>
      <w:r w:rsidRPr="00C32419">
        <w:rPr>
          <w:rFonts w:ascii="Arial" w:hAnsi="Arial" w:cs="Arial"/>
          <w:iCs/>
          <w:sz w:val="16"/>
          <w:szCs w:val="16"/>
          <w:lang w:val="en-GB"/>
        </w:rPr>
        <w:t xml:space="preserve"> </w:t>
      </w:r>
      <w:r w:rsidRPr="00E24779">
        <w:rPr>
          <w:rFonts w:ascii="Arial" w:hAnsi="Arial" w:cs="Arial"/>
          <w:i/>
          <w:sz w:val="16"/>
          <w:szCs w:val="16"/>
          <w:lang w:val="en-GB"/>
        </w:rPr>
        <w:t>If a regional representative or alternate resigns from the Standing Committee, the Secretariat shall organise a ballot among all Parties from that region to elect a successor, the voting system described in the COP ROPs being adopted mutatis mutandis.</w:t>
      </w:r>
    </w:p>
  </w:footnote>
  <w:footnote w:id="3">
    <w:p w14:paraId="6A50365C" w14:textId="584C520A" w:rsidR="0036455A" w:rsidRPr="00861052" w:rsidRDefault="0036455A" w:rsidP="0036455A">
      <w:pPr>
        <w:pStyle w:val="FootnoteText"/>
        <w:rPr>
          <w:rFonts w:ascii="Arial" w:hAnsi="Arial" w:cs="Arial"/>
        </w:rPr>
      </w:pPr>
      <w:r w:rsidRPr="00861052">
        <w:rPr>
          <w:rStyle w:val="FootnoteReference"/>
          <w:rFonts w:ascii="Arial" w:hAnsi="Arial" w:cs="Arial"/>
          <w:sz w:val="16"/>
          <w:szCs w:val="16"/>
        </w:rPr>
        <w:footnoteRef/>
      </w:r>
      <w:r w:rsidRPr="00861052">
        <w:rPr>
          <w:rFonts w:ascii="Arial" w:hAnsi="Arial" w:cs="Arial"/>
          <w:sz w:val="16"/>
          <w:szCs w:val="16"/>
        </w:rPr>
        <w:t xml:space="preserve"> As per Paragraph 1(e) of Resolution 9.15, and Paragraph 1(a) and (b) of</w:t>
      </w:r>
      <w:r w:rsidR="00C75D21">
        <w:rPr>
          <w:rFonts w:ascii="Arial" w:hAnsi="Arial" w:cs="Arial"/>
          <w:sz w:val="16"/>
          <w:szCs w:val="16"/>
        </w:rPr>
        <w:t xml:space="preserve"> Annex 4 of</w:t>
      </w:r>
      <w:r w:rsidRPr="00861052">
        <w:rPr>
          <w:rFonts w:ascii="Arial" w:hAnsi="Arial" w:cs="Arial"/>
          <w:sz w:val="16"/>
          <w:szCs w:val="16"/>
        </w:rPr>
        <w:t xml:space="preserve"> Resolution 1</w:t>
      </w:r>
      <w:r w:rsidR="008841B6">
        <w:rPr>
          <w:rFonts w:ascii="Arial" w:hAnsi="Arial" w:cs="Arial"/>
          <w:sz w:val="16"/>
          <w:szCs w:val="16"/>
        </w:rPr>
        <w:t>4.</w:t>
      </w:r>
      <w:r w:rsidRPr="00861052">
        <w:rPr>
          <w:rFonts w:ascii="Arial" w:hAnsi="Arial" w:cs="Arial"/>
          <w:sz w:val="16"/>
          <w:szCs w:val="16"/>
        </w:rPr>
        <w:t xml:space="preserve">2 </w:t>
      </w:r>
      <w:r w:rsidRPr="00DF7799">
        <w:rPr>
          <w:rFonts w:ascii="Arial" w:hAnsi="Arial" w:cs="Arial"/>
          <w:i/>
          <w:iCs/>
          <w:sz w:val="16"/>
          <w:szCs w:val="16"/>
        </w:rPr>
        <w:t>Financial and Administrative Matters</w:t>
      </w:r>
      <w:r w:rsidRPr="00861052">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52A3C4DB" w:rsidR="002E0DE9" w:rsidRPr="002E0DE9" w:rsidRDefault="002E0DE9" w:rsidP="00B2195D">
    <w:pPr>
      <w:pStyle w:val="Header"/>
      <w:pBdr>
        <w:bottom w:val="single" w:sz="4" w:space="1" w:color="auto"/>
      </w:pBdr>
      <w:jc w:val="right"/>
      <w:rPr>
        <w:i/>
        <w:sz w:val="18"/>
        <w:szCs w:val="18"/>
      </w:rPr>
    </w:pPr>
    <w:r w:rsidRPr="002E0DE9">
      <w:rPr>
        <w:rFonts w:eastAsia="Times New Roman" w:cs="Arial"/>
        <w:i/>
        <w:sz w:val="18"/>
        <w:szCs w:val="18"/>
      </w:rPr>
      <w:t>UNEP/CMS/COP1</w:t>
    </w:r>
    <w:r w:rsidR="0036455A">
      <w:rPr>
        <w:rFonts w:eastAsia="Times New Roman" w:cs="Arial"/>
        <w:i/>
        <w:sz w:val="18"/>
        <w:szCs w:val="18"/>
      </w:rPr>
      <w:t>5</w:t>
    </w:r>
    <w:r w:rsidRPr="002E0DE9">
      <w:rPr>
        <w:rFonts w:eastAsia="Times New Roman" w:cs="Arial"/>
        <w:i/>
        <w:sz w:val="18"/>
        <w:szCs w:val="18"/>
      </w:rPr>
      <w:t>/Do</w:t>
    </w:r>
    <w:r w:rsidR="0036455A">
      <w:rPr>
        <w:rFonts w:eastAsia="Times New Roman" w:cs="Arial"/>
        <w:i/>
        <w:sz w:val="18"/>
        <w:szCs w:val="18"/>
      </w:rPr>
      <w:t>c.17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356683C4"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8841B6">
      <w:rPr>
        <w:rFonts w:cs="Arial"/>
        <w:i/>
        <w:sz w:val="18"/>
        <w:szCs w:val="18"/>
        <w:lang w:val="de-DE"/>
      </w:rPr>
      <w:t>5</w:t>
    </w:r>
    <w:r w:rsidRPr="00661875">
      <w:rPr>
        <w:rFonts w:cs="Arial"/>
        <w:i/>
        <w:sz w:val="18"/>
        <w:szCs w:val="18"/>
        <w:lang w:val="de-DE"/>
      </w:rPr>
      <w:t>/Doc.</w:t>
    </w:r>
    <w:r w:rsidR="008841B6">
      <w:rPr>
        <w:rFonts w:cs="Arial"/>
        <w:i/>
        <w:sz w:val="18"/>
        <w:szCs w:val="18"/>
        <w:lang w:val="de-DE"/>
      </w:rPr>
      <w:t>17</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511" w14:textId="4D9EC21B" w:rsidR="00371DE1" w:rsidRPr="002E0DE9" w:rsidRDefault="00371DE1" w:rsidP="005135A5">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5135A5">
      <w:rPr>
        <w:rFonts w:cs="Arial"/>
        <w:i/>
        <w:sz w:val="18"/>
        <w:szCs w:val="18"/>
        <w:lang w:val="de-DE"/>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143652F"/>
    <w:multiLevelType w:val="hybridMultilevel"/>
    <w:tmpl w:val="F3FE06C2"/>
    <w:lvl w:ilvl="0" w:tplc="4C88504A">
      <w:start w:val="1"/>
      <w:numFmt w:val="lowerRoman"/>
      <w:lvlText w:val="(%1)"/>
      <w:lvlJc w:val="left"/>
      <w:pPr>
        <w:ind w:left="1620" w:hanging="720"/>
      </w:pPr>
    </w:lvl>
    <w:lvl w:ilvl="1" w:tplc="4F106F44">
      <w:start w:val="1"/>
      <w:numFmt w:val="lowerLetter"/>
      <w:lvlText w:val="(%2)"/>
      <w:lvlJc w:val="left"/>
      <w:pPr>
        <w:ind w:left="1980" w:hanging="360"/>
      </w:pPr>
    </w:lvl>
    <w:lvl w:ilvl="2" w:tplc="0407001B">
      <w:start w:val="1"/>
      <w:numFmt w:val="lowerRoman"/>
      <w:lvlText w:val="%3."/>
      <w:lvlJc w:val="right"/>
      <w:pPr>
        <w:ind w:left="2700" w:hanging="180"/>
      </w:pPr>
    </w:lvl>
    <w:lvl w:ilvl="3" w:tplc="0407000F">
      <w:start w:val="1"/>
      <w:numFmt w:val="decimal"/>
      <w:lvlText w:val="%4."/>
      <w:lvlJc w:val="left"/>
      <w:pPr>
        <w:ind w:left="3420" w:hanging="360"/>
      </w:pPr>
    </w:lvl>
    <w:lvl w:ilvl="4" w:tplc="04070019">
      <w:start w:val="1"/>
      <w:numFmt w:val="lowerLetter"/>
      <w:lvlText w:val="%5."/>
      <w:lvlJc w:val="left"/>
      <w:pPr>
        <w:ind w:left="4140" w:hanging="360"/>
      </w:pPr>
    </w:lvl>
    <w:lvl w:ilvl="5" w:tplc="0407001B">
      <w:start w:val="1"/>
      <w:numFmt w:val="lowerRoman"/>
      <w:lvlText w:val="%6."/>
      <w:lvlJc w:val="right"/>
      <w:pPr>
        <w:ind w:left="4860" w:hanging="180"/>
      </w:pPr>
    </w:lvl>
    <w:lvl w:ilvl="6" w:tplc="0407000F">
      <w:start w:val="1"/>
      <w:numFmt w:val="decimal"/>
      <w:lvlText w:val="%7."/>
      <w:lvlJc w:val="left"/>
      <w:pPr>
        <w:ind w:left="5580" w:hanging="360"/>
      </w:pPr>
    </w:lvl>
    <w:lvl w:ilvl="7" w:tplc="04070019">
      <w:start w:val="1"/>
      <w:numFmt w:val="lowerLetter"/>
      <w:lvlText w:val="%8."/>
      <w:lvlJc w:val="left"/>
      <w:pPr>
        <w:ind w:left="6300" w:hanging="360"/>
      </w:pPr>
    </w:lvl>
    <w:lvl w:ilvl="8" w:tplc="0407001B">
      <w:start w:val="1"/>
      <w:numFmt w:val="lowerRoman"/>
      <w:lvlText w:val="%9."/>
      <w:lvlJc w:val="right"/>
      <w:pPr>
        <w:ind w:left="7020" w:hanging="180"/>
      </w:pPr>
    </w:lvl>
  </w:abstractNum>
  <w:abstractNum w:abstractNumId="13"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6"/>
  </w:num>
  <w:num w:numId="2" w16cid:durableId="1741906446">
    <w:abstractNumId w:val="21"/>
  </w:num>
  <w:num w:numId="3" w16cid:durableId="2132282296">
    <w:abstractNumId w:val="6"/>
  </w:num>
  <w:num w:numId="4" w16cid:durableId="308674728">
    <w:abstractNumId w:val="14"/>
  </w:num>
  <w:num w:numId="5" w16cid:durableId="1500343192">
    <w:abstractNumId w:val="3"/>
  </w:num>
  <w:num w:numId="6" w16cid:durableId="947470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7"/>
  </w:num>
  <w:num w:numId="10" w16cid:durableId="1141927803">
    <w:abstractNumId w:val="18"/>
  </w:num>
  <w:num w:numId="11" w16cid:durableId="1738941606">
    <w:abstractNumId w:val="6"/>
    <w:lvlOverride w:ilvl="0">
      <w:startOverride w:val="1"/>
    </w:lvlOverride>
  </w:num>
  <w:num w:numId="12"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0"/>
  </w:num>
  <w:num w:numId="19" w16cid:durableId="717970615">
    <w:abstractNumId w:val="1"/>
  </w:num>
  <w:num w:numId="20" w16cid:durableId="448089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3"/>
  </w:num>
  <w:num w:numId="22" w16cid:durableId="1909458925">
    <w:abstractNumId w:val="5"/>
  </w:num>
  <w:num w:numId="23" w16cid:durableId="1222181368">
    <w:abstractNumId w:val="8"/>
  </w:num>
  <w:num w:numId="24" w16cid:durableId="1353608687">
    <w:abstractNumId w:val="10"/>
  </w:num>
  <w:num w:numId="25" w16cid:durableId="1569996155">
    <w:abstractNumId w:val="0"/>
  </w:num>
  <w:num w:numId="26" w16cid:durableId="887568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C8"/>
    <w:rsid w:val="00004218"/>
    <w:rsid w:val="00004AC6"/>
    <w:rsid w:val="00006C47"/>
    <w:rsid w:val="0001212C"/>
    <w:rsid w:val="000219DB"/>
    <w:rsid w:val="00022107"/>
    <w:rsid w:val="0002210E"/>
    <w:rsid w:val="00022ADA"/>
    <w:rsid w:val="000250CC"/>
    <w:rsid w:val="0002519B"/>
    <w:rsid w:val="00035CB2"/>
    <w:rsid w:val="0003797A"/>
    <w:rsid w:val="00041776"/>
    <w:rsid w:val="000418CB"/>
    <w:rsid w:val="00042704"/>
    <w:rsid w:val="00045D6C"/>
    <w:rsid w:val="00047FA5"/>
    <w:rsid w:val="00052636"/>
    <w:rsid w:val="00054548"/>
    <w:rsid w:val="00075B40"/>
    <w:rsid w:val="000762D2"/>
    <w:rsid w:val="00090D14"/>
    <w:rsid w:val="00094577"/>
    <w:rsid w:val="00094AB7"/>
    <w:rsid w:val="00094FA9"/>
    <w:rsid w:val="000A0422"/>
    <w:rsid w:val="000A1981"/>
    <w:rsid w:val="000A4016"/>
    <w:rsid w:val="000A4C50"/>
    <w:rsid w:val="000A537E"/>
    <w:rsid w:val="000A5A1E"/>
    <w:rsid w:val="000B1A95"/>
    <w:rsid w:val="000B47A8"/>
    <w:rsid w:val="000B50AD"/>
    <w:rsid w:val="000B5BA4"/>
    <w:rsid w:val="000B7161"/>
    <w:rsid w:val="000C23BD"/>
    <w:rsid w:val="000C349E"/>
    <w:rsid w:val="000D318F"/>
    <w:rsid w:val="000D5C26"/>
    <w:rsid w:val="000E0325"/>
    <w:rsid w:val="000E465E"/>
    <w:rsid w:val="000E778D"/>
    <w:rsid w:val="000F1830"/>
    <w:rsid w:val="000F6BB2"/>
    <w:rsid w:val="000F6D54"/>
    <w:rsid w:val="00100AF1"/>
    <w:rsid w:val="0010769B"/>
    <w:rsid w:val="00111987"/>
    <w:rsid w:val="00112D9A"/>
    <w:rsid w:val="00117747"/>
    <w:rsid w:val="00120752"/>
    <w:rsid w:val="00127EAC"/>
    <w:rsid w:val="001325FD"/>
    <w:rsid w:val="00133D7B"/>
    <w:rsid w:val="00133F05"/>
    <w:rsid w:val="00134B58"/>
    <w:rsid w:val="00134CC3"/>
    <w:rsid w:val="001351B6"/>
    <w:rsid w:val="0013732D"/>
    <w:rsid w:val="00143428"/>
    <w:rsid w:val="001463BB"/>
    <w:rsid w:val="0015003D"/>
    <w:rsid w:val="001508C7"/>
    <w:rsid w:val="00155833"/>
    <w:rsid w:val="00160C29"/>
    <w:rsid w:val="001644D1"/>
    <w:rsid w:val="0017266D"/>
    <w:rsid w:val="00180BD5"/>
    <w:rsid w:val="0018243E"/>
    <w:rsid w:val="00182591"/>
    <w:rsid w:val="00187A72"/>
    <w:rsid w:val="001926F2"/>
    <w:rsid w:val="0019381B"/>
    <w:rsid w:val="00193B19"/>
    <w:rsid w:val="001A2ED9"/>
    <w:rsid w:val="001A3920"/>
    <w:rsid w:val="001A5F70"/>
    <w:rsid w:val="001B219C"/>
    <w:rsid w:val="001B59BE"/>
    <w:rsid w:val="001D143D"/>
    <w:rsid w:val="001D1BD1"/>
    <w:rsid w:val="001D379B"/>
    <w:rsid w:val="001D4FD8"/>
    <w:rsid w:val="001D5CBA"/>
    <w:rsid w:val="001D7FCE"/>
    <w:rsid w:val="001E0430"/>
    <w:rsid w:val="001E0741"/>
    <w:rsid w:val="001E21E6"/>
    <w:rsid w:val="001F5C18"/>
    <w:rsid w:val="001F6C33"/>
    <w:rsid w:val="00201DFA"/>
    <w:rsid w:val="002108C3"/>
    <w:rsid w:val="00216146"/>
    <w:rsid w:val="00221119"/>
    <w:rsid w:val="00221B43"/>
    <w:rsid w:val="002233A3"/>
    <w:rsid w:val="00224365"/>
    <w:rsid w:val="002255A0"/>
    <w:rsid w:val="00226B1D"/>
    <w:rsid w:val="002343EF"/>
    <w:rsid w:val="0023673F"/>
    <w:rsid w:val="00240F90"/>
    <w:rsid w:val="00243D8D"/>
    <w:rsid w:val="0025303B"/>
    <w:rsid w:val="00254599"/>
    <w:rsid w:val="002546AE"/>
    <w:rsid w:val="00261624"/>
    <w:rsid w:val="00263B3D"/>
    <w:rsid w:val="00264EED"/>
    <w:rsid w:val="002652F3"/>
    <w:rsid w:val="00267C6B"/>
    <w:rsid w:val="00267CA9"/>
    <w:rsid w:val="002721EE"/>
    <w:rsid w:val="0027617B"/>
    <w:rsid w:val="00277633"/>
    <w:rsid w:val="00281B9F"/>
    <w:rsid w:val="00281BAF"/>
    <w:rsid w:val="00282444"/>
    <w:rsid w:val="0028319F"/>
    <w:rsid w:val="00285234"/>
    <w:rsid w:val="00286F9C"/>
    <w:rsid w:val="00296B71"/>
    <w:rsid w:val="002A012C"/>
    <w:rsid w:val="002A0A6B"/>
    <w:rsid w:val="002A2D44"/>
    <w:rsid w:val="002A440F"/>
    <w:rsid w:val="002B0E18"/>
    <w:rsid w:val="002B7D09"/>
    <w:rsid w:val="002C21B0"/>
    <w:rsid w:val="002C6BD6"/>
    <w:rsid w:val="002D255F"/>
    <w:rsid w:val="002D3E4B"/>
    <w:rsid w:val="002D4391"/>
    <w:rsid w:val="002D6582"/>
    <w:rsid w:val="002D7492"/>
    <w:rsid w:val="002E0DE9"/>
    <w:rsid w:val="002E5BE2"/>
    <w:rsid w:val="002E64D5"/>
    <w:rsid w:val="002E696F"/>
    <w:rsid w:val="002E6A6C"/>
    <w:rsid w:val="002F5B06"/>
    <w:rsid w:val="00300412"/>
    <w:rsid w:val="0030410D"/>
    <w:rsid w:val="00304FA0"/>
    <w:rsid w:val="00305918"/>
    <w:rsid w:val="0030765A"/>
    <w:rsid w:val="003109DF"/>
    <w:rsid w:val="00310B43"/>
    <w:rsid w:val="003204D6"/>
    <w:rsid w:val="00322248"/>
    <w:rsid w:val="003229AE"/>
    <w:rsid w:val="00324448"/>
    <w:rsid w:val="00326074"/>
    <w:rsid w:val="00326FE6"/>
    <w:rsid w:val="00331167"/>
    <w:rsid w:val="00334FC9"/>
    <w:rsid w:val="00335E2E"/>
    <w:rsid w:val="003363B0"/>
    <w:rsid w:val="0033652B"/>
    <w:rsid w:val="003378DA"/>
    <w:rsid w:val="00342921"/>
    <w:rsid w:val="003434A3"/>
    <w:rsid w:val="00343715"/>
    <w:rsid w:val="00344195"/>
    <w:rsid w:val="003467BC"/>
    <w:rsid w:val="003531B9"/>
    <w:rsid w:val="00353EE1"/>
    <w:rsid w:val="00356C4C"/>
    <w:rsid w:val="00360838"/>
    <w:rsid w:val="003622DF"/>
    <w:rsid w:val="0036455A"/>
    <w:rsid w:val="00371DE1"/>
    <w:rsid w:val="003804E5"/>
    <w:rsid w:val="00380652"/>
    <w:rsid w:val="00383651"/>
    <w:rsid w:val="00384563"/>
    <w:rsid w:val="00385C0B"/>
    <w:rsid w:val="00392513"/>
    <w:rsid w:val="00394AFB"/>
    <w:rsid w:val="0039652B"/>
    <w:rsid w:val="003A0555"/>
    <w:rsid w:val="003A2ED9"/>
    <w:rsid w:val="003A5C59"/>
    <w:rsid w:val="003A6070"/>
    <w:rsid w:val="003B13DB"/>
    <w:rsid w:val="003B25AB"/>
    <w:rsid w:val="003B6574"/>
    <w:rsid w:val="003B7B04"/>
    <w:rsid w:val="003C041A"/>
    <w:rsid w:val="003C08E7"/>
    <w:rsid w:val="003C131D"/>
    <w:rsid w:val="003C2606"/>
    <w:rsid w:val="003C7FC2"/>
    <w:rsid w:val="003D22AB"/>
    <w:rsid w:val="003D387F"/>
    <w:rsid w:val="003E0726"/>
    <w:rsid w:val="003E0F1E"/>
    <w:rsid w:val="003E62B3"/>
    <w:rsid w:val="003E7DB2"/>
    <w:rsid w:val="0040049A"/>
    <w:rsid w:val="004017A3"/>
    <w:rsid w:val="00410B40"/>
    <w:rsid w:val="00416EBA"/>
    <w:rsid w:val="00417239"/>
    <w:rsid w:val="00426731"/>
    <w:rsid w:val="00432503"/>
    <w:rsid w:val="00437616"/>
    <w:rsid w:val="00440E1D"/>
    <w:rsid w:val="00443751"/>
    <w:rsid w:val="0044687F"/>
    <w:rsid w:val="00446C5B"/>
    <w:rsid w:val="00446CE1"/>
    <w:rsid w:val="0044745A"/>
    <w:rsid w:val="00452594"/>
    <w:rsid w:val="00452C31"/>
    <w:rsid w:val="00453B71"/>
    <w:rsid w:val="00456D2F"/>
    <w:rsid w:val="00462A14"/>
    <w:rsid w:val="0046394B"/>
    <w:rsid w:val="0048118D"/>
    <w:rsid w:val="00492194"/>
    <w:rsid w:val="00492D6F"/>
    <w:rsid w:val="004A21BC"/>
    <w:rsid w:val="004A6C98"/>
    <w:rsid w:val="004B0FC5"/>
    <w:rsid w:val="004B4491"/>
    <w:rsid w:val="004B7071"/>
    <w:rsid w:val="004C4B51"/>
    <w:rsid w:val="004D12BB"/>
    <w:rsid w:val="004D3829"/>
    <w:rsid w:val="004E102B"/>
    <w:rsid w:val="004E299B"/>
    <w:rsid w:val="004F047C"/>
    <w:rsid w:val="004F0610"/>
    <w:rsid w:val="004F1481"/>
    <w:rsid w:val="004F1B5A"/>
    <w:rsid w:val="004F406A"/>
    <w:rsid w:val="004F4DFD"/>
    <w:rsid w:val="004F6FE9"/>
    <w:rsid w:val="005015AD"/>
    <w:rsid w:val="00505052"/>
    <w:rsid w:val="00507669"/>
    <w:rsid w:val="005135A5"/>
    <w:rsid w:val="00515748"/>
    <w:rsid w:val="005214E3"/>
    <w:rsid w:val="005267DF"/>
    <w:rsid w:val="00526AB7"/>
    <w:rsid w:val="00531FF3"/>
    <w:rsid w:val="005330F7"/>
    <w:rsid w:val="00537668"/>
    <w:rsid w:val="005377DD"/>
    <w:rsid w:val="00540C89"/>
    <w:rsid w:val="00541D9E"/>
    <w:rsid w:val="0054456C"/>
    <w:rsid w:val="00547439"/>
    <w:rsid w:val="005530D1"/>
    <w:rsid w:val="005560B0"/>
    <w:rsid w:val="00557D5E"/>
    <w:rsid w:val="00562348"/>
    <w:rsid w:val="00562A3C"/>
    <w:rsid w:val="00563598"/>
    <w:rsid w:val="00565814"/>
    <w:rsid w:val="00571AE1"/>
    <w:rsid w:val="00571E6C"/>
    <w:rsid w:val="00575A8A"/>
    <w:rsid w:val="00581FEF"/>
    <w:rsid w:val="00585182"/>
    <w:rsid w:val="00591632"/>
    <w:rsid w:val="00592014"/>
    <w:rsid w:val="00593D80"/>
    <w:rsid w:val="005A1C26"/>
    <w:rsid w:val="005A2951"/>
    <w:rsid w:val="005A4CC2"/>
    <w:rsid w:val="005A7782"/>
    <w:rsid w:val="005B12A8"/>
    <w:rsid w:val="005B419A"/>
    <w:rsid w:val="005B5815"/>
    <w:rsid w:val="005B5B46"/>
    <w:rsid w:val="005B5F15"/>
    <w:rsid w:val="005B77B9"/>
    <w:rsid w:val="005C046F"/>
    <w:rsid w:val="005C182B"/>
    <w:rsid w:val="005C18E1"/>
    <w:rsid w:val="005C200E"/>
    <w:rsid w:val="005C283A"/>
    <w:rsid w:val="005C4233"/>
    <w:rsid w:val="005C570B"/>
    <w:rsid w:val="005D2258"/>
    <w:rsid w:val="005D22BB"/>
    <w:rsid w:val="005D3326"/>
    <w:rsid w:val="005D345E"/>
    <w:rsid w:val="005D488F"/>
    <w:rsid w:val="005D4AB0"/>
    <w:rsid w:val="005E1DAD"/>
    <w:rsid w:val="005E354B"/>
    <w:rsid w:val="005F4C59"/>
    <w:rsid w:val="005F5F67"/>
    <w:rsid w:val="006005F8"/>
    <w:rsid w:val="00602E98"/>
    <w:rsid w:val="006033DA"/>
    <w:rsid w:val="006054D8"/>
    <w:rsid w:val="006067A8"/>
    <w:rsid w:val="006100C4"/>
    <w:rsid w:val="006136F1"/>
    <w:rsid w:val="0061633A"/>
    <w:rsid w:val="0063026B"/>
    <w:rsid w:val="00631BB0"/>
    <w:rsid w:val="006322FC"/>
    <w:rsid w:val="00635587"/>
    <w:rsid w:val="006402FD"/>
    <w:rsid w:val="00641A15"/>
    <w:rsid w:val="00652364"/>
    <w:rsid w:val="0065793B"/>
    <w:rsid w:val="006603C2"/>
    <w:rsid w:val="00660A58"/>
    <w:rsid w:val="00661875"/>
    <w:rsid w:val="00665600"/>
    <w:rsid w:val="00670235"/>
    <w:rsid w:val="00672525"/>
    <w:rsid w:val="00675B30"/>
    <w:rsid w:val="00676BBD"/>
    <w:rsid w:val="00681B6C"/>
    <w:rsid w:val="00682ECA"/>
    <w:rsid w:val="00685C10"/>
    <w:rsid w:val="00690FC4"/>
    <w:rsid w:val="006913B0"/>
    <w:rsid w:val="00692365"/>
    <w:rsid w:val="00695AAD"/>
    <w:rsid w:val="00696257"/>
    <w:rsid w:val="00696BC4"/>
    <w:rsid w:val="0069797E"/>
    <w:rsid w:val="006A0F38"/>
    <w:rsid w:val="006A137E"/>
    <w:rsid w:val="006A2CD9"/>
    <w:rsid w:val="006A32BF"/>
    <w:rsid w:val="006B0B4A"/>
    <w:rsid w:val="006B1A68"/>
    <w:rsid w:val="006B2FEA"/>
    <w:rsid w:val="006B5A31"/>
    <w:rsid w:val="006B75FA"/>
    <w:rsid w:val="006C130B"/>
    <w:rsid w:val="006C2675"/>
    <w:rsid w:val="006C2875"/>
    <w:rsid w:val="006C4352"/>
    <w:rsid w:val="006C4636"/>
    <w:rsid w:val="006C5998"/>
    <w:rsid w:val="006C7112"/>
    <w:rsid w:val="006C7CB4"/>
    <w:rsid w:val="006D5D57"/>
    <w:rsid w:val="006E192D"/>
    <w:rsid w:val="006E5314"/>
    <w:rsid w:val="006E5EA3"/>
    <w:rsid w:val="006F38D7"/>
    <w:rsid w:val="006F5169"/>
    <w:rsid w:val="006F7A2D"/>
    <w:rsid w:val="007003AA"/>
    <w:rsid w:val="00703A91"/>
    <w:rsid w:val="00705D5C"/>
    <w:rsid w:val="00707F50"/>
    <w:rsid w:val="00711A29"/>
    <w:rsid w:val="00711E2A"/>
    <w:rsid w:val="00713B8E"/>
    <w:rsid w:val="00716E2B"/>
    <w:rsid w:val="007211A0"/>
    <w:rsid w:val="00722559"/>
    <w:rsid w:val="0073325B"/>
    <w:rsid w:val="0074432A"/>
    <w:rsid w:val="007449F5"/>
    <w:rsid w:val="00751EA7"/>
    <w:rsid w:val="007572E4"/>
    <w:rsid w:val="00761481"/>
    <w:rsid w:val="007625F5"/>
    <w:rsid w:val="0076588B"/>
    <w:rsid w:val="00766185"/>
    <w:rsid w:val="00770AB3"/>
    <w:rsid w:val="0077258E"/>
    <w:rsid w:val="007725F1"/>
    <w:rsid w:val="00784917"/>
    <w:rsid w:val="00786115"/>
    <w:rsid w:val="00786FC4"/>
    <w:rsid w:val="00793043"/>
    <w:rsid w:val="00797C9A"/>
    <w:rsid w:val="007A53F7"/>
    <w:rsid w:val="007A5939"/>
    <w:rsid w:val="007B2989"/>
    <w:rsid w:val="007B5E2B"/>
    <w:rsid w:val="007B64F1"/>
    <w:rsid w:val="007B7089"/>
    <w:rsid w:val="007B74EF"/>
    <w:rsid w:val="007B7D9F"/>
    <w:rsid w:val="007C0889"/>
    <w:rsid w:val="007C22C4"/>
    <w:rsid w:val="007C565C"/>
    <w:rsid w:val="007C57D5"/>
    <w:rsid w:val="007C666D"/>
    <w:rsid w:val="007C7454"/>
    <w:rsid w:val="007D77D9"/>
    <w:rsid w:val="007E1751"/>
    <w:rsid w:val="007E2B3E"/>
    <w:rsid w:val="007E4F8A"/>
    <w:rsid w:val="007E595E"/>
    <w:rsid w:val="007E641E"/>
    <w:rsid w:val="007E77AE"/>
    <w:rsid w:val="007E7AD0"/>
    <w:rsid w:val="007F16AB"/>
    <w:rsid w:val="007F56FA"/>
    <w:rsid w:val="00800ED8"/>
    <w:rsid w:val="00802A0C"/>
    <w:rsid w:val="008038B5"/>
    <w:rsid w:val="00803CE1"/>
    <w:rsid w:val="00804ADE"/>
    <w:rsid w:val="0080629B"/>
    <w:rsid w:val="00806431"/>
    <w:rsid w:val="00811C0E"/>
    <w:rsid w:val="008156DF"/>
    <w:rsid w:val="008164D7"/>
    <w:rsid w:val="00820C84"/>
    <w:rsid w:val="008226C3"/>
    <w:rsid w:val="00822CC3"/>
    <w:rsid w:val="008249E2"/>
    <w:rsid w:val="00826D4A"/>
    <w:rsid w:val="00827D90"/>
    <w:rsid w:val="00831057"/>
    <w:rsid w:val="00831DC2"/>
    <w:rsid w:val="008321AB"/>
    <w:rsid w:val="00834B45"/>
    <w:rsid w:val="0083603C"/>
    <w:rsid w:val="00841FF0"/>
    <w:rsid w:val="00843044"/>
    <w:rsid w:val="00845558"/>
    <w:rsid w:val="00847F9A"/>
    <w:rsid w:val="00853577"/>
    <w:rsid w:val="008542CD"/>
    <w:rsid w:val="00854541"/>
    <w:rsid w:val="008547B0"/>
    <w:rsid w:val="00857850"/>
    <w:rsid w:val="008605FD"/>
    <w:rsid w:val="00861A94"/>
    <w:rsid w:val="008624AD"/>
    <w:rsid w:val="008628F5"/>
    <w:rsid w:val="00866F74"/>
    <w:rsid w:val="00867A03"/>
    <w:rsid w:val="00870055"/>
    <w:rsid w:val="00877F0A"/>
    <w:rsid w:val="008809FF"/>
    <w:rsid w:val="00880A80"/>
    <w:rsid w:val="00880DC4"/>
    <w:rsid w:val="008841B6"/>
    <w:rsid w:val="00885144"/>
    <w:rsid w:val="008867FD"/>
    <w:rsid w:val="00894339"/>
    <w:rsid w:val="008951B6"/>
    <w:rsid w:val="00897FFB"/>
    <w:rsid w:val="008A02AD"/>
    <w:rsid w:val="008A08DC"/>
    <w:rsid w:val="008A0C5D"/>
    <w:rsid w:val="008A1BD6"/>
    <w:rsid w:val="008A2730"/>
    <w:rsid w:val="008B0AC3"/>
    <w:rsid w:val="008B1154"/>
    <w:rsid w:val="008B1B57"/>
    <w:rsid w:val="008B2B09"/>
    <w:rsid w:val="008C069B"/>
    <w:rsid w:val="008C3429"/>
    <w:rsid w:val="008C3546"/>
    <w:rsid w:val="008C5494"/>
    <w:rsid w:val="008D2632"/>
    <w:rsid w:val="008D5169"/>
    <w:rsid w:val="008D66E6"/>
    <w:rsid w:val="008E04E8"/>
    <w:rsid w:val="008E0E54"/>
    <w:rsid w:val="008E5E46"/>
    <w:rsid w:val="008E6FCF"/>
    <w:rsid w:val="008F176A"/>
    <w:rsid w:val="008F39D8"/>
    <w:rsid w:val="0090362D"/>
    <w:rsid w:val="0090648C"/>
    <w:rsid w:val="0092134E"/>
    <w:rsid w:val="00926087"/>
    <w:rsid w:val="00931143"/>
    <w:rsid w:val="00931FCA"/>
    <w:rsid w:val="00933A49"/>
    <w:rsid w:val="009415CD"/>
    <w:rsid w:val="00947FE4"/>
    <w:rsid w:val="009502FD"/>
    <w:rsid w:val="0096066B"/>
    <w:rsid w:val="009624F4"/>
    <w:rsid w:val="009654C0"/>
    <w:rsid w:val="00965D9F"/>
    <w:rsid w:val="00967E38"/>
    <w:rsid w:val="00971B82"/>
    <w:rsid w:val="0097216C"/>
    <w:rsid w:val="00973EA0"/>
    <w:rsid w:val="00975EC3"/>
    <w:rsid w:val="00976F86"/>
    <w:rsid w:val="00981C2B"/>
    <w:rsid w:val="009837E7"/>
    <w:rsid w:val="009863DD"/>
    <w:rsid w:val="00997FEA"/>
    <w:rsid w:val="009A72B5"/>
    <w:rsid w:val="009B4731"/>
    <w:rsid w:val="009B4DE6"/>
    <w:rsid w:val="009B6888"/>
    <w:rsid w:val="009C1079"/>
    <w:rsid w:val="009C72FB"/>
    <w:rsid w:val="009D2C6B"/>
    <w:rsid w:val="009D49BC"/>
    <w:rsid w:val="009D76A6"/>
    <w:rsid w:val="009E2417"/>
    <w:rsid w:val="009E7C39"/>
    <w:rsid w:val="009F2C2F"/>
    <w:rsid w:val="009F3474"/>
    <w:rsid w:val="009F4CFF"/>
    <w:rsid w:val="00A05E3B"/>
    <w:rsid w:val="00A06C34"/>
    <w:rsid w:val="00A10251"/>
    <w:rsid w:val="00A11718"/>
    <w:rsid w:val="00A14E4A"/>
    <w:rsid w:val="00A21813"/>
    <w:rsid w:val="00A22F7C"/>
    <w:rsid w:val="00A245D4"/>
    <w:rsid w:val="00A34291"/>
    <w:rsid w:val="00A419A6"/>
    <w:rsid w:val="00A445BF"/>
    <w:rsid w:val="00A45EE9"/>
    <w:rsid w:val="00A471F0"/>
    <w:rsid w:val="00A54B1C"/>
    <w:rsid w:val="00A61EF7"/>
    <w:rsid w:val="00A7055A"/>
    <w:rsid w:val="00A76723"/>
    <w:rsid w:val="00A836DB"/>
    <w:rsid w:val="00A86681"/>
    <w:rsid w:val="00A907D6"/>
    <w:rsid w:val="00A92EFB"/>
    <w:rsid w:val="00AA0055"/>
    <w:rsid w:val="00AA15F5"/>
    <w:rsid w:val="00AB4428"/>
    <w:rsid w:val="00AB5301"/>
    <w:rsid w:val="00AB6F23"/>
    <w:rsid w:val="00AC55D0"/>
    <w:rsid w:val="00AC5EA9"/>
    <w:rsid w:val="00AD1B5E"/>
    <w:rsid w:val="00AD4D67"/>
    <w:rsid w:val="00AE0933"/>
    <w:rsid w:val="00AE5B7A"/>
    <w:rsid w:val="00AE671D"/>
    <w:rsid w:val="00AF05D9"/>
    <w:rsid w:val="00AF33FF"/>
    <w:rsid w:val="00AF678E"/>
    <w:rsid w:val="00B0304F"/>
    <w:rsid w:val="00B03789"/>
    <w:rsid w:val="00B04409"/>
    <w:rsid w:val="00B062E9"/>
    <w:rsid w:val="00B0758F"/>
    <w:rsid w:val="00B14A50"/>
    <w:rsid w:val="00B2195D"/>
    <w:rsid w:val="00B268FB"/>
    <w:rsid w:val="00B26CC1"/>
    <w:rsid w:val="00B31287"/>
    <w:rsid w:val="00B31CDB"/>
    <w:rsid w:val="00B343FD"/>
    <w:rsid w:val="00B34B12"/>
    <w:rsid w:val="00B34F60"/>
    <w:rsid w:val="00B3670B"/>
    <w:rsid w:val="00B36D75"/>
    <w:rsid w:val="00B476C9"/>
    <w:rsid w:val="00B50644"/>
    <w:rsid w:val="00B507CA"/>
    <w:rsid w:val="00B5142A"/>
    <w:rsid w:val="00B53A52"/>
    <w:rsid w:val="00B53D81"/>
    <w:rsid w:val="00B57E93"/>
    <w:rsid w:val="00B6411A"/>
    <w:rsid w:val="00B66027"/>
    <w:rsid w:val="00B664F2"/>
    <w:rsid w:val="00B82A74"/>
    <w:rsid w:val="00B867A5"/>
    <w:rsid w:val="00B872EA"/>
    <w:rsid w:val="00B91262"/>
    <w:rsid w:val="00B94C7A"/>
    <w:rsid w:val="00BA120C"/>
    <w:rsid w:val="00BA192A"/>
    <w:rsid w:val="00BA5702"/>
    <w:rsid w:val="00BB00DE"/>
    <w:rsid w:val="00BB2683"/>
    <w:rsid w:val="00BB5C08"/>
    <w:rsid w:val="00BC1FF2"/>
    <w:rsid w:val="00BC2D18"/>
    <w:rsid w:val="00BD1C5C"/>
    <w:rsid w:val="00BD30CA"/>
    <w:rsid w:val="00BD57AA"/>
    <w:rsid w:val="00BD6E37"/>
    <w:rsid w:val="00BE0EA7"/>
    <w:rsid w:val="00BE31F8"/>
    <w:rsid w:val="00BE5FAF"/>
    <w:rsid w:val="00BE6F3B"/>
    <w:rsid w:val="00BF2F5A"/>
    <w:rsid w:val="00BF3159"/>
    <w:rsid w:val="00BF3266"/>
    <w:rsid w:val="00BF4444"/>
    <w:rsid w:val="00BF5DC8"/>
    <w:rsid w:val="00C007D1"/>
    <w:rsid w:val="00C019B5"/>
    <w:rsid w:val="00C043EE"/>
    <w:rsid w:val="00C04E1C"/>
    <w:rsid w:val="00C07606"/>
    <w:rsid w:val="00C15318"/>
    <w:rsid w:val="00C15971"/>
    <w:rsid w:val="00C2025E"/>
    <w:rsid w:val="00C20A0C"/>
    <w:rsid w:val="00C22602"/>
    <w:rsid w:val="00C24FD3"/>
    <w:rsid w:val="00C25E64"/>
    <w:rsid w:val="00C2719B"/>
    <w:rsid w:val="00C31F85"/>
    <w:rsid w:val="00C35486"/>
    <w:rsid w:val="00C35A98"/>
    <w:rsid w:val="00C426EA"/>
    <w:rsid w:val="00C45914"/>
    <w:rsid w:val="00C508F9"/>
    <w:rsid w:val="00C60512"/>
    <w:rsid w:val="00C67E74"/>
    <w:rsid w:val="00C71691"/>
    <w:rsid w:val="00C75D21"/>
    <w:rsid w:val="00C8253A"/>
    <w:rsid w:val="00C921DB"/>
    <w:rsid w:val="00C93C78"/>
    <w:rsid w:val="00C93CF5"/>
    <w:rsid w:val="00C94751"/>
    <w:rsid w:val="00C95592"/>
    <w:rsid w:val="00CB4CDA"/>
    <w:rsid w:val="00CC5ED5"/>
    <w:rsid w:val="00CD0D91"/>
    <w:rsid w:val="00CD1B4A"/>
    <w:rsid w:val="00CD3F7C"/>
    <w:rsid w:val="00CD4680"/>
    <w:rsid w:val="00CD49A3"/>
    <w:rsid w:val="00CD52D2"/>
    <w:rsid w:val="00CE0FDC"/>
    <w:rsid w:val="00CE6284"/>
    <w:rsid w:val="00CE6791"/>
    <w:rsid w:val="00CF0D9A"/>
    <w:rsid w:val="00CF6CA9"/>
    <w:rsid w:val="00D005F9"/>
    <w:rsid w:val="00D0065F"/>
    <w:rsid w:val="00D00F0F"/>
    <w:rsid w:val="00D0256B"/>
    <w:rsid w:val="00D13129"/>
    <w:rsid w:val="00D16E17"/>
    <w:rsid w:val="00D17054"/>
    <w:rsid w:val="00D1720D"/>
    <w:rsid w:val="00D224F9"/>
    <w:rsid w:val="00D3261F"/>
    <w:rsid w:val="00D3519B"/>
    <w:rsid w:val="00D4296B"/>
    <w:rsid w:val="00D45234"/>
    <w:rsid w:val="00D537E4"/>
    <w:rsid w:val="00D5655F"/>
    <w:rsid w:val="00D602A3"/>
    <w:rsid w:val="00D76C3F"/>
    <w:rsid w:val="00D864DF"/>
    <w:rsid w:val="00D93A10"/>
    <w:rsid w:val="00D94A7C"/>
    <w:rsid w:val="00DA5FDA"/>
    <w:rsid w:val="00DC09AE"/>
    <w:rsid w:val="00DC4B9A"/>
    <w:rsid w:val="00DD07FD"/>
    <w:rsid w:val="00DD17F4"/>
    <w:rsid w:val="00DD3E44"/>
    <w:rsid w:val="00DD6F10"/>
    <w:rsid w:val="00DE247B"/>
    <w:rsid w:val="00DE2828"/>
    <w:rsid w:val="00DE46B1"/>
    <w:rsid w:val="00DE68FF"/>
    <w:rsid w:val="00DF024A"/>
    <w:rsid w:val="00DF083A"/>
    <w:rsid w:val="00DF2253"/>
    <w:rsid w:val="00DF3475"/>
    <w:rsid w:val="00DF6027"/>
    <w:rsid w:val="00DF7799"/>
    <w:rsid w:val="00E04F2D"/>
    <w:rsid w:val="00E108E4"/>
    <w:rsid w:val="00E13865"/>
    <w:rsid w:val="00E14411"/>
    <w:rsid w:val="00E16BDD"/>
    <w:rsid w:val="00E20675"/>
    <w:rsid w:val="00E234BF"/>
    <w:rsid w:val="00E34C1C"/>
    <w:rsid w:val="00E34E3A"/>
    <w:rsid w:val="00E36794"/>
    <w:rsid w:val="00E37A10"/>
    <w:rsid w:val="00E40299"/>
    <w:rsid w:val="00E40B70"/>
    <w:rsid w:val="00E47034"/>
    <w:rsid w:val="00E503C8"/>
    <w:rsid w:val="00E52162"/>
    <w:rsid w:val="00E55CDD"/>
    <w:rsid w:val="00E6033E"/>
    <w:rsid w:val="00E6174D"/>
    <w:rsid w:val="00E6282A"/>
    <w:rsid w:val="00E64BA1"/>
    <w:rsid w:val="00E66CB9"/>
    <w:rsid w:val="00E74D0D"/>
    <w:rsid w:val="00E77A9E"/>
    <w:rsid w:val="00E86054"/>
    <w:rsid w:val="00E867A2"/>
    <w:rsid w:val="00E95EF4"/>
    <w:rsid w:val="00E97F40"/>
    <w:rsid w:val="00EA154F"/>
    <w:rsid w:val="00EA36A3"/>
    <w:rsid w:val="00EA7126"/>
    <w:rsid w:val="00EA72D7"/>
    <w:rsid w:val="00EB7A01"/>
    <w:rsid w:val="00EC0AB5"/>
    <w:rsid w:val="00EC23AE"/>
    <w:rsid w:val="00EC24DE"/>
    <w:rsid w:val="00EC4F04"/>
    <w:rsid w:val="00EC6EE1"/>
    <w:rsid w:val="00ED0707"/>
    <w:rsid w:val="00ED08E4"/>
    <w:rsid w:val="00ED5C91"/>
    <w:rsid w:val="00EE4363"/>
    <w:rsid w:val="00EE5AB4"/>
    <w:rsid w:val="00EE7D9B"/>
    <w:rsid w:val="00EF3B2D"/>
    <w:rsid w:val="00EF7153"/>
    <w:rsid w:val="00EF7DC2"/>
    <w:rsid w:val="00F118AA"/>
    <w:rsid w:val="00F118DB"/>
    <w:rsid w:val="00F17510"/>
    <w:rsid w:val="00F25E90"/>
    <w:rsid w:val="00F25F57"/>
    <w:rsid w:val="00F2747A"/>
    <w:rsid w:val="00F33D7F"/>
    <w:rsid w:val="00F34731"/>
    <w:rsid w:val="00F358A5"/>
    <w:rsid w:val="00F376AF"/>
    <w:rsid w:val="00F42D67"/>
    <w:rsid w:val="00F437E8"/>
    <w:rsid w:val="00F455C7"/>
    <w:rsid w:val="00F50569"/>
    <w:rsid w:val="00F55FF3"/>
    <w:rsid w:val="00F6394D"/>
    <w:rsid w:val="00F70C29"/>
    <w:rsid w:val="00F714BB"/>
    <w:rsid w:val="00F71B2A"/>
    <w:rsid w:val="00F72274"/>
    <w:rsid w:val="00F72C55"/>
    <w:rsid w:val="00F77C25"/>
    <w:rsid w:val="00F81B4A"/>
    <w:rsid w:val="00F838B6"/>
    <w:rsid w:val="00F86E8F"/>
    <w:rsid w:val="00F94C1D"/>
    <w:rsid w:val="00FA11C8"/>
    <w:rsid w:val="00FA1B20"/>
    <w:rsid w:val="00FB0E0E"/>
    <w:rsid w:val="00FB1D1E"/>
    <w:rsid w:val="00FC2283"/>
    <w:rsid w:val="00FC31A4"/>
    <w:rsid w:val="00FC79C9"/>
    <w:rsid w:val="00FC79CB"/>
    <w:rsid w:val="00FD1457"/>
    <w:rsid w:val="00FD3734"/>
    <w:rsid w:val="00FD4EAD"/>
    <w:rsid w:val="00FE00E5"/>
    <w:rsid w:val="00FE3BF0"/>
    <w:rsid w:val="00FE5A0C"/>
    <w:rsid w:val="00FF48B5"/>
    <w:rsid w:val="00FF4D84"/>
    <w:rsid w:val="00FF72DB"/>
    <w:rsid w:val="051539C0"/>
    <w:rsid w:val="0BF52A8B"/>
    <w:rsid w:val="0F0E472F"/>
    <w:rsid w:val="0FF7640F"/>
    <w:rsid w:val="28CDD443"/>
    <w:rsid w:val="3416049C"/>
    <w:rsid w:val="34ED6356"/>
    <w:rsid w:val="37797D32"/>
    <w:rsid w:val="3E03B54C"/>
    <w:rsid w:val="46097392"/>
    <w:rsid w:val="57D29872"/>
    <w:rsid w:val="580C7681"/>
    <w:rsid w:val="5CD30717"/>
    <w:rsid w:val="67A58FA3"/>
    <w:rsid w:val="6FD7C01F"/>
    <w:rsid w:val="751BB53A"/>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2193999D-7FD9-4EF5-A60F-7CC1E466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36455A"/>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36455A"/>
    <w:rPr>
      <w:rFonts w:ascii="Times New Roman" w:eastAsia="Times New Roman" w:hAnsi="Times New Roman" w:cs="Times New Roman"/>
      <w:sz w:val="20"/>
      <w:szCs w:val="20"/>
    </w:rPr>
  </w:style>
  <w:style w:type="character" w:styleId="FootnoteReference">
    <w:name w:val="footnote reference"/>
    <w:uiPriority w:val="99"/>
    <w:semiHidden/>
    <w:unhideWhenUsed/>
    <w:rsid w:val="0036455A"/>
    <w:rPr>
      <w:rFonts w:ascii="Times New Roman" w:hAnsi="Times New Roman" w:cs="Times New Roman" w:hint="default"/>
    </w:rPr>
  </w:style>
  <w:style w:type="table" w:styleId="TableGrid">
    <w:name w:val="Table Grid"/>
    <w:basedOn w:val="TableNormal"/>
    <w:uiPriority w:val="39"/>
    <w:rsid w:val="0036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1a299a01c74ae4ec570fe54e4721d53f">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a190e9cba92d2034865fcaf3ffc6cc9"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D346E371-B65B-40D4-9377-0F8530182FCB}"/>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752</Words>
  <Characters>3908</Characters>
  <Application>Microsoft Office Word</Application>
  <DocSecurity>0</DocSecurity>
  <Lines>205</Lines>
  <Paragraphs>113</Paragraphs>
  <ScaleCrop>false</ScaleCrop>
  <Company/>
  <LinksUpToDate>false</LinksUpToDate>
  <CharactersWithSpaces>4547</CharactersWithSpaces>
  <SharedDoc>false</SharedDoc>
  <HLinks>
    <vt:vector size="6" baseType="variant">
      <vt:variant>
        <vt:i4>6094911</vt:i4>
      </vt:variant>
      <vt:variant>
        <vt:i4>0</vt:i4>
      </vt:variant>
      <vt:variant>
        <vt:i4>0</vt:i4>
      </vt:variant>
      <vt:variant>
        <vt:i4>5</vt:i4>
      </vt:variant>
      <vt:variant>
        <vt:lpwstr>https://www.cms.int/sites/default/files/document/cms_cop14_doc.16_election-of-parties-to-the-standing-committee_e_0.pdf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cp:revision>
  <cp:lastPrinted>2019-09-21T08:54:00Z</cp:lastPrinted>
  <dcterms:created xsi:type="dcterms:W3CDTF">2025-11-28T09:18:00Z</dcterms:created>
  <dcterms:modified xsi:type="dcterms:W3CDTF">2025-11-28T09:28:00Z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