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60A61" w14:textId="77777777" w:rsidR="005820D4" w:rsidRDefault="005820D4" w:rsidP="005820D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1ª Reunión del Comité del Periodo de Sesiones del</w:t>
      </w:r>
    </w:p>
    <w:p w14:paraId="54290B12" w14:textId="77777777" w:rsidR="005820D4" w:rsidRDefault="005820D4" w:rsidP="005820D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Consejo Científico de la CMS (ScC-SC1)</w:t>
      </w:r>
    </w:p>
    <w:p w14:paraId="459A9797" w14:textId="77777777" w:rsidR="005820D4" w:rsidRDefault="005820D4" w:rsidP="005820D4">
      <w:pPr>
        <w:pBdr>
          <w:bottom w:val="single" w:sz="4" w:space="1" w:color="auto"/>
        </w:pBdr>
        <w:jc w:val="center"/>
        <w:rPr>
          <w:i/>
          <w:lang w:val="es-ES"/>
        </w:rPr>
      </w:pPr>
      <w:r>
        <w:rPr>
          <w:i/>
          <w:lang w:val="es-ES"/>
        </w:rPr>
        <w:t>Bonn, Alemania, 18 – 21 abril 2016</w:t>
      </w:r>
    </w:p>
    <w:p w14:paraId="56B664D4" w14:textId="56B36EF6" w:rsidR="005820D4" w:rsidRPr="00386CD5" w:rsidRDefault="008470F2" w:rsidP="005820D4">
      <w:pPr>
        <w:spacing w:after="120"/>
        <w:jc w:val="right"/>
        <w:rPr>
          <w:lang w:val="es-ES"/>
        </w:rPr>
      </w:pPr>
      <w:r>
        <w:rPr>
          <w:lang w:val="es-ES"/>
        </w:rPr>
        <w:t>UNEP</w:t>
      </w:r>
      <w:r w:rsidR="005820D4" w:rsidRPr="00386CD5">
        <w:rPr>
          <w:lang w:val="es-ES"/>
        </w:rPr>
        <w:t>/CMS/ScC-SC1/</w:t>
      </w:r>
      <w:r w:rsidR="005820D4" w:rsidRPr="005820D4">
        <w:rPr>
          <w:lang w:val="es-ES"/>
        </w:rPr>
        <w:t>Doc.10.4.2.1</w:t>
      </w:r>
    </w:p>
    <w:p w14:paraId="2E470537" w14:textId="77777777" w:rsidR="00FD4739" w:rsidRPr="008470F2" w:rsidRDefault="00FD4739" w:rsidP="00FD4739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center"/>
        <w:outlineLvl w:val="1"/>
        <w:rPr>
          <w:b/>
          <w:bCs/>
          <w:lang w:val="es-ES"/>
        </w:rPr>
      </w:pPr>
    </w:p>
    <w:p w14:paraId="2F95CFF0" w14:textId="01CB0664" w:rsidR="00694EC4" w:rsidRPr="00694EC4" w:rsidRDefault="006315DB" w:rsidP="00FD4739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center"/>
        <w:outlineLvl w:val="1"/>
        <w:rPr>
          <w:b/>
          <w:bCs/>
          <w:sz w:val="28"/>
          <w:lang w:val="es-ES_tradnl"/>
        </w:rPr>
      </w:pPr>
      <w:r>
        <w:rPr>
          <w:b/>
          <w:bCs/>
          <w:sz w:val="28"/>
          <w:lang w:val="es-ES_tradnl"/>
        </w:rPr>
        <w:t>Áreas I</w:t>
      </w:r>
      <w:r w:rsidR="00694EC4" w:rsidRPr="00694EC4">
        <w:rPr>
          <w:b/>
          <w:bCs/>
          <w:sz w:val="28"/>
          <w:lang w:val="es-ES_tradnl"/>
        </w:rPr>
        <w:t xml:space="preserve">mportantes para los </w:t>
      </w:r>
      <w:r>
        <w:rPr>
          <w:b/>
          <w:bCs/>
          <w:sz w:val="28"/>
          <w:lang w:val="es-ES_tradnl"/>
        </w:rPr>
        <w:t>Mamíferos M</w:t>
      </w:r>
      <w:r w:rsidR="00694EC4" w:rsidRPr="00694EC4">
        <w:rPr>
          <w:b/>
          <w:bCs/>
          <w:sz w:val="28"/>
          <w:lang w:val="es-ES_tradnl"/>
        </w:rPr>
        <w:t>arinos (AIMM)</w:t>
      </w:r>
    </w:p>
    <w:p w14:paraId="0E9D410A" w14:textId="77777777" w:rsidR="00035B1D" w:rsidRPr="00694EC4" w:rsidRDefault="00035B1D" w:rsidP="00253738">
      <w:pPr>
        <w:pStyle w:val="BodyText"/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7C8AF294" w14:textId="15315100" w:rsidR="00960A58" w:rsidRPr="00960A58" w:rsidRDefault="00960A58" w:rsidP="00253738">
      <w:pPr>
        <w:pStyle w:val="BodyText"/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  <w:b w:val="0"/>
          <w:i/>
          <w:sz w:val="24"/>
          <w:lang w:val="es-ES_tradnl"/>
        </w:rPr>
      </w:pPr>
      <w:r w:rsidRPr="00960A58">
        <w:rPr>
          <w:rFonts w:ascii="Times New Roman" w:hAnsi="Times New Roman" w:cs="Times New Roman"/>
          <w:b w:val="0"/>
          <w:i/>
          <w:sz w:val="24"/>
          <w:lang w:val="es-ES_tradnl"/>
        </w:rPr>
        <w:t>Documento preparado por el Grupo de Trabajo sobre mamíferos acuáticos (GTMA)</w:t>
      </w:r>
    </w:p>
    <w:p w14:paraId="1CCA8DA3" w14:textId="77777777" w:rsidR="00253738" w:rsidRPr="00694EC4" w:rsidRDefault="00253738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21A8799D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574E35E1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6E75DB44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3A69BA70" w14:textId="01FA5F50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0522228C" w14:textId="2225A104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09940FC2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102D301D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309B8993" w14:textId="6A7D0995" w:rsidR="00694C5C" w:rsidRPr="00694EC4" w:rsidRDefault="00A23648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  <w:r w:rsidRPr="00694EC4">
        <w:rPr>
          <w:noProof/>
          <w:sz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328DF" wp14:editId="59E594E9">
                <wp:simplePos x="0" y="0"/>
                <wp:positionH relativeFrom="margin">
                  <wp:posOffset>685800</wp:posOffset>
                </wp:positionH>
                <wp:positionV relativeFrom="paragraph">
                  <wp:posOffset>41910</wp:posOffset>
                </wp:positionV>
                <wp:extent cx="4305300" cy="3543300"/>
                <wp:effectExtent l="0" t="0" r="38100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946B" w14:textId="119B9242" w:rsidR="008F4321" w:rsidRPr="008628D1" w:rsidRDefault="008F4321" w:rsidP="00694C5C">
                            <w:pPr>
                              <w:rPr>
                                <w:lang w:val="es-ES_tradnl"/>
                              </w:rPr>
                            </w:pPr>
                            <w:r w:rsidRPr="008628D1">
                              <w:rPr>
                                <w:lang w:val="es-ES_tradnl"/>
                              </w:rPr>
                              <w:t>Resumen:</w:t>
                            </w:r>
                          </w:p>
                          <w:p w14:paraId="699698FF" w14:textId="77777777" w:rsidR="008F4321" w:rsidRPr="008628D1" w:rsidRDefault="008F4321" w:rsidP="00694C5C">
                            <w:pPr>
                              <w:rPr>
                                <w:highlight w:val="yellow"/>
                                <w:lang w:val="es-ES_tradnl"/>
                              </w:rPr>
                            </w:pPr>
                          </w:p>
                          <w:p w14:paraId="2D07BDC2" w14:textId="012B405E" w:rsidR="008F4321" w:rsidRPr="006F59CC" w:rsidRDefault="008F4321" w:rsidP="00694C5C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 w:rsidRPr="006F59CC">
                              <w:rPr>
                                <w:lang w:val="es-ES_tradnl"/>
                              </w:rPr>
                              <w:t>Este documento</w:t>
                            </w:r>
                            <w:r>
                              <w:rPr>
                                <w:lang w:val="es-ES_tradnl"/>
                              </w:rPr>
                              <w:t xml:space="preserve"> ha sido preparado por el Grupo de Trabajo sobre mamíferos acuáticos del Consejo Científico. Describe el progreso realizado por el Grupo de Trabajo conjunto de la UICN CSE/CMAP (</w:t>
                            </w:r>
                            <w:r w:rsidR="00262B27">
                              <w:rPr>
                                <w:i/>
                                <w:lang w:val="es-ES_tradnl"/>
                              </w:rPr>
                              <w:t>Comisión de</w:t>
                            </w:r>
                            <w:r w:rsidRPr="00E95C42">
                              <w:rPr>
                                <w:i/>
                                <w:lang w:val="es-ES_tradnl"/>
                              </w:rPr>
                              <w:t xml:space="preserve"> Supervivencia de Especies/Comisión Mundial de Áreas Protegidas</w:t>
                            </w:r>
                            <w:r>
                              <w:rPr>
                                <w:lang w:val="es-ES_tradnl"/>
                              </w:rPr>
                              <w:t>) sobre áreas protegidas para los mamíferos marinos, y la relevancia de este trabajo para la CMS.</w:t>
                            </w:r>
                          </w:p>
                          <w:p w14:paraId="0FE891D4" w14:textId="77777777" w:rsidR="008F4321" w:rsidRPr="008628D1" w:rsidRDefault="008F4321" w:rsidP="00694C5C">
                            <w:pPr>
                              <w:jc w:val="both"/>
                              <w:rPr>
                                <w:highlight w:val="yellow"/>
                                <w:lang w:val="es-ES_tradnl"/>
                              </w:rPr>
                            </w:pPr>
                          </w:p>
                          <w:p w14:paraId="705524A8" w14:textId="341E1D71" w:rsidR="008F4321" w:rsidRPr="00E67E70" w:rsidRDefault="008F4321" w:rsidP="00A60296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Se r</w:t>
                            </w:r>
                            <w:r w:rsidRPr="00E67E70">
                              <w:rPr>
                                <w:lang w:val="es-ES_tradnl"/>
                              </w:rPr>
                              <w:t>ecomienda a la CMS adoptar los criterios de las AIMM</w:t>
                            </w:r>
                            <w:r>
                              <w:rPr>
                                <w:lang w:val="es-ES_tradnl"/>
                              </w:rPr>
                              <w:t xml:space="preserve"> una vez estos hayan sido finalizados por el Grupo de Trabajo conjunto de la UICN CSE/CMAP sobre áreas protegidas para los mamíferos marinos, e integra</w:t>
                            </w:r>
                            <w:r w:rsidR="00A92F12">
                              <w:rPr>
                                <w:lang w:val="es-ES_tradnl"/>
                              </w:rPr>
                              <w:t>r</w:t>
                            </w:r>
                            <w:r>
                              <w:rPr>
                                <w:lang w:val="es-ES_tradnl"/>
                              </w:rPr>
                              <w:t xml:space="preserve"> directamente los criterios al Programa de Trabajo pa</w:t>
                            </w:r>
                            <w:r w:rsidR="00402713">
                              <w:rPr>
                                <w:lang w:val="es-ES_tradnl"/>
                              </w:rPr>
                              <w:t>ra las Redes Ecológicas. Además</w:t>
                            </w:r>
                            <w:r w:rsidR="00197F37">
                              <w:rPr>
                                <w:lang w:val="es-ES_tradnl"/>
                              </w:rPr>
                              <w:t>,</w:t>
                            </w:r>
                            <w:r>
                              <w:rPr>
                                <w:lang w:val="es-ES_tradnl"/>
                              </w:rPr>
                              <w:t xml:space="preserve"> recomienda que las Partes identifiquen áreas específicas donde los criterios de las AIMM puedan ser especialmente beneficiosos y solicita el apoyo del Grupo de Trabajo conjunto </w:t>
                            </w:r>
                            <w:r w:rsidR="00402713">
                              <w:rPr>
                                <w:lang w:val="es-ES_tradnl"/>
                              </w:rPr>
                              <w:t>de la UICN CS</w:t>
                            </w:r>
                            <w:r w:rsidR="007D04FD">
                              <w:rPr>
                                <w:lang w:val="es-ES_tradnl"/>
                              </w:rPr>
                              <w:t>E/CMAP</w:t>
                            </w:r>
                            <w:r>
                              <w:rPr>
                                <w:lang w:val="es-ES_tradnl"/>
                              </w:rPr>
                              <w:t xml:space="preserve"> sobre áreas protegidas para mamíferos marinos para desarrollar estas estrategias.</w:t>
                            </w:r>
                          </w:p>
                          <w:p w14:paraId="682F3AFE" w14:textId="69D976B4" w:rsidR="008F4321" w:rsidRPr="008628D1" w:rsidRDefault="008F4321" w:rsidP="00A60296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328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pt;margin-top:3.3pt;width:339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" strokeweight="2pt">
                <v:textbox>
                  <w:txbxContent>
                    <w:p w14:paraId="1A85946B" w14:textId="119B9242" w:rsidR="008F4321" w:rsidRPr="008628D1" w:rsidRDefault="008F4321" w:rsidP="00694C5C">
                      <w:pPr>
                        <w:rPr>
                          <w:lang w:val="es-ES_tradnl"/>
                        </w:rPr>
                      </w:pPr>
                      <w:r w:rsidRPr="008628D1">
                        <w:rPr>
                          <w:lang w:val="es-ES_tradnl"/>
                        </w:rPr>
                        <w:t>Resumen:</w:t>
                      </w:r>
                    </w:p>
                    <w:p w14:paraId="699698FF" w14:textId="77777777" w:rsidR="008F4321" w:rsidRPr="008628D1" w:rsidRDefault="008F4321" w:rsidP="00694C5C">
                      <w:pPr>
                        <w:rPr>
                          <w:highlight w:val="yellow"/>
                          <w:lang w:val="es-ES_tradnl"/>
                        </w:rPr>
                      </w:pPr>
                    </w:p>
                    <w:p w14:paraId="2D07BDC2" w14:textId="012B405E" w:rsidR="008F4321" w:rsidRPr="006F59CC" w:rsidRDefault="008F4321" w:rsidP="00694C5C">
                      <w:pPr>
                        <w:jc w:val="both"/>
                        <w:rPr>
                          <w:lang w:val="es-ES_tradnl"/>
                        </w:rPr>
                      </w:pPr>
                      <w:r w:rsidRPr="006F59CC">
                        <w:rPr>
                          <w:lang w:val="es-ES_tradnl"/>
                        </w:rPr>
                        <w:t>Este documento</w:t>
                      </w:r>
                      <w:r>
                        <w:rPr>
                          <w:lang w:val="es-ES_tradnl"/>
                        </w:rPr>
                        <w:t xml:space="preserve"> ha sido preparado por el Grupo de Trabajo sobre mamíferos acuáticos del Consejo Científico. Describe el progreso realizado por el Grupo de Trabajo conjunto de la UICN CSE/CMAP (</w:t>
                      </w:r>
                      <w:r w:rsidR="00262B27">
                        <w:rPr>
                          <w:i/>
                          <w:lang w:val="es-ES_tradnl"/>
                        </w:rPr>
                        <w:t>Comisión de</w:t>
                      </w:r>
                      <w:r w:rsidRPr="00E95C42">
                        <w:rPr>
                          <w:i/>
                          <w:lang w:val="es-ES_tradnl"/>
                        </w:rPr>
                        <w:t xml:space="preserve"> Supervivencia de Especies/Comisión Mundial de Áreas Protegidas</w:t>
                      </w:r>
                      <w:r>
                        <w:rPr>
                          <w:lang w:val="es-ES_tradnl"/>
                        </w:rPr>
                        <w:t>) sobre áreas protegidas para los mamíferos marinos, y la relevancia de este trabajo para la CMS.</w:t>
                      </w:r>
                    </w:p>
                    <w:p w14:paraId="0FE891D4" w14:textId="77777777" w:rsidR="008F4321" w:rsidRPr="008628D1" w:rsidRDefault="008F4321" w:rsidP="00694C5C">
                      <w:pPr>
                        <w:jc w:val="both"/>
                        <w:rPr>
                          <w:highlight w:val="yellow"/>
                          <w:lang w:val="es-ES_tradnl"/>
                        </w:rPr>
                      </w:pPr>
                    </w:p>
                    <w:p w14:paraId="705524A8" w14:textId="341E1D71" w:rsidR="008F4321" w:rsidRPr="00E67E70" w:rsidRDefault="008F4321" w:rsidP="00A60296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Se r</w:t>
                      </w:r>
                      <w:r w:rsidRPr="00E67E70">
                        <w:rPr>
                          <w:lang w:val="es-ES_tradnl"/>
                        </w:rPr>
                        <w:t>ecomienda a la CMS adoptar los criterios de las AIMM</w:t>
                      </w:r>
                      <w:r>
                        <w:rPr>
                          <w:lang w:val="es-ES_tradnl"/>
                        </w:rPr>
                        <w:t xml:space="preserve"> una vez estos hayan sido finalizados por el Grupo de Trabajo conjunto de la UICN CSE/CMAP sobre áreas protegidas para los mamíferos marinos, e integra</w:t>
                      </w:r>
                      <w:r w:rsidR="00A92F12">
                        <w:rPr>
                          <w:lang w:val="es-ES_tradnl"/>
                        </w:rPr>
                        <w:t>r</w:t>
                      </w:r>
                      <w:r>
                        <w:rPr>
                          <w:lang w:val="es-ES_tradnl"/>
                        </w:rPr>
                        <w:t xml:space="preserve"> directamente los criterios al Programa de Trabajo pa</w:t>
                      </w:r>
                      <w:r w:rsidR="00402713">
                        <w:rPr>
                          <w:lang w:val="es-ES_tradnl"/>
                        </w:rPr>
                        <w:t>ra las Redes Ecológicas. Además</w:t>
                      </w:r>
                      <w:r w:rsidR="00197F37">
                        <w:rPr>
                          <w:lang w:val="es-ES_tradnl"/>
                        </w:rPr>
                        <w:t>,</w:t>
                      </w:r>
                      <w:r>
                        <w:rPr>
                          <w:lang w:val="es-ES_tradnl"/>
                        </w:rPr>
                        <w:t xml:space="preserve"> recomienda que las Partes identifiquen áreas específicas donde los criterios de las AIMM puedan ser especialmente beneficiosos y solicita el apoyo del Grupo de Trabajo conjunto </w:t>
                      </w:r>
                      <w:r w:rsidR="00402713">
                        <w:rPr>
                          <w:lang w:val="es-ES_tradnl"/>
                        </w:rPr>
                        <w:t>de la UICN CS</w:t>
                      </w:r>
                      <w:r w:rsidR="007D04FD">
                        <w:rPr>
                          <w:lang w:val="es-ES_tradnl"/>
                        </w:rPr>
                        <w:t>E/CMAP</w:t>
                      </w:r>
                      <w:r>
                        <w:rPr>
                          <w:lang w:val="es-ES_tradnl"/>
                        </w:rPr>
                        <w:t xml:space="preserve"> sobre áreas protegidas para mamíferos marinos para desarrollar estas estrategias.</w:t>
                      </w:r>
                    </w:p>
                    <w:p w14:paraId="682F3AFE" w14:textId="69D976B4" w:rsidR="008F4321" w:rsidRPr="008628D1" w:rsidRDefault="008F4321" w:rsidP="00A60296">
                      <w:pPr>
                        <w:jc w:val="both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F9995A" w14:textId="21A5A378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577D0070" w14:textId="5F266F8D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7186B45B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57C207EF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49B745D9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16FF7080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608B89BB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642FC3B7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17743C31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6135EF2D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6D258735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53C0F1BE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2C06D8AC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1DB2FF60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76FBC4E3" w14:textId="77777777" w:rsidR="00694C5C" w:rsidRPr="00694EC4" w:rsidRDefault="00694C5C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33BD2F74" w14:textId="77777777" w:rsidR="00694C5C" w:rsidRPr="00694EC4" w:rsidRDefault="00694C5C" w:rsidP="00694C5C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7BD239B2" w14:textId="77777777" w:rsidR="00694C5C" w:rsidRPr="00694EC4" w:rsidRDefault="00694C5C" w:rsidP="00694C5C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sz w:val="24"/>
          <w:highlight w:val="yellow"/>
          <w:lang w:val="es-ES_tradnl"/>
        </w:rPr>
        <w:sectPr w:rsidR="00694C5C" w:rsidRPr="00694EC4" w:rsidSect="009F3C5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1411" w:bottom="1411" w:left="1411" w:header="562" w:footer="461" w:gutter="0"/>
          <w:cols w:space="708"/>
          <w:titlePg/>
          <w:docGrid w:linePitch="360"/>
        </w:sectPr>
      </w:pPr>
    </w:p>
    <w:p w14:paraId="23373DD4" w14:textId="1ECCE655" w:rsidR="00E367D8" w:rsidRPr="00E367D8" w:rsidRDefault="000360B5" w:rsidP="00694C5C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jc w:val="center"/>
        <w:outlineLvl w:val="1"/>
        <w:rPr>
          <w:b/>
          <w:bCs/>
          <w:sz w:val="28"/>
          <w:lang w:val="es-ES_tradnl"/>
        </w:rPr>
      </w:pPr>
      <w:r>
        <w:rPr>
          <w:b/>
          <w:bCs/>
          <w:sz w:val="28"/>
          <w:lang w:val="es-ES_tradnl"/>
        </w:rPr>
        <w:lastRenderedPageBreak/>
        <w:t>Áreas Importantes para los Mamíferos M</w:t>
      </w:r>
      <w:r w:rsidR="00E367D8" w:rsidRPr="00E367D8">
        <w:rPr>
          <w:b/>
          <w:bCs/>
          <w:sz w:val="28"/>
          <w:lang w:val="es-ES_tradnl"/>
        </w:rPr>
        <w:t>arinos (AIMM)</w:t>
      </w:r>
    </w:p>
    <w:p w14:paraId="506B6626" w14:textId="77777777" w:rsidR="00694C5C" w:rsidRPr="00694EC4" w:rsidRDefault="00694C5C" w:rsidP="00694C5C">
      <w:pPr>
        <w:pStyle w:val="BodyText"/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1BA19990" w14:textId="365D87C5" w:rsidR="00D76378" w:rsidRPr="00D76378" w:rsidRDefault="00D76378" w:rsidP="00D76378">
      <w:pPr>
        <w:pStyle w:val="BodyText"/>
        <w:widowControl w:val="0"/>
        <w:kinsoku w:val="0"/>
        <w:overflowPunct w:val="0"/>
        <w:autoSpaceDE w:val="0"/>
        <w:autoSpaceDN w:val="0"/>
        <w:jc w:val="center"/>
        <w:rPr>
          <w:rFonts w:ascii="Times New Roman" w:hAnsi="Times New Roman" w:cs="Times New Roman"/>
          <w:b w:val="0"/>
          <w:i/>
          <w:sz w:val="24"/>
          <w:lang w:val="es-ES_tradnl"/>
        </w:rPr>
      </w:pPr>
      <w:r w:rsidRPr="00960A58">
        <w:rPr>
          <w:rFonts w:ascii="Times New Roman" w:hAnsi="Times New Roman" w:cs="Times New Roman"/>
          <w:b w:val="0"/>
          <w:i/>
          <w:sz w:val="24"/>
          <w:lang w:val="es-ES_tradnl"/>
        </w:rPr>
        <w:t>Documento preparado por el Grupo de Trabajo sobre mamíferos acuáticos (GTMA)</w:t>
      </w:r>
    </w:p>
    <w:p w14:paraId="3BCBAD9A" w14:textId="77777777" w:rsidR="00694C5C" w:rsidRPr="00694EC4" w:rsidRDefault="00694C5C" w:rsidP="00694C5C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highlight w:val="yellow"/>
          <w:lang w:val="es-ES_tradnl"/>
        </w:rPr>
      </w:pPr>
    </w:p>
    <w:p w14:paraId="0FCFCE5B" w14:textId="77777777" w:rsidR="005C4400" w:rsidRPr="00CF15FB" w:rsidRDefault="005C4400" w:rsidP="00035B1D">
      <w:pPr>
        <w:pStyle w:val="BodyText"/>
        <w:widowControl w:val="0"/>
        <w:kinsoku w:val="0"/>
        <w:overflowPunct w:val="0"/>
        <w:autoSpaceDE w:val="0"/>
        <w:autoSpaceDN w:val="0"/>
        <w:rPr>
          <w:rFonts w:ascii="Times New Roman" w:hAnsi="Times New Roman" w:cs="Times New Roman"/>
          <w:b w:val="0"/>
          <w:sz w:val="24"/>
          <w:lang w:val="es-ES_tradnl"/>
        </w:rPr>
      </w:pPr>
    </w:p>
    <w:p w14:paraId="3D2E5068" w14:textId="37EF88B4" w:rsidR="00D76378" w:rsidRPr="00CF15FB" w:rsidRDefault="00CF15FB" w:rsidP="005C4400">
      <w:pPr>
        <w:pStyle w:val="ListParagraph"/>
        <w:numPr>
          <w:ilvl w:val="0"/>
          <w:numId w:val="35"/>
        </w:numPr>
        <w:ind w:left="0" w:firstLine="0"/>
        <w:jc w:val="both"/>
        <w:rPr>
          <w:lang w:val="es-ES_tradnl"/>
        </w:rPr>
      </w:pPr>
      <w:r w:rsidRPr="00CF15FB">
        <w:rPr>
          <w:lang w:val="es-ES_tradnl"/>
        </w:rPr>
        <w:t>Los hábitats críticos para las especies de mamíferos marinos se extienden desde los trópicos hasta los polos</w:t>
      </w:r>
      <w:r w:rsidR="00FC1A50">
        <w:rPr>
          <w:lang w:val="es-ES_tradnl"/>
        </w:rPr>
        <w:t>, desde lo</w:t>
      </w:r>
      <w:r w:rsidR="0097308F">
        <w:rPr>
          <w:lang w:val="es-ES_tradnl"/>
        </w:rPr>
        <w:t xml:space="preserve">s </w:t>
      </w:r>
      <w:r w:rsidR="00E462B5">
        <w:rPr>
          <w:lang w:val="es-ES_tradnl"/>
        </w:rPr>
        <w:t>somero</w:t>
      </w:r>
      <w:r w:rsidR="003307F3">
        <w:rPr>
          <w:lang w:val="es-ES_tradnl"/>
        </w:rPr>
        <w:t>s</w:t>
      </w:r>
      <w:r w:rsidR="0097308F">
        <w:rPr>
          <w:lang w:val="es-ES_tradnl"/>
        </w:rPr>
        <w:t xml:space="preserve"> estuarios hasta el alta mar. A pesar de este amplio rango de hábitats, las amenazas a las actividades vitales de los mamíferos m</w:t>
      </w:r>
      <w:r w:rsidR="0020785E">
        <w:rPr>
          <w:lang w:val="es-ES_tradnl"/>
        </w:rPr>
        <w:t>arinos son a menudo sorprendentemente</w:t>
      </w:r>
      <w:r w:rsidR="0097308F">
        <w:rPr>
          <w:lang w:val="es-ES_tradnl"/>
        </w:rPr>
        <w:t xml:space="preserve"> similares</w:t>
      </w:r>
      <w:r w:rsidR="00AA2D1E">
        <w:rPr>
          <w:lang w:val="es-ES_tradnl"/>
        </w:rPr>
        <w:t xml:space="preserve"> </w:t>
      </w:r>
      <w:r w:rsidR="0020785E">
        <w:rPr>
          <w:lang w:val="es-ES_tradnl"/>
        </w:rPr>
        <w:t>e incluyen</w:t>
      </w:r>
      <w:r w:rsidR="00EA7B16">
        <w:rPr>
          <w:lang w:val="es-ES_tradnl"/>
        </w:rPr>
        <w:t xml:space="preserve"> la pesca comercial,</w:t>
      </w:r>
      <w:r w:rsidR="00AA2D1E">
        <w:rPr>
          <w:lang w:val="es-ES_tradnl"/>
        </w:rPr>
        <w:t xml:space="preserve"> las actividades de extracción </w:t>
      </w:r>
      <w:r w:rsidR="00EA7B16">
        <w:rPr>
          <w:lang w:val="es-ES_tradnl"/>
        </w:rPr>
        <w:t>de recursos como petróleo y gas,</w:t>
      </w:r>
      <w:r w:rsidR="00AA2D1E">
        <w:rPr>
          <w:lang w:val="es-ES_tradnl"/>
        </w:rPr>
        <w:t xml:space="preserve"> y la navegación comercial. Los impactos resultantes sobre los mamíferos marinos son </w:t>
      </w:r>
      <w:r w:rsidR="00225B5D">
        <w:rPr>
          <w:lang w:val="es-ES_tradnl"/>
        </w:rPr>
        <w:t xml:space="preserve">la </w:t>
      </w:r>
      <w:r w:rsidR="00AA2D1E">
        <w:rPr>
          <w:lang w:val="es-ES_tradnl"/>
        </w:rPr>
        <w:t xml:space="preserve">mortalidad directa por </w:t>
      </w:r>
      <w:r w:rsidR="000B61BC">
        <w:rPr>
          <w:lang w:val="es-ES_tradnl"/>
        </w:rPr>
        <w:t>pesca in</w:t>
      </w:r>
      <w:r w:rsidR="00AA2D1E">
        <w:rPr>
          <w:lang w:val="es-ES_tradnl"/>
        </w:rPr>
        <w:t xml:space="preserve">cidental, </w:t>
      </w:r>
      <w:r w:rsidR="00225B5D">
        <w:rPr>
          <w:lang w:val="es-ES_tradnl"/>
        </w:rPr>
        <w:t xml:space="preserve">el </w:t>
      </w:r>
      <w:r w:rsidR="00AA2D1E">
        <w:rPr>
          <w:lang w:val="es-ES_tradnl"/>
        </w:rPr>
        <w:t xml:space="preserve">atrapamiento en redes y </w:t>
      </w:r>
      <w:r w:rsidR="00225B5D">
        <w:rPr>
          <w:lang w:val="es-ES_tradnl"/>
        </w:rPr>
        <w:t xml:space="preserve">las </w:t>
      </w:r>
      <w:r w:rsidR="000B61BC">
        <w:rPr>
          <w:lang w:val="es-ES_tradnl"/>
        </w:rPr>
        <w:t>colisiones con embarcaciones</w:t>
      </w:r>
      <w:r w:rsidR="00AA2D1E">
        <w:rPr>
          <w:lang w:val="es-ES_tradnl"/>
        </w:rPr>
        <w:t xml:space="preserve">, así como la contaminación acústica y del agua que </w:t>
      </w:r>
      <w:r w:rsidR="00225B5D">
        <w:rPr>
          <w:lang w:val="es-ES_tradnl"/>
        </w:rPr>
        <w:t>conduce</w:t>
      </w:r>
      <w:r w:rsidR="00AA2D1E">
        <w:rPr>
          <w:lang w:val="es-ES_tradnl"/>
        </w:rPr>
        <w:t xml:space="preserve"> a la degradación del hábitat.</w:t>
      </w:r>
      <w:r w:rsidR="002A64FA">
        <w:rPr>
          <w:lang w:val="es-ES_tradnl"/>
        </w:rPr>
        <w:t xml:space="preserve"> La designación de áreas marinas protegidas (AMP) y otras medidas de </w:t>
      </w:r>
      <w:r w:rsidR="00E62AFF">
        <w:rPr>
          <w:lang w:val="es-ES_tradnl"/>
        </w:rPr>
        <w:t xml:space="preserve">gestión de la </w:t>
      </w:r>
      <w:r w:rsidR="002A64FA">
        <w:rPr>
          <w:lang w:val="es-ES_tradnl"/>
        </w:rPr>
        <w:t xml:space="preserve">conservación basadas en el </w:t>
      </w:r>
      <w:r w:rsidR="00E62AFF">
        <w:rPr>
          <w:lang w:val="es-ES_tradnl"/>
        </w:rPr>
        <w:t>área</w:t>
      </w:r>
      <w:r w:rsidR="002A64FA">
        <w:rPr>
          <w:lang w:val="es-ES_tradnl"/>
        </w:rPr>
        <w:t xml:space="preserve"> son herramientas de conservación para los mamíferos marinos que han d</w:t>
      </w:r>
      <w:r w:rsidR="00E62AFF">
        <w:rPr>
          <w:lang w:val="es-ES_tradnl"/>
        </w:rPr>
        <w:t>emostrado ser efectivas en vario</w:t>
      </w:r>
      <w:r w:rsidR="002A64FA">
        <w:rPr>
          <w:lang w:val="es-ES_tradnl"/>
        </w:rPr>
        <w:t xml:space="preserve">s </w:t>
      </w:r>
      <w:r w:rsidR="00E62AFF">
        <w:rPr>
          <w:lang w:val="es-ES_tradnl"/>
        </w:rPr>
        <w:t>lugares</w:t>
      </w:r>
      <w:r w:rsidR="002A64FA">
        <w:rPr>
          <w:lang w:val="es-ES_tradnl"/>
        </w:rPr>
        <w:t xml:space="preserve">. Además, considerando que los mamíferos marinos pueden ser especies indicadoras, </w:t>
      </w:r>
      <w:r w:rsidR="0000672D">
        <w:rPr>
          <w:lang w:val="es-ES_tradnl"/>
        </w:rPr>
        <w:t>‘paraguas’</w:t>
      </w:r>
      <w:r w:rsidR="002A64FA">
        <w:rPr>
          <w:lang w:val="es-ES_tradnl"/>
        </w:rPr>
        <w:t xml:space="preserve"> y emblemáticas, la protección de los mamíferos marinos basada en el área puede </w:t>
      </w:r>
      <w:r w:rsidR="00281593">
        <w:rPr>
          <w:lang w:val="es-ES_tradnl"/>
        </w:rPr>
        <w:t>resultar en una</w:t>
      </w:r>
      <w:r w:rsidR="002A64FA">
        <w:rPr>
          <w:lang w:val="es-ES_tradnl"/>
        </w:rPr>
        <w:t xml:space="preserve"> </w:t>
      </w:r>
      <w:r w:rsidR="00281593">
        <w:rPr>
          <w:lang w:val="es-ES_tradnl"/>
        </w:rPr>
        <w:t>conservación más amplia de</w:t>
      </w:r>
      <w:r w:rsidR="002A64FA">
        <w:rPr>
          <w:lang w:val="es-ES_tradnl"/>
        </w:rPr>
        <w:t xml:space="preserve"> la biodiversidad marina.</w:t>
      </w:r>
    </w:p>
    <w:p w14:paraId="6478CCA5" w14:textId="77777777" w:rsidR="005C4400" w:rsidRPr="008C29E9" w:rsidRDefault="005C4400" w:rsidP="005C4400">
      <w:pPr>
        <w:pStyle w:val="ListParagraph"/>
        <w:ind w:left="0"/>
        <w:jc w:val="both"/>
        <w:rPr>
          <w:lang w:val="es-ES_tradnl"/>
        </w:rPr>
      </w:pPr>
    </w:p>
    <w:p w14:paraId="18C25E5E" w14:textId="66D03FD6" w:rsidR="008C29E9" w:rsidRPr="008C29E9" w:rsidRDefault="00122335" w:rsidP="005C4400">
      <w:pPr>
        <w:pStyle w:val="ListParagraph"/>
        <w:numPr>
          <w:ilvl w:val="0"/>
          <w:numId w:val="35"/>
        </w:numPr>
        <w:ind w:left="0" w:firstLine="0"/>
        <w:jc w:val="both"/>
        <w:rPr>
          <w:lang w:val="es-ES_tradnl"/>
        </w:rPr>
      </w:pPr>
      <w:r>
        <w:rPr>
          <w:lang w:val="es-ES_tradnl"/>
        </w:rPr>
        <w:t>Por lo</w:t>
      </w:r>
      <w:r w:rsidR="008C29E9" w:rsidRPr="008C29E9">
        <w:rPr>
          <w:lang w:val="es-ES_tradnl"/>
        </w:rPr>
        <w:t xml:space="preserve"> gene</w:t>
      </w:r>
      <w:r w:rsidR="00C90867">
        <w:rPr>
          <w:lang w:val="es-ES_tradnl"/>
        </w:rPr>
        <w:t>ral</w:t>
      </w:r>
      <w:r w:rsidR="008C29E9" w:rsidRPr="008C29E9">
        <w:rPr>
          <w:lang w:val="es-ES_tradnl"/>
        </w:rPr>
        <w:t xml:space="preserve"> </w:t>
      </w:r>
      <w:r w:rsidR="008C29E9">
        <w:rPr>
          <w:lang w:val="es-ES_tradnl"/>
        </w:rPr>
        <w:t>las AMP</w:t>
      </w:r>
      <w:r w:rsidR="00C90867">
        <w:rPr>
          <w:lang w:val="es-ES_tradnl"/>
        </w:rPr>
        <w:t>,</w:t>
      </w:r>
      <w:r w:rsidR="008C29E9">
        <w:rPr>
          <w:lang w:val="es-ES_tradnl"/>
        </w:rPr>
        <w:t xml:space="preserve"> y el sub</w:t>
      </w:r>
      <w:r>
        <w:rPr>
          <w:lang w:val="es-ES_tradnl"/>
        </w:rPr>
        <w:t>conjunto</w:t>
      </w:r>
      <w:r w:rsidR="008C29E9">
        <w:rPr>
          <w:lang w:val="es-ES_tradnl"/>
        </w:rPr>
        <w:t xml:space="preserve"> de áreas protegid</w:t>
      </w:r>
      <w:r>
        <w:rPr>
          <w:lang w:val="es-ES_tradnl"/>
        </w:rPr>
        <w:t>as para los mamíferos marinos (</w:t>
      </w:r>
      <w:r w:rsidR="007D04FD">
        <w:rPr>
          <w:lang w:val="es-ES_tradnl"/>
        </w:rPr>
        <w:t>APMM</w:t>
      </w:r>
      <w:r w:rsidR="008C29E9">
        <w:rPr>
          <w:lang w:val="es-ES_tradnl"/>
        </w:rPr>
        <w:t xml:space="preserve">: </w:t>
      </w:r>
      <w:r>
        <w:rPr>
          <w:lang w:val="es-ES_tradnl"/>
        </w:rPr>
        <w:t>áreas que incluyen protección d</w:t>
      </w:r>
      <w:r w:rsidR="008C29E9">
        <w:rPr>
          <w:lang w:val="es-ES_tradnl"/>
        </w:rPr>
        <w:t>e</w:t>
      </w:r>
      <w:r>
        <w:rPr>
          <w:lang w:val="es-ES_tradnl"/>
        </w:rPr>
        <w:t xml:space="preserve"> </w:t>
      </w:r>
      <w:r w:rsidR="008C29E9">
        <w:rPr>
          <w:lang w:val="es-ES_tradnl"/>
        </w:rPr>
        <w:t>hábitats de mamíferos marinos)</w:t>
      </w:r>
      <w:r w:rsidR="00C90867">
        <w:rPr>
          <w:lang w:val="es-ES_tradnl"/>
        </w:rPr>
        <w:t>,</w:t>
      </w:r>
      <w:r w:rsidR="008C29E9">
        <w:rPr>
          <w:lang w:val="es-ES_tradnl"/>
        </w:rPr>
        <w:t xml:space="preserve"> están po</w:t>
      </w:r>
      <w:r w:rsidR="00C90867">
        <w:rPr>
          <w:lang w:val="es-ES_tradnl"/>
        </w:rPr>
        <w:t>bremente representadas en las Z</w:t>
      </w:r>
      <w:r w:rsidR="008C29E9">
        <w:rPr>
          <w:lang w:val="es-ES_tradnl"/>
        </w:rPr>
        <w:t>E</w:t>
      </w:r>
      <w:r w:rsidR="00C90867">
        <w:rPr>
          <w:lang w:val="es-ES_tradnl"/>
        </w:rPr>
        <w:t>E</w:t>
      </w:r>
      <w:r w:rsidR="008C29E9">
        <w:rPr>
          <w:lang w:val="es-ES_tradnl"/>
        </w:rPr>
        <w:t xml:space="preserve"> de la mayoría de los países. En alta</w:t>
      </w:r>
      <w:r w:rsidR="004D0DCE">
        <w:rPr>
          <w:lang w:val="es-ES_tradnl"/>
        </w:rPr>
        <w:t xml:space="preserve"> mar, en</w:t>
      </w:r>
      <w:r w:rsidR="00B745AE">
        <w:rPr>
          <w:lang w:val="es-ES_tradnl"/>
        </w:rPr>
        <w:t xml:space="preserve"> la planificación</w:t>
      </w:r>
      <w:r w:rsidR="004D0DCE">
        <w:rPr>
          <w:lang w:val="es-ES_tradnl"/>
        </w:rPr>
        <w:t xml:space="preserve"> a nivel </w:t>
      </w:r>
      <w:r w:rsidR="008C29E9">
        <w:rPr>
          <w:lang w:val="es-ES_tradnl"/>
        </w:rPr>
        <w:t xml:space="preserve">internacional y </w:t>
      </w:r>
      <w:r w:rsidR="004D0DCE">
        <w:rPr>
          <w:lang w:val="es-ES_tradnl"/>
        </w:rPr>
        <w:t>nacional</w:t>
      </w:r>
      <w:r w:rsidR="008C29E9">
        <w:rPr>
          <w:lang w:val="es-ES_tradnl"/>
        </w:rPr>
        <w:t xml:space="preserve">, los mamíferos marinos </w:t>
      </w:r>
      <w:r w:rsidR="007D3A3D">
        <w:rPr>
          <w:lang w:val="es-ES_tradnl"/>
        </w:rPr>
        <w:t xml:space="preserve">han estado </w:t>
      </w:r>
      <w:r w:rsidR="004D0DCE">
        <w:rPr>
          <w:lang w:val="es-ES_tradnl"/>
        </w:rPr>
        <w:t xml:space="preserve">hasta hace poco </w:t>
      </w:r>
      <w:r w:rsidR="003E7B28">
        <w:rPr>
          <w:lang w:val="es-ES_tradnl"/>
        </w:rPr>
        <w:t>mayormente</w:t>
      </w:r>
      <w:r w:rsidR="00263596">
        <w:rPr>
          <w:lang w:val="es-ES_tradnl"/>
        </w:rPr>
        <w:t xml:space="preserve"> fuera de las discusiones</w:t>
      </w:r>
      <w:r w:rsidR="007D3A3D">
        <w:rPr>
          <w:lang w:val="es-ES_tradnl"/>
        </w:rPr>
        <w:t>.</w:t>
      </w:r>
    </w:p>
    <w:p w14:paraId="55057010" w14:textId="77777777" w:rsidR="005C4400" w:rsidRPr="0097308F" w:rsidRDefault="005C4400" w:rsidP="005C4400">
      <w:pPr>
        <w:rPr>
          <w:highlight w:val="yellow"/>
          <w:lang w:val="es-ES_tradnl"/>
        </w:rPr>
      </w:pPr>
    </w:p>
    <w:p w14:paraId="69E74FDB" w14:textId="40DEE605" w:rsidR="008B141A" w:rsidRPr="008B141A" w:rsidRDefault="00823045" w:rsidP="005C4400">
      <w:pPr>
        <w:pStyle w:val="ListParagraph"/>
        <w:numPr>
          <w:ilvl w:val="0"/>
          <w:numId w:val="35"/>
        </w:numPr>
        <w:ind w:left="0" w:firstLine="0"/>
        <w:jc w:val="both"/>
        <w:rPr>
          <w:lang w:val="es-ES_tradnl"/>
        </w:rPr>
      </w:pPr>
      <w:r w:rsidRPr="00780B1A">
        <w:rPr>
          <w:lang w:val="es-ES_tradnl"/>
        </w:rPr>
        <w:t>Sin embargo</w:t>
      </w:r>
      <w:r w:rsidR="008B141A" w:rsidRPr="00780B1A">
        <w:rPr>
          <w:lang w:val="es-ES_tradnl"/>
        </w:rPr>
        <w:t xml:space="preserve"> la protección de los hábitats </w:t>
      </w:r>
      <w:r w:rsidRPr="00780B1A">
        <w:rPr>
          <w:lang w:val="es-ES_tradnl"/>
        </w:rPr>
        <w:t>para</w:t>
      </w:r>
      <w:r w:rsidR="008B141A" w:rsidRPr="00780B1A">
        <w:rPr>
          <w:lang w:val="es-ES_tradnl"/>
        </w:rPr>
        <w:t xml:space="preserve"> muchos mamíferos marinos y sus ecosi</w:t>
      </w:r>
      <w:r w:rsidRPr="00780B1A">
        <w:rPr>
          <w:lang w:val="es-ES_tradnl"/>
        </w:rPr>
        <w:t>s</w:t>
      </w:r>
      <w:r w:rsidR="008B141A" w:rsidRPr="00780B1A">
        <w:rPr>
          <w:lang w:val="es-ES_tradnl"/>
        </w:rPr>
        <w:t>temas está empezando a madurar</w:t>
      </w:r>
      <w:r w:rsidR="00E03714" w:rsidRPr="00780B1A">
        <w:rPr>
          <w:lang w:val="es-ES_tradnl"/>
        </w:rPr>
        <w:t>. Entre 200</w:t>
      </w:r>
      <w:r w:rsidR="00B03ABE" w:rsidRPr="00780B1A">
        <w:rPr>
          <w:lang w:val="es-ES_tradnl"/>
        </w:rPr>
        <w:t>4 y 2011, el número de áreas protegidas declaradas para ballenas y delfines ascendió de 359 a 575 principalmente en aguas nacionales con otras 175 áreas más en fase de propuesta.</w:t>
      </w:r>
      <w:r w:rsidR="008E61A4" w:rsidRPr="00780B1A">
        <w:rPr>
          <w:lang w:val="es-ES_tradnl"/>
        </w:rPr>
        <w:t xml:space="preserve"> De 2008 a 2014, ocho extensas áreas </w:t>
      </w:r>
      <w:r w:rsidR="004C2F9B" w:rsidRPr="00780B1A">
        <w:rPr>
          <w:lang w:val="es-ES_tradnl"/>
        </w:rPr>
        <w:t>(150.000-2.000.</w:t>
      </w:r>
      <w:r w:rsidR="008E61A4" w:rsidRPr="00780B1A">
        <w:rPr>
          <w:lang w:val="es-ES_tradnl"/>
        </w:rPr>
        <w:t>000 km</w:t>
      </w:r>
      <w:r w:rsidR="008E61A4" w:rsidRPr="00780B1A">
        <w:rPr>
          <w:vertAlign w:val="superscript"/>
          <w:lang w:val="es-ES_tradnl"/>
        </w:rPr>
        <w:t>2</w:t>
      </w:r>
      <w:r w:rsidR="008E61A4" w:rsidRPr="00780B1A">
        <w:rPr>
          <w:lang w:val="es-ES_tradnl"/>
        </w:rPr>
        <w:t>) fueron añadidas a la cobertura de las AMP</w:t>
      </w:r>
      <w:r w:rsidR="00D76EC3" w:rsidRPr="00780B1A">
        <w:rPr>
          <w:lang w:val="es-ES_tradnl"/>
        </w:rPr>
        <w:t xml:space="preserve"> altamente protegidas</w:t>
      </w:r>
      <w:r w:rsidR="008E61A4" w:rsidRPr="00780B1A">
        <w:rPr>
          <w:lang w:val="es-ES_tradnl"/>
        </w:rPr>
        <w:t>, con al menos algunos beneficios potenciales para los mamíferos marinos. A nivel mundial</w:t>
      </w:r>
      <w:r w:rsidR="008A20BA" w:rsidRPr="00780B1A">
        <w:rPr>
          <w:lang w:val="es-ES_tradnl"/>
        </w:rPr>
        <w:t>,</w:t>
      </w:r>
      <w:r w:rsidR="008E61A4" w:rsidRPr="00780B1A">
        <w:rPr>
          <w:lang w:val="es-ES_tradnl"/>
        </w:rPr>
        <w:t xml:space="preserve"> el por</w:t>
      </w:r>
      <w:r w:rsidR="00144137">
        <w:rPr>
          <w:lang w:val="es-ES_tradnl"/>
        </w:rPr>
        <w:t>centaje de co</w:t>
      </w:r>
      <w:r w:rsidR="008A20BA" w:rsidRPr="00780B1A">
        <w:rPr>
          <w:lang w:val="es-ES_tradnl"/>
        </w:rPr>
        <w:t>bertura</w:t>
      </w:r>
      <w:r w:rsidR="008E61A4" w:rsidRPr="00780B1A">
        <w:rPr>
          <w:lang w:val="es-ES_tradnl"/>
        </w:rPr>
        <w:t xml:space="preserve"> de la</w:t>
      </w:r>
      <w:r w:rsidR="008A20BA" w:rsidRPr="00780B1A">
        <w:rPr>
          <w:lang w:val="es-ES_tradnl"/>
        </w:rPr>
        <w:t>s AMP supone en la actualidad</w:t>
      </w:r>
      <w:r w:rsidR="008E61A4" w:rsidRPr="00780B1A">
        <w:rPr>
          <w:lang w:val="es-ES_tradnl"/>
        </w:rPr>
        <w:t xml:space="preserve"> </w:t>
      </w:r>
      <w:r w:rsidR="008A20BA" w:rsidRPr="00780B1A">
        <w:rPr>
          <w:lang w:val="es-ES_tradnl"/>
        </w:rPr>
        <w:t>el 3,4 por ciento</w:t>
      </w:r>
      <w:r w:rsidR="008E61A4" w:rsidRPr="00780B1A">
        <w:rPr>
          <w:lang w:val="es-ES_tradnl"/>
        </w:rPr>
        <w:t xml:space="preserve"> de la superficie oceánica global, </w:t>
      </w:r>
      <w:r w:rsidR="00885607" w:rsidRPr="00780B1A">
        <w:rPr>
          <w:lang w:val="es-ES_tradnl"/>
        </w:rPr>
        <w:t>pero</w:t>
      </w:r>
      <w:r w:rsidR="008E61A4" w:rsidRPr="00780B1A">
        <w:rPr>
          <w:lang w:val="es-ES_tradnl"/>
        </w:rPr>
        <w:t xml:space="preserve"> las áreas altamente pro</w:t>
      </w:r>
      <w:r w:rsidR="00885607" w:rsidRPr="00780B1A">
        <w:rPr>
          <w:lang w:val="es-ES_tradnl"/>
        </w:rPr>
        <w:t>tegidas solamente cubren el 0,7 por ciento</w:t>
      </w:r>
      <w:r w:rsidR="008E61A4" w:rsidRPr="00780B1A">
        <w:rPr>
          <w:lang w:val="es-ES_tradnl"/>
        </w:rPr>
        <w:t>.</w:t>
      </w:r>
      <w:r w:rsidR="008B25FE">
        <w:rPr>
          <w:lang w:val="es-ES_tradnl"/>
        </w:rPr>
        <w:t xml:space="preserve"> Debería </w:t>
      </w:r>
      <w:r w:rsidR="00646E1E">
        <w:rPr>
          <w:lang w:val="es-ES_tradnl"/>
        </w:rPr>
        <w:t>señalarse que en su mayor parte</w:t>
      </w:r>
      <w:r w:rsidR="008B25FE">
        <w:rPr>
          <w:lang w:val="es-ES_tradnl"/>
        </w:rPr>
        <w:t xml:space="preserve"> estas AMP son </w:t>
      </w:r>
      <w:r w:rsidR="00646E1E">
        <w:rPr>
          <w:lang w:val="es-ES_tradnl"/>
        </w:rPr>
        <w:t>predominantemente compromisos políticos</w:t>
      </w:r>
      <w:r w:rsidR="008B25FE">
        <w:rPr>
          <w:lang w:val="es-ES_tradnl"/>
        </w:rPr>
        <w:t xml:space="preserve"> y raramente coinciden con los ecosistemas que sostienen a las poblaciones de mamíferos marinos.</w:t>
      </w:r>
      <w:r w:rsidR="007D3CA4">
        <w:rPr>
          <w:lang w:val="es-ES_tradnl"/>
        </w:rPr>
        <w:t xml:space="preserve"> En las áreas </w:t>
      </w:r>
      <w:r w:rsidR="00060C4F">
        <w:rPr>
          <w:lang w:val="es-ES_tradnl"/>
        </w:rPr>
        <w:t>fuera</w:t>
      </w:r>
      <w:r w:rsidR="007D3CA4">
        <w:rPr>
          <w:lang w:val="es-ES_tradnl"/>
        </w:rPr>
        <w:t xml:space="preserve"> de los límite</w:t>
      </w:r>
      <w:r w:rsidR="00060C4F">
        <w:rPr>
          <w:lang w:val="es-ES_tradnl"/>
        </w:rPr>
        <w:t>s de jurisdicción nacional</w:t>
      </w:r>
      <w:r w:rsidR="007C0705">
        <w:rPr>
          <w:lang w:val="es-ES_tradnl"/>
        </w:rPr>
        <w:t xml:space="preserve"> la cobertura</w:t>
      </w:r>
      <w:r w:rsidR="00060C4F">
        <w:rPr>
          <w:lang w:val="es-ES_tradnl"/>
        </w:rPr>
        <w:t xml:space="preserve"> es de só</w:t>
      </w:r>
      <w:r w:rsidR="007D3CA4">
        <w:rPr>
          <w:lang w:val="es-ES_tradnl"/>
        </w:rPr>
        <w:t>lo 0,25 por ciento. No obstante</w:t>
      </w:r>
      <w:r w:rsidR="00D02900">
        <w:rPr>
          <w:lang w:val="es-ES_tradnl"/>
        </w:rPr>
        <w:t>, el comienzo d</w:t>
      </w:r>
      <w:r w:rsidR="007D3CA4">
        <w:rPr>
          <w:lang w:val="es-ES_tradnl"/>
        </w:rPr>
        <w:t>e</w:t>
      </w:r>
      <w:r w:rsidR="00D02900">
        <w:rPr>
          <w:lang w:val="es-ES_tradnl"/>
        </w:rPr>
        <w:t xml:space="preserve"> </w:t>
      </w:r>
      <w:r w:rsidR="007D3CA4">
        <w:rPr>
          <w:lang w:val="es-ES_tradnl"/>
        </w:rPr>
        <w:t xml:space="preserve">las discusiones en 2015 sobre las </w:t>
      </w:r>
      <w:r w:rsidR="00D02900">
        <w:rPr>
          <w:lang w:val="es-ES_tradnl"/>
        </w:rPr>
        <w:t xml:space="preserve">áreas fuera de los límites de jurisdicción nacional </w:t>
      </w:r>
      <w:r w:rsidR="007D3CA4">
        <w:rPr>
          <w:lang w:val="es-ES_tradnl"/>
        </w:rPr>
        <w:t xml:space="preserve">dentro del marco </w:t>
      </w:r>
      <w:r w:rsidR="00D02900">
        <w:rPr>
          <w:lang w:val="es-ES_tradnl"/>
        </w:rPr>
        <w:t xml:space="preserve">de </w:t>
      </w:r>
      <w:r w:rsidR="007D3CA4">
        <w:rPr>
          <w:lang w:val="es-ES_tradnl"/>
        </w:rPr>
        <w:t xml:space="preserve">UNCLOS, el cual tiene por objetivo </w:t>
      </w:r>
      <w:r w:rsidR="00D02900">
        <w:rPr>
          <w:lang w:val="es-ES_tradnl"/>
        </w:rPr>
        <w:t>desarrollar</w:t>
      </w:r>
      <w:r w:rsidR="007D3CA4">
        <w:rPr>
          <w:lang w:val="es-ES_tradnl"/>
        </w:rPr>
        <w:t xml:space="preserve"> mecanismos para la creación y cumplimi</w:t>
      </w:r>
      <w:r w:rsidR="00D02900">
        <w:rPr>
          <w:lang w:val="es-ES_tradnl"/>
        </w:rPr>
        <w:t xml:space="preserve">ento de </w:t>
      </w:r>
      <w:r w:rsidR="0063100E">
        <w:rPr>
          <w:lang w:val="es-ES_tradnl"/>
        </w:rPr>
        <w:t xml:space="preserve">las </w:t>
      </w:r>
      <w:r w:rsidR="00D02900">
        <w:rPr>
          <w:lang w:val="es-ES_tradnl"/>
        </w:rPr>
        <w:t xml:space="preserve">AMP en alta mar, presenta </w:t>
      </w:r>
      <w:r w:rsidR="0063100E">
        <w:rPr>
          <w:lang w:val="es-ES_tradnl"/>
        </w:rPr>
        <w:t>buenas</w:t>
      </w:r>
      <w:r w:rsidR="00D02900">
        <w:rPr>
          <w:lang w:val="es-ES_tradnl"/>
        </w:rPr>
        <w:t xml:space="preserve"> </w:t>
      </w:r>
      <w:r w:rsidR="0063100E">
        <w:rPr>
          <w:lang w:val="es-ES_tradnl"/>
        </w:rPr>
        <w:t>expectativas</w:t>
      </w:r>
      <w:r w:rsidR="007D3CA4">
        <w:rPr>
          <w:lang w:val="es-ES_tradnl"/>
        </w:rPr>
        <w:t xml:space="preserve"> para los hábitats de muchos mamíferos marinos.</w:t>
      </w:r>
    </w:p>
    <w:p w14:paraId="0A3D917A" w14:textId="77777777" w:rsidR="005C4400" w:rsidRPr="008470F2" w:rsidRDefault="005C4400" w:rsidP="005C4400">
      <w:pPr>
        <w:rPr>
          <w:lang w:val="es-ES"/>
        </w:rPr>
      </w:pPr>
    </w:p>
    <w:p w14:paraId="233028C5" w14:textId="225A7795" w:rsidR="00F07E32" w:rsidRPr="00F07E32" w:rsidRDefault="00C34884" w:rsidP="005C4400">
      <w:pPr>
        <w:pStyle w:val="ListParagraph"/>
        <w:numPr>
          <w:ilvl w:val="0"/>
          <w:numId w:val="35"/>
        </w:numPr>
        <w:ind w:left="0" w:firstLine="0"/>
        <w:jc w:val="both"/>
        <w:rPr>
          <w:lang w:val="es-ES_tradnl"/>
        </w:rPr>
      </w:pPr>
      <w:r>
        <w:rPr>
          <w:lang w:val="es-ES_tradnl"/>
        </w:rPr>
        <w:t>Es necesaria</w:t>
      </w:r>
      <w:r w:rsidR="00F07E32" w:rsidRPr="00F07E32">
        <w:rPr>
          <w:lang w:val="es-ES_tradnl"/>
        </w:rPr>
        <w:t xml:space="preserve"> un</w:t>
      </w:r>
      <w:r>
        <w:rPr>
          <w:lang w:val="es-ES_tradnl"/>
        </w:rPr>
        <w:t>a nueva</w:t>
      </w:r>
      <w:r w:rsidR="00F07E32" w:rsidRPr="00F07E32">
        <w:rPr>
          <w:lang w:val="es-ES_tradnl"/>
        </w:rPr>
        <w:t xml:space="preserve"> </w:t>
      </w:r>
      <w:r>
        <w:rPr>
          <w:lang w:val="es-ES_tradnl"/>
        </w:rPr>
        <w:t>estrategia</w:t>
      </w:r>
      <w:r w:rsidR="00F07E32" w:rsidRPr="00F07E32">
        <w:rPr>
          <w:lang w:val="es-ES_tradnl"/>
        </w:rPr>
        <w:t xml:space="preserve"> consistente para identificar</w:t>
      </w:r>
      <w:r w:rsidR="00D01A59">
        <w:rPr>
          <w:lang w:val="es-ES_tradnl"/>
        </w:rPr>
        <w:t xml:space="preserve"> hábitats de mamíferos mari</w:t>
      </w:r>
      <w:r w:rsidR="00121056">
        <w:rPr>
          <w:lang w:val="es-ES_tradnl"/>
        </w:rPr>
        <w:t xml:space="preserve">nos para su protección en </w:t>
      </w:r>
      <w:r w:rsidR="00D01A59">
        <w:rPr>
          <w:lang w:val="es-ES_tradnl"/>
        </w:rPr>
        <w:t xml:space="preserve">los océanos </w:t>
      </w:r>
      <w:r w:rsidR="00121056">
        <w:rPr>
          <w:lang w:val="es-ES_tradnl"/>
        </w:rPr>
        <w:t>a nivel mundial</w:t>
      </w:r>
      <w:r w:rsidR="00D01A59">
        <w:rPr>
          <w:lang w:val="es-ES_tradnl"/>
        </w:rPr>
        <w:t xml:space="preserve">. Se prestó atención a </w:t>
      </w:r>
      <w:r w:rsidR="00D01A59" w:rsidRPr="009F106F">
        <w:rPr>
          <w:lang w:val="es-ES_tradnl"/>
        </w:rPr>
        <w:t>BirdLife International</w:t>
      </w:r>
      <w:r w:rsidR="00E1188B">
        <w:rPr>
          <w:lang w:val="es-ES_tradnl"/>
        </w:rPr>
        <w:t xml:space="preserve"> con su</w:t>
      </w:r>
      <w:r w:rsidR="00D01A59">
        <w:rPr>
          <w:lang w:val="es-ES_tradnl"/>
        </w:rPr>
        <w:t xml:space="preserve"> </w:t>
      </w:r>
      <w:r w:rsidR="00966E43">
        <w:rPr>
          <w:lang w:val="es-ES_tradnl"/>
        </w:rPr>
        <w:t xml:space="preserve">herramienta de </w:t>
      </w:r>
      <w:r w:rsidR="00F30144">
        <w:rPr>
          <w:lang w:val="es-ES_tradnl"/>
        </w:rPr>
        <w:t>Á</w:t>
      </w:r>
      <w:r w:rsidR="00D01A59">
        <w:rPr>
          <w:lang w:val="es-ES_tradnl"/>
        </w:rPr>
        <w:t xml:space="preserve">reas </w:t>
      </w:r>
      <w:r w:rsidR="00F30144">
        <w:rPr>
          <w:lang w:val="es-ES_tradnl"/>
        </w:rPr>
        <w:t>Importantes para la C</w:t>
      </w:r>
      <w:r w:rsidR="00E1188B">
        <w:rPr>
          <w:lang w:val="es-ES_tradnl"/>
        </w:rPr>
        <w:t xml:space="preserve">onservación de las </w:t>
      </w:r>
      <w:r w:rsidR="00F30144">
        <w:rPr>
          <w:lang w:val="es-ES_tradnl"/>
        </w:rPr>
        <w:t>A</w:t>
      </w:r>
      <w:r w:rsidR="004A64AA">
        <w:rPr>
          <w:lang w:val="es-ES_tradnl"/>
        </w:rPr>
        <w:t>ves marinas (IBA</w:t>
      </w:r>
      <w:r w:rsidR="00966E43">
        <w:rPr>
          <w:lang w:val="es-ES_tradnl"/>
        </w:rPr>
        <w:t xml:space="preserve"> marinas</w:t>
      </w:r>
      <w:r w:rsidR="004A64AA">
        <w:rPr>
          <w:lang w:val="es-ES_tradnl"/>
        </w:rPr>
        <w:t>, por sus siglas en inglés</w:t>
      </w:r>
      <w:r w:rsidR="00966E43">
        <w:rPr>
          <w:lang w:val="es-ES_tradnl"/>
        </w:rPr>
        <w:t>), que ha encabezado las actividades de protección de aves marinas en aguas nacionales y en alta mar con el primer atlas mundial de aves marinas en 2012</w:t>
      </w:r>
      <w:r w:rsidR="002C44FC">
        <w:rPr>
          <w:lang w:val="es-ES_tradnl"/>
        </w:rPr>
        <w:t>,</w:t>
      </w:r>
      <w:r w:rsidR="00966E43">
        <w:rPr>
          <w:lang w:val="es-ES_tradnl"/>
        </w:rPr>
        <w:t xml:space="preserve"> y </w:t>
      </w:r>
      <w:r w:rsidR="002C44FC">
        <w:rPr>
          <w:lang w:val="es-ES_tradnl"/>
        </w:rPr>
        <w:t>con los conjuntos de datos</w:t>
      </w:r>
      <w:r w:rsidR="00966E43">
        <w:rPr>
          <w:lang w:val="es-ES_tradnl"/>
        </w:rPr>
        <w:t xml:space="preserve"> presentados e</w:t>
      </w:r>
      <w:r w:rsidR="002C44FC">
        <w:rPr>
          <w:lang w:val="es-ES_tradnl"/>
        </w:rPr>
        <w:t xml:space="preserve">n las reuniones </w:t>
      </w:r>
      <w:r w:rsidR="00986C75">
        <w:rPr>
          <w:lang w:val="es-ES_tradnl"/>
        </w:rPr>
        <w:t xml:space="preserve">del CDB </w:t>
      </w:r>
      <w:r w:rsidR="002C44FC">
        <w:rPr>
          <w:lang w:val="es-ES_tradnl"/>
        </w:rPr>
        <w:t xml:space="preserve">sobre </w:t>
      </w:r>
      <w:r w:rsidR="00966E43">
        <w:rPr>
          <w:lang w:val="es-ES_tradnl"/>
        </w:rPr>
        <w:t>las EBSA y otros foros.</w:t>
      </w:r>
      <w:r w:rsidR="00C459E4">
        <w:rPr>
          <w:lang w:val="es-ES_tradnl"/>
        </w:rPr>
        <w:t xml:space="preserve"> En octubre de 2013, la Comisión de Supervivencia de E</w:t>
      </w:r>
      <w:r w:rsidR="00F3752C">
        <w:rPr>
          <w:lang w:val="es-ES_tradnl"/>
        </w:rPr>
        <w:t>species</w:t>
      </w:r>
      <w:r w:rsidR="0088756F">
        <w:rPr>
          <w:lang w:val="es-ES_tradnl"/>
        </w:rPr>
        <w:t xml:space="preserve"> (CSE)</w:t>
      </w:r>
      <w:r w:rsidR="00F3752C">
        <w:rPr>
          <w:lang w:val="es-ES_tradnl"/>
        </w:rPr>
        <w:t xml:space="preserve"> y la Comisión Mundial de Áreas Protegidas</w:t>
      </w:r>
      <w:r w:rsidR="0088756F">
        <w:rPr>
          <w:lang w:val="es-ES_tradnl"/>
        </w:rPr>
        <w:t xml:space="preserve"> (CMAP)</w:t>
      </w:r>
      <w:r w:rsidR="00F84400">
        <w:rPr>
          <w:lang w:val="es-ES_tradnl"/>
        </w:rPr>
        <w:t xml:space="preserve"> de la UICN</w:t>
      </w:r>
      <w:r w:rsidR="00F3752C">
        <w:rPr>
          <w:lang w:val="es-ES_tradnl"/>
        </w:rPr>
        <w:t>, con la ayuda del Comité Internacional sobre Área</w:t>
      </w:r>
      <w:r w:rsidR="00C63CB8">
        <w:rPr>
          <w:lang w:val="es-ES_tradnl"/>
        </w:rPr>
        <w:t>s</w:t>
      </w:r>
      <w:r w:rsidR="00F3752C">
        <w:rPr>
          <w:lang w:val="es-ES_tradnl"/>
        </w:rPr>
        <w:t xml:space="preserve"> Protegidas</w:t>
      </w:r>
      <w:r w:rsidR="00C459E4">
        <w:rPr>
          <w:lang w:val="es-ES_tradnl"/>
        </w:rPr>
        <w:t xml:space="preserve"> para los Mamíferos Marinos</w:t>
      </w:r>
      <w:r w:rsidR="00D12CF2">
        <w:rPr>
          <w:lang w:val="es-ES_tradnl"/>
        </w:rPr>
        <w:t>, establecieron</w:t>
      </w:r>
      <w:r w:rsidR="00F3752C">
        <w:rPr>
          <w:lang w:val="es-ES_tradnl"/>
        </w:rPr>
        <w:t xml:space="preserve"> el </w:t>
      </w:r>
      <w:hyperlink r:id="rId13" w:history="1">
        <w:r w:rsidR="00257EC0" w:rsidRPr="00E74B9B">
          <w:rPr>
            <w:rStyle w:val="Hyperlink"/>
            <w:lang w:val="es-ES_tradnl"/>
          </w:rPr>
          <w:t>Grupo de Trabajo conjunto de la UICN CSE/CMAP sobre áreas protegidas para los mamíferos marinos</w:t>
        </w:r>
      </w:hyperlink>
      <w:r w:rsidR="00257EC0">
        <w:rPr>
          <w:lang w:val="es-ES_tradnl"/>
        </w:rPr>
        <w:t xml:space="preserve"> </w:t>
      </w:r>
      <w:r w:rsidR="00F3752C">
        <w:rPr>
          <w:lang w:val="es-ES_tradnl"/>
        </w:rPr>
        <w:lastRenderedPageBreak/>
        <w:t xml:space="preserve">(de aquí en adelante </w:t>
      </w:r>
      <w:r w:rsidR="00257EC0">
        <w:rPr>
          <w:lang w:val="es-ES_tradnl"/>
        </w:rPr>
        <w:t>denominado</w:t>
      </w:r>
      <w:r w:rsidR="00F3752C">
        <w:rPr>
          <w:lang w:val="es-ES_tradnl"/>
        </w:rPr>
        <w:t xml:space="preserve"> “Grupo de Trabajo”).</w:t>
      </w:r>
      <w:r w:rsidR="00F25360">
        <w:rPr>
          <w:lang w:val="es-ES_tradnl"/>
        </w:rPr>
        <w:t xml:space="preserve"> </w:t>
      </w:r>
      <w:r w:rsidR="00DE2C24">
        <w:rPr>
          <w:lang w:val="es-ES_tradnl"/>
        </w:rPr>
        <w:t>A la hora</w:t>
      </w:r>
      <w:r w:rsidR="00006646">
        <w:rPr>
          <w:lang w:val="es-ES_tradnl"/>
        </w:rPr>
        <w:t xml:space="preserve"> </w:t>
      </w:r>
      <w:r w:rsidR="00677031">
        <w:rPr>
          <w:lang w:val="es-ES_tradnl"/>
        </w:rPr>
        <w:t>de</w:t>
      </w:r>
      <w:r w:rsidR="00006646">
        <w:rPr>
          <w:lang w:val="es-ES_tradnl"/>
        </w:rPr>
        <w:t xml:space="preserve"> adaptar </w:t>
      </w:r>
      <w:r w:rsidR="00DE2C24">
        <w:rPr>
          <w:lang w:val="es-ES_tradnl"/>
        </w:rPr>
        <w:t>la estrategia</w:t>
      </w:r>
      <w:r w:rsidR="00006646">
        <w:rPr>
          <w:lang w:val="es-ES_tradnl"/>
        </w:rPr>
        <w:t xml:space="preserve"> de las IBA de BirdLife </w:t>
      </w:r>
      <w:r w:rsidR="00DE2C24">
        <w:rPr>
          <w:lang w:val="es-ES_tradnl"/>
        </w:rPr>
        <w:t>a</w:t>
      </w:r>
      <w:r w:rsidR="00006646">
        <w:rPr>
          <w:lang w:val="es-ES_tradnl"/>
        </w:rPr>
        <w:t xml:space="preserve"> los mamíferos marinos, la primera actividad</w:t>
      </w:r>
      <w:r w:rsidR="00DE2C24">
        <w:rPr>
          <w:lang w:val="es-ES_tradnl"/>
        </w:rPr>
        <w:t xml:space="preserve"> del Grupo d</w:t>
      </w:r>
      <w:r w:rsidR="00006646">
        <w:rPr>
          <w:lang w:val="es-ES_tradnl"/>
        </w:rPr>
        <w:t>e</w:t>
      </w:r>
      <w:r w:rsidR="00DE2C24">
        <w:rPr>
          <w:lang w:val="es-ES_tradnl"/>
        </w:rPr>
        <w:t xml:space="preserve"> </w:t>
      </w:r>
      <w:r w:rsidR="00006646">
        <w:rPr>
          <w:lang w:val="es-ES_tradnl"/>
        </w:rPr>
        <w:t>Trabajo ha sido la introducción del co</w:t>
      </w:r>
      <w:r w:rsidR="00ED62E4">
        <w:rPr>
          <w:lang w:val="es-ES_tradnl"/>
        </w:rPr>
        <w:t>ncepto de áreas importantes par</w:t>
      </w:r>
      <w:r w:rsidR="00006646">
        <w:rPr>
          <w:lang w:val="es-ES_tradnl"/>
        </w:rPr>
        <w:t>a</w:t>
      </w:r>
      <w:r w:rsidR="00ED62E4">
        <w:rPr>
          <w:lang w:val="es-ES_tradnl"/>
        </w:rPr>
        <w:t xml:space="preserve"> </w:t>
      </w:r>
      <w:r w:rsidR="00006646">
        <w:rPr>
          <w:lang w:val="es-ES_tradnl"/>
        </w:rPr>
        <w:t xml:space="preserve">los mamíferos marinos (AIMM) definidas como “porciones </w:t>
      </w:r>
      <w:r w:rsidR="00ED62E4">
        <w:rPr>
          <w:lang w:val="es-ES_tradnl"/>
        </w:rPr>
        <w:t xml:space="preserve">específicas </w:t>
      </w:r>
      <w:r w:rsidR="00006646">
        <w:rPr>
          <w:lang w:val="es-ES_tradnl"/>
        </w:rPr>
        <w:t>de hábitat, importantes para una o más especies de mamíferos marinos, que tienen el potencial de ser delin</w:t>
      </w:r>
      <w:r w:rsidR="00ED62E4">
        <w:rPr>
          <w:lang w:val="es-ES_tradnl"/>
        </w:rPr>
        <w:t>eadas y gestionadas para su</w:t>
      </w:r>
      <w:r w:rsidR="00006646">
        <w:rPr>
          <w:lang w:val="es-ES_tradnl"/>
        </w:rPr>
        <w:t xml:space="preserve"> conservación”.</w:t>
      </w:r>
    </w:p>
    <w:p w14:paraId="3EF80A6A" w14:textId="77777777" w:rsidR="005C4400" w:rsidRPr="001052E4" w:rsidRDefault="005C4400" w:rsidP="005C4400">
      <w:pPr>
        <w:pStyle w:val="ListParagraph"/>
        <w:ind w:left="0"/>
        <w:jc w:val="both"/>
        <w:rPr>
          <w:lang w:val="es-ES_tradnl"/>
        </w:rPr>
      </w:pPr>
    </w:p>
    <w:p w14:paraId="32E2A19F" w14:textId="61D41C60" w:rsidR="001052E4" w:rsidRPr="001052E4" w:rsidRDefault="001052E4" w:rsidP="005C4400">
      <w:pPr>
        <w:pStyle w:val="ListParagraph"/>
        <w:numPr>
          <w:ilvl w:val="0"/>
          <w:numId w:val="35"/>
        </w:numPr>
        <w:ind w:left="0" w:firstLine="0"/>
        <w:jc w:val="both"/>
        <w:rPr>
          <w:lang w:val="es-ES_tradnl"/>
        </w:rPr>
      </w:pPr>
      <w:r w:rsidRPr="001052E4">
        <w:rPr>
          <w:lang w:val="es-ES_tradnl"/>
        </w:rPr>
        <w:t xml:space="preserve">Dos talleres han </w:t>
      </w:r>
      <w:r w:rsidR="00D15FE4">
        <w:rPr>
          <w:lang w:val="es-ES_tradnl"/>
        </w:rPr>
        <w:t>evaluado</w:t>
      </w:r>
      <w:r w:rsidRPr="001052E4">
        <w:rPr>
          <w:lang w:val="es-ES_tradnl"/>
        </w:rPr>
        <w:t xml:space="preserve"> los criterios y </w:t>
      </w:r>
      <w:r w:rsidR="00D15FE4">
        <w:rPr>
          <w:lang w:val="es-ES_tradnl"/>
        </w:rPr>
        <w:t xml:space="preserve">han </w:t>
      </w:r>
      <w:r w:rsidRPr="001052E4">
        <w:rPr>
          <w:lang w:val="es-ES_tradnl"/>
        </w:rPr>
        <w:t>propuesto un programa de trabajo</w:t>
      </w:r>
      <w:r w:rsidR="00D15FE4">
        <w:rPr>
          <w:lang w:val="es-ES_tradnl"/>
        </w:rPr>
        <w:t xml:space="preserve"> futuro</w:t>
      </w:r>
      <w:r w:rsidRPr="001052E4">
        <w:rPr>
          <w:lang w:val="es-ES_tradnl"/>
        </w:rPr>
        <w:t>.</w:t>
      </w:r>
      <w:r w:rsidR="001C7049">
        <w:rPr>
          <w:lang w:val="es-ES_tradnl"/>
        </w:rPr>
        <w:t xml:space="preserve"> La identificación de AIMM </w:t>
      </w:r>
      <w:r w:rsidR="00AE36EB">
        <w:rPr>
          <w:lang w:val="es-ES_tradnl"/>
        </w:rPr>
        <w:t xml:space="preserve">no sólo </w:t>
      </w:r>
      <w:r w:rsidR="001C7049">
        <w:rPr>
          <w:lang w:val="es-ES_tradnl"/>
        </w:rPr>
        <w:t>resultará en más AMP y redes de AMP</w:t>
      </w:r>
      <w:r w:rsidR="00AE36EB">
        <w:rPr>
          <w:lang w:val="es-ES_tradnl"/>
        </w:rPr>
        <w:t>,</w:t>
      </w:r>
      <w:r w:rsidR="001C7049">
        <w:rPr>
          <w:lang w:val="es-ES_tradnl"/>
        </w:rPr>
        <w:t xml:space="preserve"> sino también en una mejor planificación espacial marina (MSP</w:t>
      </w:r>
      <w:r w:rsidR="00AE36EB">
        <w:rPr>
          <w:lang w:val="es-ES_tradnl"/>
        </w:rPr>
        <w:t>, por sus siglas en inglés</w:t>
      </w:r>
      <w:r w:rsidR="00601959">
        <w:rPr>
          <w:lang w:val="es-ES_tradnl"/>
        </w:rPr>
        <w:t>)</w:t>
      </w:r>
      <w:r w:rsidR="001C7049">
        <w:rPr>
          <w:lang w:val="es-ES_tradnl"/>
        </w:rPr>
        <w:t xml:space="preserve"> </w:t>
      </w:r>
      <w:r w:rsidR="00033765">
        <w:rPr>
          <w:lang w:val="es-ES_tradnl"/>
        </w:rPr>
        <w:t>y facilitará</w:t>
      </w:r>
      <w:r w:rsidR="001C7049">
        <w:rPr>
          <w:lang w:val="es-ES_tradnl"/>
        </w:rPr>
        <w:t xml:space="preserve"> </w:t>
      </w:r>
      <w:r w:rsidR="00033765">
        <w:rPr>
          <w:lang w:val="es-ES_tradnl"/>
        </w:rPr>
        <w:t xml:space="preserve">además </w:t>
      </w:r>
      <w:r w:rsidR="001C7049">
        <w:rPr>
          <w:lang w:val="es-ES_tradnl"/>
        </w:rPr>
        <w:t>la reducción de</w:t>
      </w:r>
      <w:r w:rsidR="00033765">
        <w:rPr>
          <w:lang w:val="es-ES_tradnl"/>
        </w:rPr>
        <w:t>l riesgo de colisiones con</w:t>
      </w:r>
      <w:r w:rsidR="001C7049">
        <w:rPr>
          <w:lang w:val="es-ES_tradnl"/>
        </w:rPr>
        <w:t xml:space="preserve"> </w:t>
      </w:r>
      <w:r w:rsidR="00576704">
        <w:rPr>
          <w:lang w:val="es-ES_tradnl"/>
        </w:rPr>
        <w:t>barcos</w:t>
      </w:r>
      <w:r w:rsidR="001C7049">
        <w:rPr>
          <w:lang w:val="es-ES_tradnl"/>
        </w:rPr>
        <w:t>, ruido, pesca incidental y otras amenazas</w:t>
      </w:r>
      <w:r w:rsidR="00033765">
        <w:rPr>
          <w:lang w:val="es-ES_tradnl"/>
        </w:rPr>
        <w:t>,</w:t>
      </w:r>
      <w:r w:rsidR="001C7049">
        <w:rPr>
          <w:lang w:val="es-ES_tradnl"/>
        </w:rPr>
        <w:t xml:space="preserve"> y ayuda</w:t>
      </w:r>
      <w:r w:rsidR="00033765">
        <w:rPr>
          <w:lang w:val="es-ES_tradnl"/>
        </w:rPr>
        <w:t>rá</w:t>
      </w:r>
      <w:r w:rsidR="001C7049">
        <w:rPr>
          <w:lang w:val="es-ES_tradnl"/>
        </w:rPr>
        <w:t xml:space="preserve"> </w:t>
      </w:r>
      <w:r w:rsidR="00033765">
        <w:rPr>
          <w:lang w:val="es-ES_tradnl"/>
        </w:rPr>
        <w:t>en el</w:t>
      </w:r>
      <w:r w:rsidR="001C7049">
        <w:rPr>
          <w:lang w:val="es-ES_tradnl"/>
        </w:rPr>
        <w:t xml:space="preserve"> monitoreo de</w:t>
      </w:r>
      <w:r w:rsidR="00033765">
        <w:rPr>
          <w:lang w:val="es-ES_tradnl"/>
        </w:rPr>
        <w:t>l</w:t>
      </w:r>
      <w:r w:rsidR="001C7049">
        <w:rPr>
          <w:lang w:val="es-ES_tradnl"/>
        </w:rPr>
        <w:t xml:space="preserve"> cambio climático.</w:t>
      </w:r>
    </w:p>
    <w:p w14:paraId="4026BBE6" w14:textId="77777777" w:rsidR="005C4400" w:rsidRPr="00B53162" w:rsidRDefault="005C4400" w:rsidP="005C4400">
      <w:pPr>
        <w:rPr>
          <w:highlight w:val="yellow"/>
          <w:lang w:val="es-ES_tradnl"/>
        </w:rPr>
      </w:pPr>
    </w:p>
    <w:p w14:paraId="33BC1ECA" w14:textId="7D35B02B" w:rsidR="003B34B8" w:rsidRPr="00AA3BD6" w:rsidRDefault="003B34B8" w:rsidP="005C4400">
      <w:pPr>
        <w:pStyle w:val="ListParagraph"/>
        <w:numPr>
          <w:ilvl w:val="0"/>
          <w:numId w:val="35"/>
        </w:numPr>
        <w:ind w:left="0" w:firstLine="0"/>
        <w:jc w:val="both"/>
        <w:rPr>
          <w:lang w:val="es-ES_tradnl"/>
        </w:rPr>
      </w:pPr>
      <w:r w:rsidRPr="00AA3BD6">
        <w:rPr>
          <w:lang w:val="es-ES_tradnl"/>
        </w:rPr>
        <w:t>La CMS ha reconocido este trabajo y</w:t>
      </w:r>
      <w:r w:rsidR="00AA3BD6">
        <w:rPr>
          <w:lang w:val="es-ES_tradnl"/>
        </w:rPr>
        <w:t xml:space="preserve"> el valor de las</w:t>
      </w:r>
      <w:r w:rsidR="00D53278">
        <w:rPr>
          <w:lang w:val="es-ES_tradnl"/>
        </w:rPr>
        <w:t xml:space="preserve"> AIMM en la </w:t>
      </w:r>
      <w:hyperlink r:id="rId14" w:history="1">
        <w:r w:rsidR="00D53278" w:rsidRPr="00DD096A">
          <w:rPr>
            <w:rStyle w:val="Hyperlink"/>
            <w:lang w:val="es-ES_tradnl"/>
          </w:rPr>
          <w:t>‘Resolución 11.25: P</w:t>
        </w:r>
        <w:r w:rsidR="00AA3BD6" w:rsidRPr="00DD096A">
          <w:rPr>
            <w:rStyle w:val="Hyperlink"/>
            <w:lang w:val="es-ES_tradnl"/>
          </w:rPr>
          <w:t>ro</w:t>
        </w:r>
        <w:r w:rsidR="00D53278" w:rsidRPr="00DD096A">
          <w:rPr>
            <w:rStyle w:val="Hyperlink"/>
            <w:lang w:val="es-ES_tradnl"/>
          </w:rPr>
          <w:t>moción de</w:t>
        </w:r>
        <w:r w:rsidR="00AA3BD6" w:rsidRPr="00DD096A">
          <w:rPr>
            <w:rStyle w:val="Hyperlink"/>
            <w:lang w:val="es-ES_tradnl"/>
          </w:rPr>
          <w:t xml:space="preserve"> las redes ecológicas para responder a las necesidades de las especies migratorias’</w:t>
        </w:r>
      </w:hyperlink>
      <w:r w:rsidR="000A5739">
        <w:rPr>
          <w:lang w:val="es-ES_tradnl"/>
        </w:rPr>
        <w:t xml:space="preserve"> así como </w:t>
      </w:r>
      <w:r w:rsidR="00AA3BD6">
        <w:rPr>
          <w:lang w:val="es-ES_tradnl"/>
        </w:rPr>
        <w:t xml:space="preserve">la función que la CMS puede desempeñar en la coordinación </w:t>
      </w:r>
      <w:r w:rsidR="000A5739">
        <w:rPr>
          <w:lang w:val="es-ES_tradnl"/>
        </w:rPr>
        <w:t>de las medidas de conservación y gestió</w:t>
      </w:r>
      <w:r w:rsidR="005F029D">
        <w:rPr>
          <w:lang w:val="es-ES_tradnl"/>
        </w:rPr>
        <w:t>n en la</w:t>
      </w:r>
      <w:r w:rsidR="000A5739">
        <w:rPr>
          <w:lang w:val="es-ES_tradnl"/>
        </w:rPr>
        <w:t>s áreas de distribución de las especi</w:t>
      </w:r>
      <w:r w:rsidR="007A5B4D">
        <w:rPr>
          <w:lang w:val="es-ES_tradnl"/>
        </w:rPr>
        <w:t>es migratorias, contribuyendo a</w:t>
      </w:r>
      <w:r w:rsidR="00092F08">
        <w:rPr>
          <w:lang w:val="es-ES_tradnl"/>
        </w:rPr>
        <w:t>l desarrollo de</w:t>
      </w:r>
      <w:r w:rsidR="007A5B4D">
        <w:rPr>
          <w:lang w:val="es-ES_tradnl"/>
        </w:rPr>
        <w:t xml:space="preserve"> </w:t>
      </w:r>
      <w:r w:rsidR="00AA3BD6">
        <w:rPr>
          <w:lang w:val="es-ES_tradnl"/>
        </w:rPr>
        <w:t xml:space="preserve">redes ecológicas y </w:t>
      </w:r>
      <w:r w:rsidR="007A5B4D">
        <w:rPr>
          <w:lang w:val="es-ES_tradnl"/>
        </w:rPr>
        <w:t xml:space="preserve">a </w:t>
      </w:r>
      <w:r w:rsidR="00092F08">
        <w:rPr>
          <w:lang w:val="es-ES_tradnl"/>
        </w:rPr>
        <w:t>la promoción</w:t>
      </w:r>
      <w:r w:rsidR="00AA3BD6">
        <w:rPr>
          <w:lang w:val="es-ES_tradnl"/>
        </w:rPr>
        <w:t xml:space="preserve"> </w:t>
      </w:r>
      <w:r w:rsidR="00092F08">
        <w:rPr>
          <w:lang w:val="es-ES_tradnl"/>
        </w:rPr>
        <w:t xml:space="preserve">de la </w:t>
      </w:r>
      <w:r w:rsidR="00AA3BD6">
        <w:rPr>
          <w:lang w:val="es-ES_tradnl"/>
        </w:rPr>
        <w:t xml:space="preserve">conectividad que </w:t>
      </w:r>
      <w:r w:rsidR="007A5B4D">
        <w:rPr>
          <w:lang w:val="es-ES_tradnl"/>
        </w:rPr>
        <w:t>concuerden plenamente</w:t>
      </w:r>
      <w:r w:rsidR="00AA3BD6">
        <w:rPr>
          <w:lang w:val="es-ES_tradnl"/>
        </w:rPr>
        <w:t xml:space="preserve"> con la ley del mar.</w:t>
      </w:r>
    </w:p>
    <w:p w14:paraId="7C7F77B9" w14:textId="77777777" w:rsidR="005C4400" w:rsidRPr="008470F2" w:rsidRDefault="005C4400" w:rsidP="005C4400">
      <w:pPr>
        <w:jc w:val="both"/>
        <w:rPr>
          <w:lang w:val="es-ES"/>
        </w:rPr>
      </w:pPr>
    </w:p>
    <w:p w14:paraId="1886CEF2" w14:textId="578E8B2E" w:rsidR="00B71A6A" w:rsidRPr="00EC1E23" w:rsidRDefault="00B71A6A" w:rsidP="005C4400">
      <w:pPr>
        <w:jc w:val="both"/>
        <w:rPr>
          <w:b/>
          <w:lang w:val="es-ES_tradnl"/>
        </w:rPr>
      </w:pPr>
      <w:r w:rsidRPr="00EC1E23">
        <w:rPr>
          <w:b/>
          <w:lang w:val="es-ES_tradnl"/>
        </w:rPr>
        <w:t xml:space="preserve">Estado de los criterios y </w:t>
      </w:r>
      <w:r w:rsidR="00A23648">
        <w:rPr>
          <w:b/>
          <w:lang w:val="es-ES_tradnl"/>
        </w:rPr>
        <w:t xml:space="preserve">del </w:t>
      </w:r>
      <w:r w:rsidR="00C23420">
        <w:rPr>
          <w:b/>
          <w:lang w:val="es-ES_tradnl"/>
        </w:rPr>
        <w:t>M</w:t>
      </w:r>
      <w:r w:rsidR="00EC1E23">
        <w:rPr>
          <w:b/>
          <w:lang w:val="es-ES_tradnl"/>
        </w:rPr>
        <w:t xml:space="preserve">anual de </w:t>
      </w:r>
      <w:r w:rsidRPr="00EC1E23">
        <w:rPr>
          <w:b/>
          <w:lang w:val="es-ES_tradnl"/>
        </w:rPr>
        <w:t>las AIMM</w:t>
      </w:r>
    </w:p>
    <w:p w14:paraId="270B4061" w14:textId="77777777" w:rsidR="005C4400" w:rsidRPr="00B71A6A" w:rsidRDefault="005C4400" w:rsidP="005C4400">
      <w:pPr>
        <w:jc w:val="both"/>
        <w:rPr>
          <w:lang w:val="es-ES_tradnl"/>
        </w:rPr>
      </w:pPr>
    </w:p>
    <w:p w14:paraId="25EDE11A" w14:textId="4A89826A" w:rsidR="00B71A6A" w:rsidRPr="00B71A6A" w:rsidRDefault="00B71A6A" w:rsidP="005C4400">
      <w:pPr>
        <w:pStyle w:val="ListParagraph"/>
        <w:numPr>
          <w:ilvl w:val="0"/>
          <w:numId w:val="35"/>
        </w:numPr>
        <w:ind w:left="0" w:firstLine="0"/>
        <w:jc w:val="both"/>
        <w:rPr>
          <w:lang w:val="es-ES_tradnl"/>
        </w:rPr>
      </w:pPr>
      <w:r w:rsidRPr="00B71A6A">
        <w:rPr>
          <w:lang w:val="es-ES_tradnl"/>
        </w:rPr>
        <w:t>Los criterios para la identificación de</w:t>
      </w:r>
      <w:r w:rsidR="00884FB6">
        <w:rPr>
          <w:lang w:val="es-ES_tradnl"/>
        </w:rPr>
        <w:t xml:space="preserve"> AIMM fueron revisados por expertos y circulados para </w:t>
      </w:r>
      <w:r w:rsidR="002B5639">
        <w:rPr>
          <w:lang w:val="es-ES_tradnl"/>
        </w:rPr>
        <w:t>su</w:t>
      </w:r>
      <w:r w:rsidR="00884FB6">
        <w:rPr>
          <w:lang w:val="es-ES_tradnl"/>
        </w:rPr>
        <w:t xml:space="preserve"> consulta pública durante 2015. Los criterios, ahora finalizados para su </w:t>
      </w:r>
      <w:r w:rsidR="00C963FF">
        <w:rPr>
          <w:lang w:val="es-ES_tradnl"/>
        </w:rPr>
        <w:t>lanzamiento público</w:t>
      </w:r>
      <w:r w:rsidR="00884FB6">
        <w:rPr>
          <w:lang w:val="es-ES_tradnl"/>
        </w:rPr>
        <w:t xml:space="preserve"> en 2016, han sido optimizados para c</w:t>
      </w:r>
      <w:r w:rsidR="004F109E">
        <w:rPr>
          <w:lang w:val="es-ES_tradnl"/>
        </w:rPr>
        <w:t>orresponderse</w:t>
      </w:r>
      <w:r w:rsidR="00734563">
        <w:rPr>
          <w:lang w:val="es-ES_tradnl"/>
        </w:rPr>
        <w:t xml:space="preserve"> </w:t>
      </w:r>
      <w:r w:rsidR="00884FB6">
        <w:rPr>
          <w:lang w:val="es-ES_tradnl"/>
        </w:rPr>
        <w:t xml:space="preserve">con los criterios para la identificación de </w:t>
      </w:r>
      <w:r w:rsidR="00AB3653">
        <w:rPr>
          <w:lang w:val="es-ES_tradnl"/>
        </w:rPr>
        <w:t>zonas de importancia</w:t>
      </w:r>
      <w:r w:rsidR="00884FB6">
        <w:rPr>
          <w:lang w:val="es-ES_tradnl"/>
        </w:rPr>
        <w:t xml:space="preserve"> </w:t>
      </w:r>
      <w:r w:rsidR="00D27BE6">
        <w:rPr>
          <w:lang w:val="es-ES_tradnl"/>
        </w:rPr>
        <w:t xml:space="preserve">ecológica o </w:t>
      </w:r>
      <w:r w:rsidR="00AB3653">
        <w:rPr>
          <w:lang w:val="es-ES_tradnl"/>
        </w:rPr>
        <w:t xml:space="preserve">biológica </w:t>
      </w:r>
      <w:r w:rsidR="004F109E">
        <w:rPr>
          <w:lang w:val="es-ES_tradnl"/>
        </w:rPr>
        <w:t>(EBSA) del CDB</w:t>
      </w:r>
      <w:r w:rsidR="00AB3653">
        <w:rPr>
          <w:lang w:val="es-ES_tradnl"/>
        </w:rPr>
        <w:t>,</w:t>
      </w:r>
      <w:r w:rsidR="004F109E">
        <w:rPr>
          <w:lang w:val="es-ES_tradnl"/>
        </w:rPr>
        <w:t xml:space="preserve"> </w:t>
      </w:r>
      <w:r w:rsidR="00D27BE6">
        <w:rPr>
          <w:lang w:val="es-ES_tradnl"/>
        </w:rPr>
        <w:t>así como los es</w:t>
      </w:r>
      <w:r w:rsidR="00AB3653">
        <w:rPr>
          <w:lang w:val="es-ES_tradnl"/>
        </w:rPr>
        <w:t>t</w:t>
      </w:r>
      <w:r w:rsidR="00D27BE6">
        <w:rPr>
          <w:lang w:val="es-ES_tradnl"/>
        </w:rPr>
        <w:t>ándares de la UICN para l</w:t>
      </w:r>
      <w:r w:rsidR="00932168">
        <w:rPr>
          <w:lang w:val="es-ES_tradnl"/>
        </w:rPr>
        <w:t>a identificación de Áreas Clave</w:t>
      </w:r>
      <w:r w:rsidR="00D27BE6">
        <w:rPr>
          <w:lang w:val="es-ES_tradnl"/>
        </w:rPr>
        <w:t xml:space="preserve"> para la Biodiversidad (KBA</w:t>
      </w:r>
      <w:r w:rsidR="00AB3653">
        <w:rPr>
          <w:lang w:val="es-ES_tradnl"/>
        </w:rPr>
        <w:t>, por sus siglas en inglés</w:t>
      </w:r>
      <w:r w:rsidR="00D27BE6">
        <w:rPr>
          <w:lang w:val="es-ES_tradnl"/>
        </w:rPr>
        <w:t>).</w:t>
      </w:r>
      <w:r w:rsidR="00F36AEA">
        <w:rPr>
          <w:lang w:val="es-ES_tradnl"/>
        </w:rPr>
        <w:t xml:space="preserve"> </w:t>
      </w:r>
      <w:r w:rsidR="000A62F3">
        <w:rPr>
          <w:lang w:val="es-ES_tradnl"/>
        </w:rPr>
        <w:t>De esta manera</w:t>
      </w:r>
      <w:r w:rsidR="00F36AEA">
        <w:rPr>
          <w:lang w:val="es-ES_tradnl"/>
        </w:rPr>
        <w:t xml:space="preserve"> las AIMM proporcionarán un proceso estandarizado para la </w:t>
      </w:r>
      <w:r w:rsidR="000A62F3">
        <w:rPr>
          <w:lang w:val="es-ES_tradnl"/>
        </w:rPr>
        <w:t>evaluación</w:t>
      </w:r>
      <w:r w:rsidR="00056007">
        <w:rPr>
          <w:lang w:val="es-ES_tradnl"/>
        </w:rPr>
        <w:t>, p</w:t>
      </w:r>
      <w:r w:rsidR="00F36AEA">
        <w:rPr>
          <w:lang w:val="es-ES_tradnl"/>
        </w:rPr>
        <w:t>re</w:t>
      </w:r>
      <w:r w:rsidR="00056007">
        <w:rPr>
          <w:lang w:val="es-ES_tradnl"/>
        </w:rPr>
        <w:t>se</w:t>
      </w:r>
      <w:r w:rsidR="00E3440F">
        <w:rPr>
          <w:lang w:val="es-ES_tradnl"/>
        </w:rPr>
        <w:t>ntación y utilización de los</w:t>
      </w:r>
      <w:r w:rsidR="00F36AEA">
        <w:rPr>
          <w:lang w:val="es-ES_tradnl"/>
        </w:rPr>
        <w:t xml:space="preserve"> </w:t>
      </w:r>
      <w:r w:rsidR="00E3440F">
        <w:rPr>
          <w:lang w:val="es-ES_tradnl"/>
        </w:rPr>
        <w:t>datos</w:t>
      </w:r>
      <w:r w:rsidR="00F36AEA">
        <w:rPr>
          <w:lang w:val="es-ES_tradnl"/>
        </w:rPr>
        <w:t xml:space="preserve"> sobr</w:t>
      </w:r>
      <w:r w:rsidR="00C256D4">
        <w:rPr>
          <w:lang w:val="es-ES_tradnl"/>
        </w:rPr>
        <w:t xml:space="preserve">e </w:t>
      </w:r>
      <w:r w:rsidR="00F36AEA">
        <w:rPr>
          <w:lang w:val="es-ES_tradnl"/>
        </w:rPr>
        <w:t xml:space="preserve">mamíferos marinos que contribuirá </w:t>
      </w:r>
      <w:r w:rsidR="00E3440F">
        <w:rPr>
          <w:lang w:val="es-ES_tradnl"/>
        </w:rPr>
        <w:t>notablemente</w:t>
      </w:r>
      <w:r w:rsidR="00F36AEA">
        <w:rPr>
          <w:lang w:val="es-ES_tradnl"/>
        </w:rPr>
        <w:t xml:space="preserve"> tanto al proceso de </w:t>
      </w:r>
      <w:r w:rsidR="0068170B">
        <w:rPr>
          <w:lang w:val="es-ES_tradnl"/>
        </w:rPr>
        <w:t xml:space="preserve">las </w:t>
      </w:r>
      <w:r w:rsidR="00F36AEA">
        <w:rPr>
          <w:lang w:val="es-ES_tradnl"/>
        </w:rPr>
        <w:t>EBSA como a la identificación futura de KBA, y servirá igualmente a las necesidades específicas de los mamíferos marinos (p.</w:t>
      </w:r>
      <w:r w:rsidR="006624FD">
        <w:rPr>
          <w:lang w:val="es-ES_tradnl"/>
        </w:rPr>
        <w:t xml:space="preserve"> </w:t>
      </w:r>
      <w:r w:rsidR="00F36AEA">
        <w:rPr>
          <w:lang w:val="es-ES_tradnl"/>
        </w:rPr>
        <w:t xml:space="preserve">ej. identificación de </w:t>
      </w:r>
      <w:r w:rsidR="006624FD">
        <w:rPr>
          <w:lang w:val="es-ES_tradnl"/>
        </w:rPr>
        <w:t>áreas de colisión con embarcaciones</w:t>
      </w:r>
      <w:r w:rsidR="00F36AEA">
        <w:rPr>
          <w:lang w:val="es-ES_tradnl"/>
        </w:rPr>
        <w:t xml:space="preserve"> y </w:t>
      </w:r>
      <w:r w:rsidR="006624FD">
        <w:rPr>
          <w:lang w:val="es-ES_tradnl"/>
        </w:rPr>
        <w:t>de otros tipos</w:t>
      </w:r>
      <w:r w:rsidR="00F36AEA">
        <w:rPr>
          <w:lang w:val="es-ES_tradnl"/>
        </w:rPr>
        <w:t xml:space="preserve"> donde los mamíferos marinos están amenazados, cumpliendo las necesidades de las redes de mamíferos marinos y proporcionando información </w:t>
      </w:r>
      <w:r w:rsidR="006624FD">
        <w:rPr>
          <w:lang w:val="es-ES_tradnl"/>
        </w:rPr>
        <w:t xml:space="preserve">sobre mamíferos marinos </w:t>
      </w:r>
      <w:r w:rsidR="00F36AEA">
        <w:rPr>
          <w:lang w:val="es-ES_tradnl"/>
        </w:rPr>
        <w:t xml:space="preserve">basada en el </w:t>
      </w:r>
      <w:r w:rsidR="006624FD">
        <w:rPr>
          <w:lang w:val="es-ES_tradnl"/>
        </w:rPr>
        <w:t>área</w:t>
      </w:r>
      <w:r w:rsidR="00F36AEA">
        <w:rPr>
          <w:lang w:val="es-ES_tradnl"/>
        </w:rPr>
        <w:t xml:space="preserve"> para </w:t>
      </w:r>
      <w:r w:rsidR="006624FD">
        <w:rPr>
          <w:lang w:val="es-ES_tradnl"/>
        </w:rPr>
        <w:t xml:space="preserve">la </w:t>
      </w:r>
      <w:r w:rsidR="00F36AEA">
        <w:rPr>
          <w:lang w:val="es-ES_tradnl"/>
        </w:rPr>
        <w:t>MSP).</w:t>
      </w:r>
    </w:p>
    <w:p w14:paraId="36325CD5" w14:textId="77777777" w:rsidR="005C4400" w:rsidRPr="00585C0D" w:rsidRDefault="005C4400" w:rsidP="005C4400">
      <w:pPr>
        <w:pStyle w:val="ListParagraph"/>
        <w:ind w:left="0"/>
        <w:jc w:val="both"/>
        <w:rPr>
          <w:lang w:val="es-ES_tradnl"/>
        </w:rPr>
      </w:pPr>
    </w:p>
    <w:p w14:paraId="589FE914" w14:textId="683933F1" w:rsidR="009D455E" w:rsidRPr="00585C0D" w:rsidRDefault="00585C0D" w:rsidP="005C4400">
      <w:pPr>
        <w:pStyle w:val="ListParagraph"/>
        <w:numPr>
          <w:ilvl w:val="0"/>
          <w:numId w:val="35"/>
        </w:numPr>
        <w:ind w:left="0" w:firstLine="0"/>
        <w:jc w:val="both"/>
        <w:rPr>
          <w:lang w:val="es-ES_tradnl"/>
        </w:rPr>
      </w:pPr>
      <w:r w:rsidRPr="009B491D">
        <w:rPr>
          <w:lang w:val="es-ES_tradnl"/>
        </w:rPr>
        <w:t>El Grupo d</w:t>
      </w:r>
      <w:r w:rsidR="00F05DBF" w:rsidRPr="009B491D">
        <w:rPr>
          <w:lang w:val="es-ES_tradnl"/>
        </w:rPr>
        <w:t>e Trabajo preparará también un M</w:t>
      </w:r>
      <w:r w:rsidRPr="009B491D">
        <w:rPr>
          <w:lang w:val="es-ES_tradnl"/>
        </w:rPr>
        <w:t>anual de AIMM</w:t>
      </w:r>
      <w:r w:rsidR="000A5ED6" w:rsidRPr="009B491D">
        <w:rPr>
          <w:lang w:val="es-ES_tradnl"/>
        </w:rPr>
        <w:t xml:space="preserve"> para proporcionar orientación a </w:t>
      </w:r>
      <w:r w:rsidR="00E23965" w:rsidRPr="009B491D">
        <w:rPr>
          <w:lang w:val="es-ES_tradnl"/>
        </w:rPr>
        <w:t>los talleres regionales previstos como parte de la implementación de la</w:t>
      </w:r>
      <w:r w:rsidR="00F92C32" w:rsidRPr="009B491D">
        <w:rPr>
          <w:lang w:val="es-ES_tradnl"/>
        </w:rPr>
        <w:t>s</w:t>
      </w:r>
      <w:r w:rsidR="00E23965" w:rsidRPr="009B491D">
        <w:rPr>
          <w:lang w:val="es-ES_tradnl"/>
        </w:rPr>
        <w:t xml:space="preserve"> AIMM en los océanos </w:t>
      </w:r>
      <w:r w:rsidR="00F92C32" w:rsidRPr="009B491D">
        <w:rPr>
          <w:lang w:val="es-ES_tradnl"/>
        </w:rPr>
        <w:t>a nivel mundial</w:t>
      </w:r>
      <w:r w:rsidR="007B74C4" w:rsidRPr="009B491D">
        <w:rPr>
          <w:lang w:val="es-ES_tradnl"/>
        </w:rPr>
        <w:t>. Este m</w:t>
      </w:r>
      <w:r w:rsidR="00E23965" w:rsidRPr="009B491D">
        <w:rPr>
          <w:lang w:val="es-ES_tradnl"/>
        </w:rPr>
        <w:t>anual most</w:t>
      </w:r>
      <w:r w:rsidR="00363080" w:rsidRPr="009B491D">
        <w:rPr>
          <w:lang w:val="es-ES_tradnl"/>
        </w:rPr>
        <w:t>r</w:t>
      </w:r>
      <w:r w:rsidR="00E23965" w:rsidRPr="009B491D">
        <w:rPr>
          <w:lang w:val="es-ES_tradnl"/>
        </w:rPr>
        <w:t xml:space="preserve">ará cómo considerar y comparar la idoneidad de la información disponible </w:t>
      </w:r>
      <w:r w:rsidR="004D5D8B" w:rsidRPr="009B491D">
        <w:rPr>
          <w:lang w:val="es-ES_tradnl"/>
        </w:rPr>
        <w:t xml:space="preserve">procedente de </w:t>
      </w:r>
      <w:r w:rsidR="00E23965" w:rsidRPr="009B491D">
        <w:rPr>
          <w:lang w:val="es-ES_tradnl"/>
        </w:rPr>
        <w:t>conjunt</w:t>
      </w:r>
      <w:r w:rsidR="004D5D8B" w:rsidRPr="009B491D">
        <w:rPr>
          <w:lang w:val="es-ES_tradnl"/>
        </w:rPr>
        <w:t>os de datos, metodologías cientí</w:t>
      </w:r>
      <w:r w:rsidR="00E23965" w:rsidRPr="009B491D">
        <w:rPr>
          <w:lang w:val="es-ES_tradnl"/>
        </w:rPr>
        <w:t>ficas y conocimiento de expertos a la hora de aplicar los criterios. Se anti</w:t>
      </w:r>
      <w:r w:rsidR="00BE0188" w:rsidRPr="009B491D">
        <w:rPr>
          <w:lang w:val="es-ES_tradnl"/>
        </w:rPr>
        <w:t>cipa que se tratará d</w:t>
      </w:r>
      <w:r w:rsidR="00E23965" w:rsidRPr="009B491D">
        <w:rPr>
          <w:lang w:val="es-ES_tradnl"/>
        </w:rPr>
        <w:t>e</w:t>
      </w:r>
      <w:r w:rsidR="00BE0188" w:rsidRPr="009B491D">
        <w:rPr>
          <w:lang w:val="es-ES_tradnl"/>
        </w:rPr>
        <w:t xml:space="preserve"> un documento dinámico</w:t>
      </w:r>
      <w:r w:rsidR="00E23965" w:rsidRPr="009B491D">
        <w:rPr>
          <w:lang w:val="es-ES_tradnl"/>
        </w:rPr>
        <w:t>, similar al ma</w:t>
      </w:r>
      <w:r w:rsidR="00A72CA5" w:rsidRPr="009B491D">
        <w:rPr>
          <w:lang w:val="es-ES_tradnl"/>
        </w:rPr>
        <w:t xml:space="preserve">nual utilizado por BirdLife International para </w:t>
      </w:r>
      <w:r w:rsidR="009B491D" w:rsidRPr="009B491D">
        <w:rPr>
          <w:lang w:val="es-ES_tradnl"/>
        </w:rPr>
        <w:t>instruir el</w:t>
      </w:r>
      <w:r w:rsidR="003C6B1E" w:rsidRPr="009B491D">
        <w:rPr>
          <w:lang w:val="es-ES_tradnl"/>
        </w:rPr>
        <w:t xml:space="preserve"> proceso de</w:t>
      </w:r>
      <w:r w:rsidR="00A72CA5" w:rsidRPr="009B491D">
        <w:rPr>
          <w:lang w:val="es-ES_tradnl"/>
        </w:rPr>
        <w:t xml:space="preserve"> selección de las IBA marinas.</w:t>
      </w:r>
      <w:r w:rsidR="00565FA2">
        <w:rPr>
          <w:lang w:val="es-ES_tradnl"/>
        </w:rPr>
        <w:t xml:space="preserve"> </w:t>
      </w:r>
      <w:r w:rsidR="009B491D">
        <w:rPr>
          <w:lang w:val="es-ES_tradnl"/>
        </w:rPr>
        <w:t>En la actualidad e</w:t>
      </w:r>
      <w:r w:rsidR="00565FA2">
        <w:rPr>
          <w:lang w:val="es-ES_tradnl"/>
        </w:rPr>
        <w:t xml:space="preserve">l Grupo de Trabajo está </w:t>
      </w:r>
      <w:r w:rsidR="009B491D">
        <w:rPr>
          <w:lang w:val="es-ES_tradnl"/>
        </w:rPr>
        <w:t>facilitando varios</w:t>
      </w:r>
      <w:r w:rsidR="00565FA2">
        <w:rPr>
          <w:lang w:val="es-ES_tradnl"/>
        </w:rPr>
        <w:t xml:space="preserve"> talleres </w:t>
      </w:r>
      <w:r w:rsidR="009B491D">
        <w:rPr>
          <w:lang w:val="es-ES_tradnl"/>
        </w:rPr>
        <w:t>en una</w:t>
      </w:r>
      <w:r w:rsidR="00565FA2">
        <w:rPr>
          <w:lang w:val="es-ES_tradnl"/>
        </w:rPr>
        <w:t xml:space="preserve"> serie de conferencias internacionales para buscar </w:t>
      </w:r>
      <w:r w:rsidR="005762BA">
        <w:rPr>
          <w:lang w:val="es-ES_tradnl"/>
        </w:rPr>
        <w:t xml:space="preserve">la </w:t>
      </w:r>
      <w:r w:rsidR="00565FA2">
        <w:rPr>
          <w:lang w:val="es-ES_tradnl"/>
        </w:rPr>
        <w:t xml:space="preserve">ayuda de expertos </w:t>
      </w:r>
      <w:r w:rsidR="009B491D">
        <w:rPr>
          <w:lang w:val="es-ES_tradnl"/>
        </w:rPr>
        <w:t>en</w:t>
      </w:r>
      <w:r w:rsidR="00565FA2">
        <w:rPr>
          <w:lang w:val="es-ES_tradnl"/>
        </w:rPr>
        <w:t xml:space="preserve"> la consideración de </w:t>
      </w:r>
      <w:r w:rsidR="009B491D">
        <w:rPr>
          <w:lang w:val="es-ES_tradnl"/>
        </w:rPr>
        <w:t xml:space="preserve">los </w:t>
      </w:r>
      <w:r w:rsidR="00565FA2">
        <w:rPr>
          <w:lang w:val="es-ES_tradnl"/>
        </w:rPr>
        <w:t xml:space="preserve">muchos métodos y técnicas disponibles en el presente para </w:t>
      </w:r>
      <w:r w:rsidR="009B491D" w:rsidRPr="009B491D">
        <w:rPr>
          <w:lang w:val="es-ES_tradnl"/>
        </w:rPr>
        <w:t xml:space="preserve">instruir el proceso </w:t>
      </w:r>
      <w:r w:rsidR="009B491D">
        <w:rPr>
          <w:lang w:val="es-ES_tradnl"/>
        </w:rPr>
        <w:t xml:space="preserve">de </w:t>
      </w:r>
      <w:r w:rsidR="00565FA2">
        <w:rPr>
          <w:lang w:val="es-ES_tradnl"/>
        </w:rPr>
        <w:t>selección de AIMM (incluyendo modelos de distribu</w:t>
      </w:r>
      <w:r w:rsidR="007829E3">
        <w:rPr>
          <w:lang w:val="es-ES_tradnl"/>
        </w:rPr>
        <w:t>c</w:t>
      </w:r>
      <w:r w:rsidR="00565FA2">
        <w:rPr>
          <w:lang w:val="es-ES_tradnl"/>
        </w:rPr>
        <w:t xml:space="preserve">ión de especies, métodos </w:t>
      </w:r>
      <w:r w:rsidR="007829E3">
        <w:rPr>
          <w:lang w:val="es-ES_tradnl"/>
        </w:rPr>
        <w:t>conductuales y de rastreo</w:t>
      </w:r>
      <w:r w:rsidR="00565FA2">
        <w:rPr>
          <w:lang w:val="es-ES_tradnl"/>
        </w:rPr>
        <w:t xml:space="preserve">, </w:t>
      </w:r>
      <w:r w:rsidR="007829E3">
        <w:rPr>
          <w:lang w:val="es-ES_tradnl"/>
        </w:rPr>
        <w:t xml:space="preserve">y </w:t>
      </w:r>
      <w:r w:rsidR="00565FA2">
        <w:rPr>
          <w:lang w:val="es-ES_tradnl"/>
        </w:rPr>
        <w:t>análisis genéticos). Los resultados de estos talleres facil</w:t>
      </w:r>
      <w:r w:rsidR="00D95FEA">
        <w:rPr>
          <w:lang w:val="es-ES_tradnl"/>
        </w:rPr>
        <w:t>itarán la creación del M</w:t>
      </w:r>
      <w:r w:rsidR="00781687">
        <w:rPr>
          <w:lang w:val="es-ES_tradnl"/>
        </w:rPr>
        <w:t>anual d</w:t>
      </w:r>
      <w:r w:rsidR="00565FA2">
        <w:rPr>
          <w:lang w:val="es-ES_tradnl"/>
        </w:rPr>
        <w:t>e</w:t>
      </w:r>
      <w:r w:rsidR="00781687">
        <w:rPr>
          <w:lang w:val="es-ES_tradnl"/>
        </w:rPr>
        <w:t xml:space="preserve"> AIMM</w:t>
      </w:r>
      <w:r w:rsidR="00565FA2">
        <w:rPr>
          <w:lang w:val="es-ES_tradnl"/>
        </w:rPr>
        <w:t xml:space="preserve"> en 2016.</w:t>
      </w:r>
    </w:p>
    <w:p w14:paraId="7E9FC7ED" w14:textId="77777777" w:rsidR="005C4400" w:rsidRPr="00663D00" w:rsidRDefault="005C4400" w:rsidP="005C4400">
      <w:pPr>
        <w:jc w:val="both"/>
        <w:rPr>
          <w:bCs/>
          <w:lang w:val="es-ES_tradnl"/>
        </w:rPr>
      </w:pPr>
    </w:p>
    <w:p w14:paraId="4492F49A" w14:textId="302A83D4" w:rsidR="008F3274" w:rsidRPr="008F3274" w:rsidRDefault="008F3274" w:rsidP="005C4400">
      <w:pPr>
        <w:jc w:val="both"/>
        <w:rPr>
          <w:b/>
          <w:bCs/>
          <w:lang w:val="es-ES_tradnl"/>
        </w:rPr>
      </w:pPr>
      <w:r w:rsidRPr="008F3274">
        <w:rPr>
          <w:b/>
          <w:bCs/>
          <w:lang w:val="es-ES_tradnl"/>
        </w:rPr>
        <w:t>La CMS y las AIMM</w:t>
      </w:r>
    </w:p>
    <w:p w14:paraId="0A160A11" w14:textId="77777777" w:rsidR="005C4400" w:rsidRPr="000035F0" w:rsidRDefault="005C4400" w:rsidP="005C4400">
      <w:pPr>
        <w:jc w:val="both"/>
        <w:rPr>
          <w:highlight w:val="yellow"/>
          <w:lang w:val="es-ES_tradnl"/>
        </w:rPr>
      </w:pPr>
    </w:p>
    <w:p w14:paraId="64F0BAB5" w14:textId="7C88E4EC" w:rsidR="005D031B" w:rsidRPr="005D031B" w:rsidRDefault="005D031B" w:rsidP="005C4400">
      <w:pPr>
        <w:pStyle w:val="ListParagraph"/>
        <w:numPr>
          <w:ilvl w:val="0"/>
          <w:numId w:val="35"/>
        </w:numPr>
        <w:ind w:left="0" w:firstLine="0"/>
        <w:jc w:val="both"/>
        <w:rPr>
          <w:lang w:val="es-ES_tradnl"/>
        </w:rPr>
      </w:pPr>
      <w:r w:rsidRPr="005D031B">
        <w:rPr>
          <w:lang w:val="es-ES_tradnl"/>
        </w:rPr>
        <w:t>El</w:t>
      </w:r>
      <w:r w:rsidR="00750DA3">
        <w:rPr>
          <w:lang w:val="es-ES_tradnl"/>
        </w:rPr>
        <w:t xml:space="preserve"> ‘</w:t>
      </w:r>
      <w:hyperlink r:id="rId15" w:history="1">
        <w:r w:rsidRPr="00561DC2">
          <w:rPr>
            <w:rStyle w:val="Hyperlink"/>
            <w:lang w:val="es-ES_tradnl"/>
          </w:rPr>
          <w:t>Anexo a la Resolución 11.25 de la CMS:</w:t>
        </w:r>
        <w:r w:rsidR="00FA3A94" w:rsidRPr="00561DC2">
          <w:rPr>
            <w:rStyle w:val="Hyperlink"/>
            <w:lang w:val="es-ES_tradnl"/>
          </w:rPr>
          <w:t xml:space="preserve"> Recomend</w:t>
        </w:r>
        <w:r w:rsidR="008B5A3A">
          <w:rPr>
            <w:rStyle w:val="Hyperlink"/>
            <w:lang w:val="es-ES_tradnl"/>
          </w:rPr>
          <w:t>aciones para avanzar en el diseño e</w:t>
        </w:r>
        <w:r w:rsidR="00FA3A94" w:rsidRPr="00561DC2">
          <w:rPr>
            <w:rStyle w:val="Hyperlink"/>
            <w:lang w:val="es-ES_tradnl"/>
          </w:rPr>
          <w:t xml:space="preserve"> implementación de la</w:t>
        </w:r>
        <w:r w:rsidR="008B5A3A">
          <w:rPr>
            <w:rStyle w:val="Hyperlink"/>
            <w:lang w:val="es-ES_tradnl"/>
          </w:rPr>
          <w:t xml:space="preserve"> redes ecológicas con el objeto de satisfacer</w:t>
        </w:r>
        <w:r w:rsidR="00FA3A94" w:rsidRPr="00561DC2">
          <w:rPr>
            <w:rStyle w:val="Hyperlink"/>
            <w:lang w:val="es-ES_tradnl"/>
          </w:rPr>
          <w:t xml:space="preserve"> las necesidades de </w:t>
        </w:r>
        <w:r w:rsidR="00FA3A94" w:rsidRPr="00561DC2">
          <w:rPr>
            <w:rStyle w:val="Hyperlink"/>
            <w:lang w:val="es-ES_tradnl"/>
          </w:rPr>
          <w:lastRenderedPageBreak/>
          <w:t>las especies migratorias’</w:t>
        </w:r>
      </w:hyperlink>
      <w:r w:rsidR="00750DA3">
        <w:rPr>
          <w:lang w:val="es-ES_tradnl"/>
        </w:rPr>
        <w:t xml:space="preserve"> </w:t>
      </w:r>
      <w:r w:rsidR="00FA3A94">
        <w:rPr>
          <w:lang w:val="es-ES_tradnl"/>
        </w:rPr>
        <w:t xml:space="preserve">indica una serie de áreas </w:t>
      </w:r>
      <w:r w:rsidR="00750DA3">
        <w:rPr>
          <w:lang w:val="es-ES_tradnl"/>
        </w:rPr>
        <w:t>directamente relevantes</w:t>
      </w:r>
      <w:r w:rsidR="00FA3A94">
        <w:rPr>
          <w:lang w:val="es-ES_tradnl"/>
        </w:rPr>
        <w:t xml:space="preserve"> al trabajo en evolución sobre las AIMM.</w:t>
      </w:r>
    </w:p>
    <w:p w14:paraId="5B77214B" w14:textId="77777777" w:rsidR="005C4400" w:rsidRPr="000370FC" w:rsidRDefault="005C4400" w:rsidP="005C4400">
      <w:pPr>
        <w:pStyle w:val="ListParagraph"/>
        <w:ind w:left="0"/>
        <w:jc w:val="both"/>
        <w:rPr>
          <w:lang w:val="es-ES_tradnl"/>
        </w:rPr>
      </w:pPr>
    </w:p>
    <w:p w14:paraId="0445210D" w14:textId="39104B2E" w:rsidR="005C4400" w:rsidRPr="000370FC" w:rsidRDefault="00B93891" w:rsidP="00B93891">
      <w:pPr>
        <w:pStyle w:val="ListParagraph"/>
        <w:numPr>
          <w:ilvl w:val="0"/>
          <w:numId w:val="35"/>
        </w:numPr>
        <w:ind w:left="0" w:firstLine="0"/>
        <w:jc w:val="both"/>
        <w:rPr>
          <w:lang w:val="es-ES_tradnl"/>
        </w:rPr>
      </w:pPr>
      <w:r w:rsidRPr="000370FC">
        <w:rPr>
          <w:lang w:val="es-ES_tradnl"/>
        </w:rPr>
        <w:t>Se anima a las Partes a considerar la utilización de una co</w:t>
      </w:r>
      <w:r w:rsidR="000846B1" w:rsidRPr="000370FC">
        <w:rPr>
          <w:lang w:val="es-ES_tradnl"/>
        </w:rPr>
        <w:t xml:space="preserve">mbinación de ‘puntos calientes’ </w:t>
      </w:r>
      <w:r w:rsidRPr="000370FC">
        <w:rPr>
          <w:lang w:val="es-ES_tradnl"/>
        </w:rPr>
        <w:t>con</w:t>
      </w:r>
      <w:r w:rsidR="005778B0" w:rsidRPr="000370FC">
        <w:rPr>
          <w:lang w:val="es-ES_tradnl"/>
        </w:rPr>
        <w:t>ectados</w:t>
      </w:r>
      <w:r w:rsidRPr="000370FC">
        <w:rPr>
          <w:lang w:val="es-ES_tradnl"/>
        </w:rPr>
        <w:t xml:space="preserve">, </w:t>
      </w:r>
      <w:r w:rsidR="00EC0846" w:rsidRPr="000370FC">
        <w:rPr>
          <w:lang w:val="es-ES_tradnl"/>
        </w:rPr>
        <w:t xml:space="preserve">amortiguando </w:t>
      </w:r>
      <w:r w:rsidR="005778B0" w:rsidRPr="000370FC">
        <w:rPr>
          <w:lang w:val="es-ES_tradnl"/>
        </w:rPr>
        <w:t xml:space="preserve">las zonas núcleo y </w:t>
      </w:r>
      <w:r w:rsidR="00EC0846" w:rsidRPr="000370FC">
        <w:rPr>
          <w:lang w:val="es-ES_tradnl"/>
        </w:rPr>
        <w:t xml:space="preserve">proporcionando capacidad ‘de reserva’ </w:t>
      </w:r>
      <w:r w:rsidR="005778B0" w:rsidRPr="000370FC">
        <w:rPr>
          <w:lang w:val="es-ES_tradnl"/>
        </w:rPr>
        <w:t>en los tiempos</w:t>
      </w:r>
      <w:r w:rsidR="00EC0846" w:rsidRPr="000370FC">
        <w:rPr>
          <w:lang w:val="es-ES_tradnl"/>
        </w:rPr>
        <w:t xml:space="preserve"> d</w:t>
      </w:r>
      <w:r w:rsidR="005778B0" w:rsidRPr="000370FC">
        <w:rPr>
          <w:lang w:val="es-ES_tradnl"/>
        </w:rPr>
        <w:t>e estrés y disrupción ecológica</w:t>
      </w:r>
      <w:r w:rsidR="000846B1" w:rsidRPr="000370FC">
        <w:rPr>
          <w:lang w:val="es-ES_tradnl"/>
        </w:rPr>
        <w:t xml:space="preserve">, </w:t>
      </w:r>
      <w:r w:rsidR="004F0663">
        <w:rPr>
          <w:lang w:val="es-ES_tradnl"/>
        </w:rPr>
        <w:t>de manera que los riesgos queden</w:t>
      </w:r>
      <w:r w:rsidR="000846B1" w:rsidRPr="000370FC">
        <w:rPr>
          <w:lang w:val="es-ES_tradnl"/>
        </w:rPr>
        <w:t xml:space="preserve"> </w:t>
      </w:r>
      <w:r w:rsidR="004F0663">
        <w:rPr>
          <w:lang w:val="es-ES_tradnl"/>
        </w:rPr>
        <w:t xml:space="preserve">esparcidos </w:t>
      </w:r>
      <w:r w:rsidR="005778B0" w:rsidRPr="000370FC">
        <w:rPr>
          <w:lang w:val="es-ES_tradnl"/>
        </w:rPr>
        <w:t>en múltiples</w:t>
      </w:r>
      <w:r w:rsidR="00EC0846" w:rsidRPr="000370FC">
        <w:rPr>
          <w:lang w:val="es-ES_tradnl"/>
        </w:rPr>
        <w:t xml:space="preserve"> lugares.</w:t>
      </w:r>
    </w:p>
    <w:p w14:paraId="6B11AB4A" w14:textId="77777777" w:rsidR="005C4400" w:rsidRPr="000035F0" w:rsidRDefault="005C4400" w:rsidP="005C4400">
      <w:pPr>
        <w:rPr>
          <w:highlight w:val="yellow"/>
          <w:lang w:val="es-ES_tradnl"/>
        </w:rPr>
      </w:pPr>
    </w:p>
    <w:p w14:paraId="3CEBBBC1" w14:textId="2BC1E8F1" w:rsidR="0006509F" w:rsidRPr="0006509F" w:rsidRDefault="0006509F" w:rsidP="005C4400">
      <w:pPr>
        <w:pStyle w:val="ListParagraph"/>
        <w:numPr>
          <w:ilvl w:val="0"/>
          <w:numId w:val="35"/>
        </w:numPr>
        <w:ind w:left="0" w:firstLine="0"/>
        <w:jc w:val="both"/>
        <w:rPr>
          <w:lang w:val="es-ES_tradnl"/>
        </w:rPr>
      </w:pPr>
      <w:r w:rsidRPr="0006509F">
        <w:rPr>
          <w:lang w:val="es-ES_tradnl"/>
        </w:rPr>
        <w:t>Se solicita específicamente a las Partes</w:t>
      </w:r>
      <w:r>
        <w:rPr>
          <w:lang w:val="es-ES_tradnl"/>
        </w:rPr>
        <w:t xml:space="preserve"> explorar opciones para obtener y facilitar </w:t>
      </w:r>
      <w:r w:rsidR="00D255BB">
        <w:rPr>
          <w:lang w:val="es-ES_tradnl"/>
        </w:rPr>
        <w:t>información sin</w:t>
      </w:r>
      <w:r>
        <w:rPr>
          <w:lang w:val="es-ES_tradnl"/>
        </w:rPr>
        <w:t xml:space="preserve">tetizada </w:t>
      </w:r>
      <w:r w:rsidR="00D255BB">
        <w:rPr>
          <w:lang w:val="es-ES_tradnl"/>
        </w:rPr>
        <w:t>a nivel global sobre las necesidades espa</w:t>
      </w:r>
      <w:r>
        <w:rPr>
          <w:lang w:val="es-ES_tradnl"/>
        </w:rPr>
        <w:t>ciales de las especies migrato</w:t>
      </w:r>
      <w:r w:rsidR="00D255BB">
        <w:rPr>
          <w:lang w:val="es-ES_tradnl"/>
        </w:rPr>
        <w:t xml:space="preserve">rias a la hora de </w:t>
      </w:r>
      <w:r w:rsidR="00797C60">
        <w:rPr>
          <w:lang w:val="es-ES_tradnl"/>
        </w:rPr>
        <w:t xml:space="preserve">estudiar </w:t>
      </w:r>
      <w:r w:rsidR="00D255BB">
        <w:rPr>
          <w:lang w:val="es-ES_tradnl"/>
        </w:rPr>
        <w:t>los ciclos b</w:t>
      </w:r>
      <w:r>
        <w:rPr>
          <w:lang w:val="es-ES_tradnl"/>
        </w:rPr>
        <w:t xml:space="preserve">iológicos y </w:t>
      </w:r>
      <w:r w:rsidR="00797C60">
        <w:rPr>
          <w:lang w:val="es-ES_tradnl"/>
        </w:rPr>
        <w:t>las áreas de distribución migratoria</w:t>
      </w:r>
      <w:r>
        <w:rPr>
          <w:lang w:val="es-ES_tradnl"/>
        </w:rPr>
        <w:t xml:space="preserve"> de esas especies como parte de la consideración de las redes ecológicas (</w:t>
      </w:r>
      <w:r w:rsidR="002B13FF">
        <w:rPr>
          <w:lang w:val="es-ES_tradnl"/>
        </w:rPr>
        <w:t xml:space="preserve">acciones definidas en la </w:t>
      </w:r>
      <w:hyperlink r:id="rId16" w:history="1">
        <w:r w:rsidR="002B13FF" w:rsidRPr="00510385">
          <w:rPr>
            <w:rStyle w:val="Hyperlink"/>
            <w:lang w:val="es-ES_tradnl"/>
          </w:rPr>
          <w:t>Resolución 10.3</w:t>
        </w:r>
      </w:hyperlink>
      <w:r w:rsidR="002B13FF">
        <w:rPr>
          <w:lang w:val="es-ES_tradnl"/>
        </w:rPr>
        <w:t>, párrafo 7 y 9 (i)).</w:t>
      </w:r>
    </w:p>
    <w:p w14:paraId="33EC0342" w14:textId="77777777" w:rsidR="005C4400" w:rsidRPr="00EE7D8A" w:rsidRDefault="005C4400" w:rsidP="005C4400">
      <w:pPr>
        <w:rPr>
          <w:lang w:val="es-ES_tradnl"/>
        </w:rPr>
      </w:pPr>
    </w:p>
    <w:p w14:paraId="56D1A024" w14:textId="5FABC4FA" w:rsidR="009D3F79" w:rsidRPr="00EE7D8A" w:rsidRDefault="009D3F79" w:rsidP="005C4400">
      <w:pPr>
        <w:pStyle w:val="ListParagraph"/>
        <w:numPr>
          <w:ilvl w:val="0"/>
          <w:numId w:val="35"/>
        </w:numPr>
        <w:ind w:left="0" w:firstLine="0"/>
        <w:jc w:val="both"/>
        <w:rPr>
          <w:lang w:val="es-ES_tradnl"/>
        </w:rPr>
      </w:pPr>
      <w:r w:rsidRPr="00EE7D8A">
        <w:rPr>
          <w:lang w:val="es-ES_tradnl"/>
        </w:rPr>
        <w:t>En el contexto del Plan Estratégico para la</w:t>
      </w:r>
      <w:r w:rsidR="00D01FD5">
        <w:rPr>
          <w:lang w:val="es-ES_tradnl"/>
        </w:rPr>
        <w:t>s Especies Migratorias 2015-2023</w:t>
      </w:r>
      <w:r w:rsidRPr="00EE7D8A">
        <w:rPr>
          <w:lang w:val="es-ES_tradnl"/>
        </w:rPr>
        <w:t>, la CMS</w:t>
      </w:r>
      <w:r w:rsidR="00B107A6" w:rsidRPr="00EE7D8A">
        <w:rPr>
          <w:lang w:val="es-ES_tradnl"/>
        </w:rPr>
        <w:t xml:space="preserve"> también </w:t>
      </w:r>
      <w:r w:rsidR="00E66788">
        <w:rPr>
          <w:lang w:val="es-ES_tradnl"/>
        </w:rPr>
        <w:t>ha tenido como objetivo</w:t>
      </w:r>
      <w:r w:rsidR="00B107A6" w:rsidRPr="00EE7D8A">
        <w:rPr>
          <w:lang w:val="es-ES_tradnl"/>
        </w:rPr>
        <w:t xml:space="preserve"> investigar el </w:t>
      </w:r>
      <w:r w:rsidR="003F7274">
        <w:rPr>
          <w:lang w:val="es-ES_tradnl"/>
        </w:rPr>
        <w:t>alcance</w:t>
      </w:r>
      <w:r w:rsidR="00B107A6" w:rsidRPr="00EE7D8A">
        <w:rPr>
          <w:lang w:val="es-ES_tradnl"/>
        </w:rPr>
        <w:t xml:space="preserve"> de los indicadores empleados </w:t>
      </w:r>
      <w:r w:rsidR="003F7274">
        <w:rPr>
          <w:lang w:val="es-ES_tradnl"/>
        </w:rPr>
        <w:t>en</w:t>
      </w:r>
      <w:r w:rsidR="00B107A6" w:rsidRPr="00EE7D8A">
        <w:rPr>
          <w:lang w:val="es-ES_tradnl"/>
        </w:rPr>
        <w:t xml:space="preserve"> las medidas de conservación basadas en </w:t>
      </w:r>
      <w:r w:rsidR="003F7274">
        <w:rPr>
          <w:lang w:val="es-ES_tradnl"/>
        </w:rPr>
        <w:t>el área</w:t>
      </w:r>
      <w:r w:rsidR="00B107A6" w:rsidRPr="00EE7D8A">
        <w:rPr>
          <w:lang w:val="es-ES_tradnl"/>
        </w:rPr>
        <w:t xml:space="preserve"> para las especies migratorias (meta 10) </w:t>
      </w:r>
      <w:r w:rsidR="003F7274">
        <w:rPr>
          <w:lang w:val="es-ES_tradnl"/>
        </w:rPr>
        <w:t>con el fin de</w:t>
      </w:r>
      <w:r w:rsidR="00B107A6" w:rsidRPr="00EE7D8A">
        <w:rPr>
          <w:lang w:val="es-ES_tradnl"/>
        </w:rPr>
        <w:t xml:space="preserve"> aclarar específicamente los aspectos relacionados con las redes como por ejemplo la representatividad y la conectividad.</w:t>
      </w:r>
    </w:p>
    <w:p w14:paraId="12ABBFF8" w14:textId="77777777" w:rsidR="005C4400" w:rsidRPr="000035F0" w:rsidRDefault="005C4400" w:rsidP="005C4400">
      <w:pPr>
        <w:rPr>
          <w:highlight w:val="yellow"/>
          <w:lang w:val="es-ES_tradnl"/>
        </w:rPr>
      </w:pPr>
    </w:p>
    <w:p w14:paraId="58CFC146" w14:textId="71B91D4D" w:rsidR="002B46DA" w:rsidRPr="002B46DA" w:rsidRDefault="000C4F91" w:rsidP="005C4400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Recomendaciones del GTMA</w:t>
      </w:r>
    </w:p>
    <w:p w14:paraId="5CA73603" w14:textId="77777777" w:rsidR="005C4400" w:rsidRPr="000035F0" w:rsidRDefault="005C4400" w:rsidP="005C4400">
      <w:pPr>
        <w:jc w:val="both"/>
        <w:rPr>
          <w:highlight w:val="yellow"/>
          <w:lang w:val="es-ES_tradnl"/>
        </w:rPr>
      </w:pPr>
    </w:p>
    <w:p w14:paraId="228AF21A" w14:textId="2F48D660" w:rsidR="005C6861" w:rsidRPr="005C6861" w:rsidRDefault="000C4F91" w:rsidP="005C4400">
      <w:pPr>
        <w:pStyle w:val="ListParagraph"/>
        <w:numPr>
          <w:ilvl w:val="0"/>
          <w:numId w:val="35"/>
        </w:numPr>
        <w:ind w:left="0" w:firstLine="0"/>
        <w:jc w:val="both"/>
        <w:rPr>
          <w:lang w:val="es-ES_tradnl"/>
        </w:rPr>
      </w:pPr>
      <w:r>
        <w:rPr>
          <w:lang w:val="es-ES_tradnl"/>
        </w:rPr>
        <w:t>El GTMA</w:t>
      </w:r>
      <w:r w:rsidR="005C6861" w:rsidRPr="005C6861">
        <w:rPr>
          <w:lang w:val="es-ES_tradnl"/>
        </w:rPr>
        <w:t xml:space="preserve"> recomienda que las Partes de la CMS:</w:t>
      </w:r>
    </w:p>
    <w:p w14:paraId="66296A79" w14:textId="77777777" w:rsidR="001B60A5" w:rsidRPr="000035F0" w:rsidRDefault="001B60A5" w:rsidP="001B60A5">
      <w:pPr>
        <w:pStyle w:val="ListParagraph"/>
        <w:ind w:left="0"/>
        <w:jc w:val="both"/>
        <w:rPr>
          <w:highlight w:val="yellow"/>
          <w:lang w:val="es-ES_tradnl"/>
        </w:rPr>
      </w:pPr>
    </w:p>
    <w:p w14:paraId="2F2EE586" w14:textId="036B8FAF" w:rsidR="00814C19" w:rsidRPr="00814C19" w:rsidRDefault="00814C19" w:rsidP="005C4400">
      <w:pPr>
        <w:pStyle w:val="ListParagraph"/>
        <w:numPr>
          <w:ilvl w:val="0"/>
          <w:numId w:val="36"/>
        </w:numPr>
        <w:jc w:val="both"/>
        <w:rPr>
          <w:lang w:val="es-ES_tradnl"/>
        </w:rPr>
      </w:pPr>
      <w:r w:rsidRPr="00814C19">
        <w:rPr>
          <w:lang w:val="es-ES_tradnl"/>
        </w:rPr>
        <w:t xml:space="preserve">adopten </w:t>
      </w:r>
      <w:r>
        <w:rPr>
          <w:lang w:val="es-ES_tradnl"/>
        </w:rPr>
        <w:t xml:space="preserve">los criterios de las AIMM, una vez estos hayan sido finalizados por el </w:t>
      </w:r>
      <w:r w:rsidR="00205891">
        <w:rPr>
          <w:lang w:val="es-ES_tradnl"/>
        </w:rPr>
        <w:t xml:space="preserve">Grupo de Trabajo conjunto de la UICN CSE/CMAP sobre áreas protegidas para los mamíferos marinos, </w:t>
      </w:r>
      <w:r w:rsidR="00EE1639">
        <w:rPr>
          <w:lang w:val="es-ES_tradnl"/>
        </w:rPr>
        <w:t>e integr</w:t>
      </w:r>
      <w:r w:rsidR="00AF1EB0">
        <w:rPr>
          <w:lang w:val="es-ES_tradnl"/>
        </w:rPr>
        <w:t>en</w:t>
      </w:r>
      <w:r w:rsidR="00EE1639">
        <w:rPr>
          <w:lang w:val="es-ES_tradnl"/>
        </w:rPr>
        <w:t xml:space="preserve"> los criterios directamente </w:t>
      </w:r>
      <w:r w:rsidR="00272B1E">
        <w:rPr>
          <w:lang w:val="es-ES_tradnl"/>
        </w:rPr>
        <w:t>al</w:t>
      </w:r>
      <w:r w:rsidR="00EE1639">
        <w:rPr>
          <w:lang w:val="es-ES_tradnl"/>
        </w:rPr>
        <w:t xml:space="preserve"> Programa de Trab</w:t>
      </w:r>
      <w:r w:rsidR="00272B1E">
        <w:rPr>
          <w:lang w:val="es-ES_tradnl"/>
        </w:rPr>
        <w:t>ajo para las Redes Ecológicas; e</w:t>
      </w:r>
    </w:p>
    <w:p w14:paraId="72406111" w14:textId="77777777" w:rsidR="001B60A5" w:rsidRPr="000035F0" w:rsidRDefault="001B60A5" w:rsidP="001B60A5">
      <w:pPr>
        <w:pStyle w:val="ListParagraph"/>
        <w:jc w:val="both"/>
        <w:rPr>
          <w:highlight w:val="yellow"/>
          <w:lang w:val="es-ES_tradnl"/>
        </w:rPr>
      </w:pPr>
    </w:p>
    <w:p w14:paraId="57DAF532" w14:textId="0A71A8BA" w:rsidR="007147AA" w:rsidRPr="0012788A" w:rsidRDefault="00272B1E" w:rsidP="005C4400">
      <w:pPr>
        <w:pStyle w:val="ListParagraph"/>
        <w:numPr>
          <w:ilvl w:val="0"/>
          <w:numId w:val="36"/>
        </w:numPr>
        <w:jc w:val="both"/>
        <w:rPr>
          <w:lang w:val="es-ES_tradnl"/>
        </w:rPr>
      </w:pPr>
      <w:r>
        <w:rPr>
          <w:lang w:val="es-ES_tradnl"/>
        </w:rPr>
        <w:t>identifiquen</w:t>
      </w:r>
      <w:r w:rsidR="00EE1639" w:rsidRPr="00EE1639">
        <w:rPr>
          <w:lang w:val="es-ES_tradnl"/>
        </w:rPr>
        <w:t xml:space="preserve"> áreas específicas</w:t>
      </w:r>
      <w:r w:rsidR="00440BE0">
        <w:rPr>
          <w:lang w:val="es-ES_tradnl"/>
        </w:rPr>
        <w:t xml:space="preserve"> </w:t>
      </w:r>
      <w:r w:rsidR="007763FD">
        <w:rPr>
          <w:lang w:val="es-ES_tradnl"/>
        </w:rPr>
        <w:t xml:space="preserve">donde </w:t>
      </w:r>
      <w:r w:rsidR="00440BE0">
        <w:rPr>
          <w:lang w:val="es-ES_tradnl"/>
        </w:rPr>
        <w:t>los criterios de las AIMM puedan ser especialmente beneficiosos (po</w:t>
      </w:r>
      <w:r w:rsidR="00A75AB6">
        <w:rPr>
          <w:lang w:val="es-ES_tradnl"/>
        </w:rPr>
        <w:t>r ejemplo estimulando el diseño</w:t>
      </w:r>
      <w:r w:rsidR="00440BE0">
        <w:rPr>
          <w:lang w:val="es-ES_tradnl"/>
        </w:rPr>
        <w:t xml:space="preserve"> y la conectividad de redes, aborda</w:t>
      </w:r>
      <w:r w:rsidR="00A75AB6">
        <w:rPr>
          <w:lang w:val="es-ES_tradnl"/>
        </w:rPr>
        <w:t>ndo las</w:t>
      </w:r>
      <w:r w:rsidR="00440BE0">
        <w:rPr>
          <w:lang w:val="es-ES_tradnl"/>
        </w:rPr>
        <w:t xml:space="preserve"> amenazas de ma</w:t>
      </w:r>
      <w:r w:rsidR="00E30C26">
        <w:rPr>
          <w:lang w:val="es-ES_tradnl"/>
        </w:rPr>
        <w:t>nera mas exhaustiva) y soliciten</w:t>
      </w:r>
      <w:r w:rsidR="00440BE0">
        <w:rPr>
          <w:lang w:val="es-ES_tradnl"/>
        </w:rPr>
        <w:t xml:space="preserve"> el apoyo del </w:t>
      </w:r>
      <w:r w:rsidR="00E30C26">
        <w:rPr>
          <w:lang w:val="es-ES_tradnl"/>
        </w:rPr>
        <w:t xml:space="preserve">Grupo de Trabajo conjunto de la UICN CSE/CMAP sobre áreas protegidas para los mamíferos marinos con el fin de </w:t>
      </w:r>
      <w:r w:rsidR="009036D4">
        <w:rPr>
          <w:lang w:val="es-ES_tradnl"/>
        </w:rPr>
        <w:t>realizar progresos en</w:t>
      </w:r>
      <w:r w:rsidR="00440BE0">
        <w:rPr>
          <w:lang w:val="es-ES_tradnl"/>
        </w:rPr>
        <w:t xml:space="preserve"> estas estrategias.</w:t>
      </w:r>
    </w:p>
    <w:p w14:paraId="05FD50D7" w14:textId="77777777" w:rsidR="00035B1D" w:rsidRPr="000035F0" w:rsidRDefault="00035B1D" w:rsidP="00CE651E">
      <w:pPr>
        <w:jc w:val="both"/>
        <w:rPr>
          <w:highlight w:val="yellow"/>
          <w:lang w:val="es-ES_tradnl"/>
        </w:rPr>
      </w:pPr>
    </w:p>
    <w:p w14:paraId="483B67A4" w14:textId="77777777" w:rsidR="00DC58F0" w:rsidRDefault="00DC58F0" w:rsidP="00CE651E">
      <w:pPr>
        <w:jc w:val="both"/>
        <w:rPr>
          <w:b/>
          <w:bCs/>
          <w:i/>
          <w:lang w:val="es-ES_tradnl"/>
        </w:rPr>
      </w:pPr>
    </w:p>
    <w:p w14:paraId="2D321E91" w14:textId="0CC5F85C" w:rsidR="00C95B95" w:rsidRPr="00C95B95" w:rsidRDefault="00C95B95" w:rsidP="00CE651E">
      <w:pPr>
        <w:jc w:val="both"/>
        <w:rPr>
          <w:b/>
          <w:bCs/>
          <w:i/>
          <w:lang w:val="es-ES_tradnl"/>
        </w:rPr>
      </w:pPr>
      <w:r w:rsidRPr="00C95B95">
        <w:rPr>
          <w:b/>
          <w:bCs/>
          <w:i/>
          <w:lang w:val="es-ES_tradnl"/>
        </w:rPr>
        <w:t>Acción solicitada:</w:t>
      </w:r>
    </w:p>
    <w:p w14:paraId="0D391595" w14:textId="77777777" w:rsidR="00AC0A78" w:rsidRPr="000035F0" w:rsidRDefault="00AC0A78" w:rsidP="00CE651E">
      <w:pPr>
        <w:jc w:val="both"/>
        <w:rPr>
          <w:bCs/>
          <w:highlight w:val="yellow"/>
          <w:lang w:val="es-ES_tradnl"/>
        </w:rPr>
      </w:pPr>
    </w:p>
    <w:p w14:paraId="241FB775" w14:textId="6FCDBDA5" w:rsidR="00B158CB" w:rsidRPr="00B158CB" w:rsidRDefault="00B158CB" w:rsidP="00CE651E">
      <w:pPr>
        <w:pStyle w:val="ListParagraph"/>
        <w:numPr>
          <w:ilvl w:val="0"/>
          <w:numId w:val="37"/>
        </w:numPr>
        <w:jc w:val="both"/>
        <w:rPr>
          <w:bCs/>
          <w:lang w:val="es-ES_tradnl"/>
        </w:rPr>
      </w:pPr>
      <w:r w:rsidRPr="00B158CB">
        <w:rPr>
          <w:bCs/>
          <w:lang w:val="es-ES_tradnl"/>
        </w:rPr>
        <w:t>Tomar nota del informe</w:t>
      </w:r>
      <w:bookmarkStart w:id="0" w:name="_GoBack"/>
      <w:bookmarkEnd w:id="0"/>
    </w:p>
    <w:p w14:paraId="591DAC4B" w14:textId="77777777" w:rsidR="00E64D10" w:rsidRPr="00B158CB" w:rsidRDefault="00E64D10" w:rsidP="00CE651E">
      <w:pPr>
        <w:jc w:val="both"/>
        <w:rPr>
          <w:bCs/>
          <w:lang w:val="es-ES_tradnl"/>
        </w:rPr>
      </w:pPr>
    </w:p>
    <w:p w14:paraId="42F16158" w14:textId="738C8566" w:rsidR="00B158CB" w:rsidRPr="00B158CB" w:rsidRDefault="00B158CB" w:rsidP="00CE651E">
      <w:pPr>
        <w:pStyle w:val="ListParagraph"/>
        <w:numPr>
          <w:ilvl w:val="0"/>
          <w:numId w:val="37"/>
        </w:numPr>
        <w:jc w:val="both"/>
        <w:rPr>
          <w:bCs/>
          <w:lang w:val="es-ES_tradnl"/>
        </w:rPr>
      </w:pPr>
      <w:r w:rsidRPr="00B158CB">
        <w:rPr>
          <w:bCs/>
          <w:lang w:val="es-ES_tradnl"/>
        </w:rPr>
        <w:t xml:space="preserve">Responder a las recomendaciones </w:t>
      </w:r>
      <w:r w:rsidR="0012788A">
        <w:rPr>
          <w:bCs/>
          <w:lang w:val="es-ES_tradnl"/>
        </w:rPr>
        <w:t>formuladas</w:t>
      </w:r>
      <w:r w:rsidRPr="00B158CB">
        <w:rPr>
          <w:bCs/>
          <w:lang w:val="es-ES_tradnl"/>
        </w:rPr>
        <w:t xml:space="preserve"> por el Grupo de Trabajo de Mamíferos Acuáticos</w:t>
      </w:r>
    </w:p>
    <w:p w14:paraId="3B90B882" w14:textId="77777777" w:rsidR="00AC0A78" w:rsidRPr="008470F2" w:rsidRDefault="00AC0A78" w:rsidP="00A51349">
      <w:pPr>
        <w:rPr>
          <w:bCs/>
          <w:lang w:val="es-ES"/>
        </w:rPr>
      </w:pPr>
    </w:p>
    <w:sectPr w:rsidR="00AC0A78" w:rsidRPr="008470F2" w:rsidSect="00572F99">
      <w:headerReference w:type="even" r:id="rId17"/>
      <w:headerReference w:type="default" r:id="rId18"/>
      <w:headerReference w:type="first" r:id="rId19"/>
      <w:footerReference w:type="first" r:id="rId20"/>
      <w:pgSz w:w="11906" w:h="16838" w:code="9"/>
      <w:pgMar w:top="720" w:right="1411" w:bottom="1411" w:left="1411" w:header="56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B3641" w14:textId="77777777" w:rsidR="008F4321" w:rsidRDefault="008F4321">
      <w:r>
        <w:separator/>
      </w:r>
    </w:p>
  </w:endnote>
  <w:endnote w:type="continuationSeparator" w:id="0">
    <w:p w14:paraId="7DA72F6F" w14:textId="77777777" w:rsidR="008F4321" w:rsidRDefault="008F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49872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1953E374" w14:textId="77777777" w:rsidR="008F4321" w:rsidRPr="00E64D10" w:rsidRDefault="008F4321">
        <w:pPr>
          <w:pStyle w:val="Footer"/>
          <w:jc w:val="center"/>
          <w:rPr>
            <w:sz w:val="20"/>
          </w:rPr>
        </w:pPr>
        <w:r w:rsidRPr="00E64D10">
          <w:rPr>
            <w:sz w:val="20"/>
          </w:rPr>
          <w:fldChar w:fldCharType="begin"/>
        </w:r>
        <w:r w:rsidRPr="00E64D10">
          <w:rPr>
            <w:sz w:val="20"/>
          </w:rPr>
          <w:instrText xml:space="preserve"> PAGE   \* MERGEFORMAT </w:instrText>
        </w:r>
        <w:r w:rsidRPr="00E64D10">
          <w:rPr>
            <w:sz w:val="20"/>
          </w:rPr>
          <w:fldChar w:fldCharType="separate"/>
        </w:r>
        <w:r w:rsidR="008470F2">
          <w:rPr>
            <w:noProof/>
            <w:sz w:val="20"/>
          </w:rPr>
          <w:t>4</w:t>
        </w:r>
        <w:r w:rsidRPr="00E64D10">
          <w:rPr>
            <w:noProof/>
            <w:sz w:val="20"/>
          </w:rPr>
          <w:fldChar w:fldCharType="end"/>
        </w:r>
      </w:p>
    </w:sdtContent>
  </w:sdt>
  <w:p w14:paraId="4249A049" w14:textId="77777777" w:rsidR="008F4321" w:rsidRDefault="008F4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2F44" w14:textId="77777777" w:rsidR="008F4321" w:rsidRPr="00E64D10" w:rsidRDefault="008F4321" w:rsidP="006B672A">
    <w:pPr>
      <w:pStyle w:val="Footer"/>
      <w:tabs>
        <w:tab w:val="clear" w:pos="4320"/>
        <w:tab w:val="clear" w:pos="8640"/>
      </w:tabs>
      <w:jc w:val="center"/>
      <w:rPr>
        <w:sz w:val="20"/>
      </w:rPr>
    </w:pPr>
    <w:r w:rsidRPr="00E64D10">
      <w:rPr>
        <w:rStyle w:val="PageNumber"/>
        <w:sz w:val="20"/>
      </w:rPr>
      <w:fldChar w:fldCharType="begin"/>
    </w:r>
    <w:r w:rsidRPr="00E64D10">
      <w:rPr>
        <w:rStyle w:val="PageNumber"/>
        <w:sz w:val="20"/>
      </w:rPr>
      <w:instrText xml:space="preserve"> PAGE </w:instrText>
    </w:r>
    <w:r w:rsidRPr="00E64D10">
      <w:rPr>
        <w:rStyle w:val="PageNumber"/>
        <w:sz w:val="20"/>
      </w:rPr>
      <w:fldChar w:fldCharType="separate"/>
    </w:r>
    <w:r w:rsidR="008470F2">
      <w:rPr>
        <w:rStyle w:val="PageNumber"/>
        <w:noProof/>
        <w:sz w:val="20"/>
      </w:rPr>
      <w:t>3</w:t>
    </w:r>
    <w:r w:rsidRPr="00E64D10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99C1E" w14:textId="77777777" w:rsidR="008F4321" w:rsidRDefault="008F4321" w:rsidP="0098729C">
    <w:pPr>
      <w:pStyle w:val="Footer"/>
      <w:jc w:val="center"/>
      <w:rPr>
        <w:i/>
        <w:sz w:val="20"/>
      </w:rPr>
    </w:pPr>
  </w:p>
  <w:p w14:paraId="5B471B24" w14:textId="23F1C5AF" w:rsidR="008F4321" w:rsidRPr="008F4321" w:rsidRDefault="008F4321" w:rsidP="0098729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sz w:val="20"/>
        <w:lang w:val="es-ES_tradnl"/>
      </w:rPr>
    </w:pPr>
    <w:r w:rsidRPr="008F4321">
      <w:rPr>
        <w:i/>
        <w:sz w:val="20"/>
        <w:lang w:val="es-ES_tradnl"/>
      </w:rPr>
      <w:t xml:space="preserve">Por razones de economía este </w:t>
    </w:r>
    <w:r>
      <w:rPr>
        <w:i/>
        <w:sz w:val="20"/>
        <w:lang w:val="es-ES_tradnl"/>
      </w:rPr>
      <w:t>documento</w:t>
    </w:r>
    <w:r w:rsidRPr="008F4321">
      <w:rPr>
        <w:i/>
        <w:sz w:val="20"/>
        <w:lang w:val="es-ES_tradnl"/>
      </w:rPr>
      <w:t xml:space="preserve"> se ha imprimido en tiraje limitado, y no </w:t>
    </w:r>
    <w:r>
      <w:rPr>
        <w:i/>
        <w:sz w:val="20"/>
        <w:lang w:val="es-ES_tradnl"/>
      </w:rPr>
      <w:t>será</w:t>
    </w:r>
    <w:r w:rsidRPr="008F4321">
      <w:rPr>
        <w:i/>
        <w:sz w:val="20"/>
        <w:lang w:val="es-ES_tradnl"/>
      </w:rPr>
      <w:t xml:space="preserve"> distribuido en la </w:t>
    </w:r>
    <w:r>
      <w:rPr>
        <w:i/>
        <w:sz w:val="20"/>
        <w:lang w:val="es-ES_tradnl"/>
      </w:rPr>
      <w:t>reu</w:t>
    </w:r>
    <w:r w:rsidRPr="008F4321">
      <w:rPr>
        <w:i/>
        <w:sz w:val="20"/>
        <w:lang w:val="es-ES_tradnl"/>
      </w:rPr>
      <w:t>n</w:t>
    </w:r>
    <w:r>
      <w:rPr>
        <w:i/>
        <w:sz w:val="20"/>
        <w:lang w:val="es-ES_tradnl"/>
      </w:rPr>
      <w:t>ión</w:t>
    </w:r>
    <w:r w:rsidRPr="008F4321">
      <w:rPr>
        <w:i/>
        <w:sz w:val="20"/>
        <w:lang w:val="es-ES_tradnl"/>
      </w:rPr>
      <w:t>.</w:t>
    </w:r>
  </w:p>
  <w:p w14:paraId="51E911D0" w14:textId="5E79486F" w:rsidR="008F4321" w:rsidRPr="008F4321" w:rsidRDefault="003972AA" w:rsidP="0098729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sz w:val="20"/>
        <w:lang w:val="es-ES_tradnl"/>
      </w:rPr>
    </w:pPr>
    <w:r>
      <w:rPr>
        <w:i/>
        <w:sz w:val="20"/>
        <w:lang w:val="es-ES_tradnl"/>
      </w:rPr>
      <w:t>Se ruega a los delegados traer sus copias a la reunión y no solicitar copias adicionales.</w:t>
    </w:r>
  </w:p>
  <w:p w14:paraId="755D3B51" w14:textId="77777777" w:rsidR="008F4321" w:rsidRPr="008470F2" w:rsidRDefault="008F4321">
    <w:pPr>
      <w:pStyle w:val="Footer"/>
      <w:jc w:val="center"/>
      <w:rPr>
        <w:lang w:val="es-ES"/>
      </w:rPr>
    </w:pPr>
  </w:p>
  <w:p w14:paraId="14B97BB4" w14:textId="77777777" w:rsidR="008F4321" w:rsidRPr="008470F2" w:rsidRDefault="008F4321">
    <w:pPr>
      <w:pStyle w:val="Footer"/>
      <w:rPr>
        <w:lang w:val="es-E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28D8A" w14:textId="77777777" w:rsidR="008F4321" w:rsidRPr="00572F99" w:rsidRDefault="008F4321">
    <w:pPr>
      <w:pStyle w:val="Footer"/>
      <w:jc w:val="center"/>
      <w:rPr>
        <w:sz w:val="20"/>
      </w:rPr>
    </w:pPr>
    <w:r w:rsidRPr="00572F99">
      <w:rPr>
        <w:sz w:val="20"/>
      </w:rPr>
      <w:fldChar w:fldCharType="begin"/>
    </w:r>
    <w:r w:rsidRPr="00572F99">
      <w:rPr>
        <w:sz w:val="20"/>
      </w:rPr>
      <w:instrText xml:space="preserve"> PAGE   \* MERGEFORMAT </w:instrText>
    </w:r>
    <w:r w:rsidRPr="00572F99">
      <w:rPr>
        <w:sz w:val="20"/>
      </w:rPr>
      <w:fldChar w:fldCharType="separate"/>
    </w:r>
    <w:r w:rsidR="008470F2">
      <w:rPr>
        <w:noProof/>
        <w:sz w:val="20"/>
      </w:rPr>
      <w:t>2</w:t>
    </w:r>
    <w:r w:rsidRPr="00572F99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05259" w14:textId="77777777" w:rsidR="008F4321" w:rsidRDefault="008F4321">
      <w:r>
        <w:separator/>
      </w:r>
    </w:p>
  </w:footnote>
  <w:footnote w:type="continuationSeparator" w:id="0">
    <w:p w14:paraId="137ED3EA" w14:textId="77777777" w:rsidR="008F4321" w:rsidRDefault="008F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7516A" w14:textId="77777777" w:rsidR="008F4321" w:rsidRDefault="008F4321">
    <w:pPr>
      <w:tabs>
        <w:tab w:val="left" w:pos="-720"/>
        <w:tab w:val="left" w:pos="310"/>
        <w:tab w:val="left" w:pos="835"/>
      </w:tabs>
      <w:spacing w:line="154" w:lineRule="auto"/>
      <w:jc w:val="both"/>
      <w:rPr>
        <w:kern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7920"/>
      <w:gridCol w:w="1260"/>
    </w:tblGrid>
    <w:tr w:rsidR="008F4321" w:rsidRPr="00386CD5" w14:paraId="0B72E866" w14:textId="77777777" w:rsidTr="005820D4">
      <w:trPr>
        <w:jc w:val="center"/>
      </w:trPr>
      <w:tc>
        <w:tcPr>
          <w:tcW w:w="1080" w:type="dxa"/>
          <w:tcBorders>
            <w:top w:val="nil"/>
            <w:left w:val="nil"/>
            <w:bottom w:val="nil"/>
            <w:right w:val="nil"/>
          </w:tcBorders>
        </w:tcPr>
        <w:p w14:paraId="0BC3B900" w14:textId="77777777" w:rsidR="008F4321" w:rsidRPr="00386CD5" w:rsidRDefault="008F4321" w:rsidP="00750AC4">
          <w:r w:rsidRPr="00386CD5">
            <w:rPr>
              <w:noProof/>
              <w:lang w:val="en-US"/>
            </w:rPr>
            <w:drawing>
              <wp:inline distT="0" distB="0" distL="0" distR="0" wp14:anchorId="3485D7C4" wp14:editId="0DB346B5">
                <wp:extent cx="584200" cy="804545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Borders>
            <w:top w:val="nil"/>
            <w:left w:val="nil"/>
            <w:bottom w:val="nil"/>
            <w:right w:val="nil"/>
          </w:tcBorders>
        </w:tcPr>
        <w:p w14:paraId="6E9CEE51" w14:textId="77777777" w:rsidR="008F4321" w:rsidRPr="00386CD5" w:rsidRDefault="008F4321" w:rsidP="00750AC4">
          <w:pPr>
            <w:spacing w:line="220" w:lineRule="atLeast"/>
            <w:jc w:val="center"/>
            <w:rPr>
              <w:b/>
              <w:bCs/>
              <w:snapToGrid w:val="0"/>
              <w:spacing w:val="20"/>
              <w:position w:val="6"/>
              <w:sz w:val="43"/>
              <w:szCs w:val="20"/>
              <w:lang w:val="es-ES"/>
            </w:rPr>
          </w:pPr>
          <w:r w:rsidRPr="00386CD5">
            <w:rPr>
              <w:b/>
              <w:bCs/>
              <w:snapToGrid w:val="0"/>
              <w:spacing w:val="6"/>
              <w:sz w:val="42"/>
              <w:szCs w:val="40"/>
              <w:lang w:val="es-ES"/>
            </w:rPr>
            <w:t xml:space="preserve"> Convención sobre la conservación de las</w:t>
          </w:r>
        </w:p>
        <w:p w14:paraId="156F97E8" w14:textId="77777777" w:rsidR="008F4321" w:rsidRPr="00386CD5" w:rsidRDefault="008F4321" w:rsidP="00750AC4">
          <w:pPr>
            <w:spacing w:line="220" w:lineRule="atLeast"/>
            <w:jc w:val="center"/>
            <w:rPr>
              <w:b/>
              <w:bCs/>
              <w:snapToGrid w:val="0"/>
              <w:spacing w:val="20"/>
              <w:sz w:val="44"/>
              <w:szCs w:val="20"/>
              <w:lang w:val="es-ES"/>
            </w:rPr>
          </w:pPr>
          <w:r w:rsidRPr="00386CD5">
            <w:rPr>
              <w:b/>
              <w:bCs/>
              <w:snapToGrid w:val="0"/>
              <w:spacing w:val="-2"/>
              <w:sz w:val="42"/>
              <w:szCs w:val="40"/>
              <w:lang w:val="es-ES"/>
            </w:rPr>
            <w:t xml:space="preserve"> especies migratorias de animales silvestres</w:t>
          </w:r>
        </w:p>
        <w:p w14:paraId="75236A22" w14:textId="77777777" w:rsidR="008F4321" w:rsidRPr="00386CD5" w:rsidRDefault="008F4321" w:rsidP="00750AC4">
          <w:pPr>
            <w:jc w:val="center"/>
            <w:rPr>
              <w:b/>
              <w:bCs/>
              <w:snapToGrid w:val="0"/>
              <w:spacing w:val="20"/>
              <w:sz w:val="8"/>
              <w:szCs w:val="20"/>
              <w:lang w:val="es-ES"/>
            </w:rPr>
          </w:pPr>
        </w:p>
        <w:p w14:paraId="6AAB85CC" w14:textId="77777777" w:rsidR="008F4321" w:rsidRPr="00386CD5" w:rsidRDefault="008F4321" w:rsidP="00750AC4">
          <w:pPr>
            <w:jc w:val="both"/>
            <w:rPr>
              <w:spacing w:val="2"/>
              <w:sz w:val="20"/>
              <w:lang w:val="es-ES"/>
            </w:rPr>
          </w:pPr>
          <w:r w:rsidRPr="00386CD5">
            <w:rPr>
              <w:i/>
              <w:iCs/>
              <w:snapToGrid w:val="0"/>
              <w:spacing w:val="2"/>
              <w:kern w:val="2"/>
              <w:sz w:val="20"/>
              <w:lang w:val="es-ES"/>
            </w:rPr>
            <w:t xml:space="preserve">    Secretaría administrada por el Programa de las Naciones Unidas para el Medio Ambiente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14:paraId="5138CF3B" w14:textId="00039E49" w:rsidR="008F4321" w:rsidRPr="00386CD5" w:rsidRDefault="008470F2" w:rsidP="00750AC4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5DC122A" wp14:editId="06B19F38">
                <wp:extent cx="624205" cy="763905"/>
                <wp:effectExtent l="0" t="0" r="4445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4A3BFD" w14:textId="77777777" w:rsidR="008F4321" w:rsidRPr="00C95499" w:rsidRDefault="008F4321" w:rsidP="00C954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0D79C" w14:textId="6E560617" w:rsidR="008F4321" w:rsidRPr="00172423" w:rsidRDefault="008470F2" w:rsidP="00E64D10">
    <w:pPr>
      <w:pBdr>
        <w:bottom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UNEP</w:t>
    </w:r>
    <w:r w:rsidR="008F4321" w:rsidRPr="00172423">
      <w:rPr>
        <w:i/>
        <w:sz w:val="20"/>
        <w:szCs w:val="20"/>
      </w:rPr>
      <w:t>/CMS/ScC-SC1/Doc.</w:t>
    </w:r>
    <w:r w:rsidR="008F4321">
      <w:rPr>
        <w:i/>
        <w:sz w:val="20"/>
        <w:szCs w:val="20"/>
      </w:rPr>
      <w:t>10.4.2.1</w:t>
    </w:r>
  </w:p>
  <w:p w14:paraId="1C1C6C97" w14:textId="77777777" w:rsidR="008F4321" w:rsidRDefault="008F432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9CE0D" w14:textId="5498B1E2" w:rsidR="008F4321" w:rsidRPr="00172423" w:rsidRDefault="008470F2" w:rsidP="00E64D10">
    <w:pPr>
      <w:pBdr>
        <w:bottom w:val="single" w:sz="4" w:space="1" w:color="auto"/>
      </w:pBdr>
      <w:jc w:val="right"/>
      <w:rPr>
        <w:i/>
        <w:sz w:val="20"/>
        <w:szCs w:val="20"/>
      </w:rPr>
    </w:pPr>
    <w:r>
      <w:rPr>
        <w:i/>
        <w:sz w:val="20"/>
        <w:szCs w:val="20"/>
      </w:rPr>
      <w:t>UNEP</w:t>
    </w:r>
    <w:r w:rsidR="008F4321" w:rsidRPr="00172423">
      <w:rPr>
        <w:i/>
        <w:sz w:val="20"/>
        <w:szCs w:val="20"/>
      </w:rPr>
      <w:t>/CMS/ScC-SC1/Doc.</w:t>
    </w:r>
    <w:r w:rsidR="008F4321">
      <w:rPr>
        <w:i/>
        <w:sz w:val="20"/>
        <w:szCs w:val="20"/>
      </w:rPr>
      <w:t>10.4.2.1</w:t>
    </w:r>
  </w:p>
  <w:p w14:paraId="1C52BD9D" w14:textId="77777777" w:rsidR="008F4321" w:rsidRDefault="008F4321">
    <w:pPr>
      <w:tabs>
        <w:tab w:val="left" w:pos="-720"/>
        <w:tab w:val="left" w:pos="310"/>
        <w:tab w:val="left" w:pos="835"/>
      </w:tabs>
      <w:spacing w:line="154" w:lineRule="auto"/>
      <w:jc w:val="both"/>
      <w:rPr>
        <w:kern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D278" w14:textId="378582A9" w:rsidR="008F4321" w:rsidRPr="00172423" w:rsidRDefault="008470F2" w:rsidP="00572F99">
    <w:pPr>
      <w:pBdr>
        <w:bottom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UNEP</w:t>
    </w:r>
    <w:r w:rsidR="008F4321" w:rsidRPr="00172423">
      <w:rPr>
        <w:i/>
        <w:sz w:val="20"/>
        <w:szCs w:val="20"/>
      </w:rPr>
      <w:t>/CMS/ScC-SC1/Doc.</w:t>
    </w:r>
    <w:r w:rsidR="008F4321">
      <w:rPr>
        <w:i/>
        <w:sz w:val="20"/>
        <w:szCs w:val="20"/>
      </w:rPr>
      <w:t>10.4.2.1</w:t>
    </w:r>
  </w:p>
  <w:p w14:paraId="5618019C" w14:textId="77777777" w:rsidR="008F4321" w:rsidRPr="00C95499" w:rsidRDefault="008F4321" w:rsidP="00C95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2DE"/>
    <w:multiLevelType w:val="hybridMultilevel"/>
    <w:tmpl w:val="96B89B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F0B"/>
    <w:multiLevelType w:val="hybridMultilevel"/>
    <w:tmpl w:val="00620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F3682"/>
    <w:multiLevelType w:val="hybridMultilevel"/>
    <w:tmpl w:val="9B188272"/>
    <w:lvl w:ilvl="0" w:tplc="F546013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35457"/>
    <w:multiLevelType w:val="multilevel"/>
    <w:tmpl w:val="8D92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ar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FB0B78"/>
    <w:multiLevelType w:val="hybridMultilevel"/>
    <w:tmpl w:val="74BE390E"/>
    <w:lvl w:ilvl="0" w:tplc="C08413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72FDF"/>
    <w:multiLevelType w:val="hybridMultilevel"/>
    <w:tmpl w:val="79D2E854"/>
    <w:lvl w:ilvl="0" w:tplc="7A0695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53D8F"/>
    <w:multiLevelType w:val="hybridMultilevel"/>
    <w:tmpl w:val="627A78A0"/>
    <w:lvl w:ilvl="0" w:tplc="B2C8147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3D34"/>
    <w:multiLevelType w:val="hybridMultilevel"/>
    <w:tmpl w:val="FFEA7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2934"/>
    <w:multiLevelType w:val="hybridMultilevel"/>
    <w:tmpl w:val="CFB4C7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30CA"/>
    <w:multiLevelType w:val="hybridMultilevel"/>
    <w:tmpl w:val="0026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50DA5"/>
    <w:multiLevelType w:val="hybridMultilevel"/>
    <w:tmpl w:val="3820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4EF7"/>
    <w:multiLevelType w:val="hybridMultilevel"/>
    <w:tmpl w:val="527245B0"/>
    <w:lvl w:ilvl="0" w:tplc="E7B49E3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25100"/>
    <w:multiLevelType w:val="hybridMultilevel"/>
    <w:tmpl w:val="5252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931D0"/>
    <w:multiLevelType w:val="hybridMultilevel"/>
    <w:tmpl w:val="4C6419BC"/>
    <w:lvl w:ilvl="0" w:tplc="C3F2A660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D0562"/>
    <w:multiLevelType w:val="hybridMultilevel"/>
    <w:tmpl w:val="17569E34"/>
    <w:lvl w:ilvl="0" w:tplc="77880B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24E4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E55C1B"/>
    <w:multiLevelType w:val="hybridMultilevel"/>
    <w:tmpl w:val="640EF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B51A8F"/>
    <w:multiLevelType w:val="multilevel"/>
    <w:tmpl w:val="3C7CAE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6520D"/>
    <w:multiLevelType w:val="hybridMultilevel"/>
    <w:tmpl w:val="1F44B6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442B4"/>
    <w:multiLevelType w:val="multilevel"/>
    <w:tmpl w:val="F086F660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3BE55B7"/>
    <w:multiLevelType w:val="multilevel"/>
    <w:tmpl w:val="38AE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4F3C9C"/>
    <w:multiLevelType w:val="hybridMultilevel"/>
    <w:tmpl w:val="B87290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D7EF7"/>
    <w:multiLevelType w:val="hybridMultilevel"/>
    <w:tmpl w:val="581A6C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52C9B"/>
    <w:multiLevelType w:val="hybridMultilevel"/>
    <w:tmpl w:val="B718A4C2"/>
    <w:lvl w:ilvl="0" w:tplc="CF8CB90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25A97"/>
    <w:multiLevelType w:val="hybridMultilevel"/>
    <w:tmpl w:val="867CD7E8"/>
    <w:lvl w:ilvl="0" w:tplc="26862AFC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A4516"/>
    <w:multiLevelType w:val="hybridMultilevel"/>
    <w:tmpl w:val="808AA5A4"/>
    <w:lvl w:ilvl="0" w:tplc="0C78CB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E6DEB"/>
    <w:multiLevelType w:val="hybridMultilevel"/>
    <w:tmpl w:val="4C1C4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E48E8"/>
    <w:multiLevelType w:val="hybridMultilevel"/>
    <w:tmpl w:val="66B81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870D0"/>
    <w:multiLevelType w:val="multilevel"/>
    <w:tmpl w:val="58BC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47659F"/>
    <w:multiLevelType w:val="hybridMultilevel"/>
    <w:tmpl w:val="B5922212"/>
    <w:lvl w:ilvl="0" w:tplc="7A0695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840A70"/>
    <w:multiLevelType w:val="hybridMultilevel"/>
    <w:tmpl w:val="40E64D46"/>
    <w:lvl w:ilvl="0" w:tplc="0942A67A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60437"/>
    <w:multiLevelType w:val="hybridMultilevel"/>
    <w:tmpl w:val="A898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908BD"/>
    <w:multiLevelType w:val="hybridMultilevel"/>
    <w:tmpl w:val="E9261350"/>
    <w:lvl w:ilvl="0" w:tplc="CC7E7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92EEE"/>
    <w:multiLevelType w:val="hybridMultilevel"/>
    <w:tmpl w:val="2FEAB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2"/>
  </w:num>
  <w:num w:numId="4">
    <w:abstractNumId w:val="18"/>
  </w:num>
  <w:num w:numId="5">
    <w:abstractNumId w:val="14"/>
  </w:num>
  <w:num w:numId="6">
    <w:abstractNumId w:val="31"/>
  </w:num>
  <w:num w:numId="7">
    <w:abstractNumId w:val="11"/>
  </w:num>
  <w:num w:numId="8">
    <w:abstractNumId w:val="2"/>
  </w:num>
  <w:num w:numId="9">
    <w:abstractNumId w:val="19"/>
  </w:num>
  <w:num w:numId="10">
    <w:abstractNumId w:val="13"/>
  </w:num>
  <w:num w:numId="11">
    <w:abstractNumId w:val="6"/>
  </w:num>
  <w:num w:numId="12">
    <w:abstractNumId w:val="23"/>
  </w:num>
  <w:num w:numId="13">
    <w:abstractNumId w:val="22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3"/>
  </w:num>
  <w:num w:numId="20">
    <w:abstractNumId w:val="7"/>
  </w:num>
  <w:num w:numId="21">
    <w:abstractNumId w:val="12"/>
  </w:num>
  <w:num w:numId="22">
    <w:abstractNumId w:val="9"/>
  </w:num>
  <w:num w:numId="23">
    <w:abstractNumId w:val="10"/>
  </w:num>
  <w:num w:numId="24">
    <w:abstractNumId w:val="28"/>
  </w:num>
  <w:num w:numId="25">
    <w:abstractNumId w:val="5"/>
  </w:num>
  <w:num w:numId="26">
    <w:abstractNumId w:val="4"/>
  </w:num>
  <w:num w:numId="27">
    <w:abstractNumId w:val="15"/>
  </w:num>
  <w:num w:numId="28">
    <w:abstractNumId w:val="20"/>
  </w:num>
  <w:num w:numId="29">
    <w:abstractNumId w:val="24"/>
  </w:num>
  <w:num w:numId="30">
    <w:abstractNumId w:val="30"/>
  </w:num>
  <w:num w:numId="31">
    <w:abstractNumId w:val="8"/>
  </w:num>
  <w:num w:numId="32">
    <w:abstractNumId w:val="29"/>
  </w:num>
  <w:num w:numId="33">
    <w:abstractNumId w:val="21"/>
  </w:num>
  <w:num w:numId="34">
    <w:abstractNumId w:val="27"/>
  </w:num>
  <w:num w:numId="35">
    <w:abstractNumId w:val="26"/>
  </w:num>
  <w:num w:numId="36">
    <w:abstractNumId w:val="17"/>
  </w:num>
  <w:num w:numId="37">
    <w:abstractNumId w:val="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46"/>
    <w:rsid w:val="000035F0"/>
    <w:rsid w:val="000039C7"/>
    <w:rsid w:val="00006646"/>
    <w:rsid w:val="0000672D"/>
    <w:rsid w:val="00010E8F"/>
    <w:rsid w:val="0001379D"/>
    <w:rsid w:val="000149A2"/>
    <w:rsid w:val="0001728B"/>
    <w:rsid w:val="00017B87"/>
    <w:rsid w:val="00021871"/>
    <w:rsid w:val="00023AF7"/>
    <w:rsid w:val="00023E3B"/>
    <w:rsid w:val="0002446D"/>
    <w:rsid w:val="000300DD"/>
    <w:rsid w:val="00030A89"/>
    <w:rsid w:val="000320EC"/>
    <w:rsid w:val="00033765"/>
    <w:rsid w:val="00035B1D"/>
    <w:rsid w:val="000360B5"/>
    <w:rsid w:val="000370FC"/>
    <w:rsid w:val="00045752"/>
    <w:rsid w:val="000467A4"/>
    <w:rsid w:val="00050B3B"/>
    <w:rsid w:val="00056007"/>
    <w:rsid w:val="00060C4F"/>
    <w:rsid w:val="0006414A"/>
    <w:rsid w:val="00064212"/>
    <w:rsid w:val="0006509F"/>
    <w:rsid w:val="00070DF6"/>
    <w:rsid w:val="000846B1"/>
    <w:rsid w:val="00092F08"/>
    <w:rsid w:val="0009429D"/>
    <w:rsid w:val="00096064"/>
    <w:rsid w:val="00096431"/>
    <w:rsid w:val="00096BCB"/>
    <w:rsid w:val="000A0F3F"/>
    <w:rsid w:val="000A5739"/>
    <w:rsid w:val="000A5ED6"/>
    <w:rsid w:val="000A62F3"/>
    <w:rsid w:val="000B2E7E"/>
    <w:rsid w:val="000B4DDF"/>
    <w:rsid w:val="000B61BC"/>
    <w:rsid w:val="000B7627"/>
    <w:rsid w:val="000C370E"/>
    <w:rsid w:val="000C4F91"/>
    <w:rsid w:val="000C774A"/>
    <w:rsid w:val="000C775D"/>
    <w:rsid w:val="000D71EA"/>
    <w:rsid w:val="000E0F48"/>
    <w:rsid w:val="000E2B27"/>
    <w:rsid w:val="000F3B08"/>
    <w:rsid w:val="000F7BD8"/>
    <w:rsid w:val="001052E4"/>
    <w:rsid w:val="00107F8D"/>
    <w:rsid w:val="00113234"/>
    <w:rsid w:val="00121056"/>
    <w:rsid w:val="00121A1B"/>
    <w:rsid w:val="00122335"/>
    <w:rsid w:val="0012276F"/>
    <w:rsid w:val="0012788A"/>
    <w:rsid w:val="0013316E"/>
    <w:rsid w:val="001332A4"/>
    <w:rsid w:val="001347B4"/>
    <w:rsid w:val="00141F2D"/>
    <w:rsid w:val="00144137"/>
    <w:rsid w:val="00153E05"/>
    <w:rsid w:val="0015642B"/>
    <w:rsid w:val="00156539"/>
    <w:rsid w:val="001630CF"/>
    <w:rsid w:val="0016713E"/>
    <w:rsid w:val="00171CBE"/>
    <w:rsid w:val="00174C53"/>
    <w:rsid w:val="0017757A"/>
    <w:rsid w:val="00185FAA"/>
    <w:rsid w:val="00187B94"/>
    <w:rsid w:val="00190EDE"/>
    <w:rsid w:val="00191E0A"/>
    <w:rsid w:val="00196831"/>
    <w:rsid w:val="00197F37"/>
    <w:rsid w:val="001A192A"/>
    <w:rsid w:val="001A1DC3"/>
    <w:rsid w:val="001A342B"/>
    <w:rsid w:val="001A511D"/>
    <w:rsid w:val="001B5376"/>
    <w:rsid w:val="001B60A5"/>
    <w:rsid w:val="001C231B"/>
    <w:rsid w:val="001C7049"/>
    <w:rsid w:val="001D04DB"/>
    <w:rsid w:val="001F07BB"/>
    <w:rsid w:val="001F70C0"/>
    <w:rsid w:val="00200383"/>
    <w:rsid w:val="00204A29"/>
    <w:rsid w:val="00205891"/>
    <w:rsid w:val="00205E99"/>
    <w:rsid w:val="0020785E"/>
    <w:rsid w:val="00213696"/>
    <w:rsid w:val="002174B6"/>
    <w:rsid w:val="00225B5D"/>
    <w:rsid w:val="0022683B"/>
    <w:rsid w:val="00232BB1"/>
    <w:rsid w:val="0024047F"/>
    <w:rsid w:val="00250106"/>
    <w:rsid w:val="0025129C"/>
    <w:rsid w:val="0025244B"/>
    <w:rsid w:val="002526CD"/>
    <w:rsid w:val="00253738"/>
    <w:rsid w:val="00257EC0"/>
    <w:rsid w:val="00262B27"/>
    <w:rsid w:val="00263596"/>
    <w:rsid w:val="0026498C"/>
    <w:rsid w:val="00266422"/>
    <w:rsid w:val="00272B1E"/>
    <w:rsid w:val="002800A5"/>
    <w:rsid w:val="00280BEF"/>
    <w:rsid w:val="00281593"/>
    <w:rsid w:val="00282A7B"/>
    <w:rsid w:val="00293AD5"/>
    <w:rsid w:val="0029576D"/>
    <w:rsid w:val="00296509"/>
    <w:rsid w:val="00297FA8"/>
    <w:rsid w:val="002A271E"/>
    <w:rsid w:val="002A64FA"/>
    <w:rsid w:val="002B13FF"/>
    <w:rsid w:val="002B187A"/>
    <w:rsid w:val="002B1F43"/>
    <w:rsid w:val="002B46DA"/>
    <w:rsid w:val="002B5190"/>
    <w:rsid w:val="002B5639"/>
    <w:rsid w:val="002B5AED"/>
    <w:rsid w:val="002C381C"/>
    <w:rsid w:val="002C3E22"/>
    <w:rsid w:val="002C44FC"/>
    <w:rsid w:val="002C7E97"/>
    <w:rsid w:val="002D2F33"/>
    <w:rsid w:val="002D4F07"/>
    <w:rsid w:val="002E0ED6"/>
    <w:rsid w:val="002F40B8"/>
    <w:rsid w:val="00305859"/>
    <w:rsid w:val="00305D03"/>
    <w:rsid w:val="00315A83"/>
    <w:rsid w:val="00316637"/>
    <w:rsid w:val="0032059D"/>
    <w:rsid w:val="00320667"/>
    <w:rsid w:val="00322F5E"/>
    <w:rsid w:val="00325DC7"/>
    <w:rsid w:val="003307F3"/>
    <w:rsid w:val="00331C2B"/>
    <w:rsid w:val="00342E92"/>
    <w:rsid w:val="00346478"/>
    <w:rsid w:val="00351C1A"/>
    <w:rsid w:val="00353605"/>
    <w:rsid w:val="0035689E"/>
    <w:rsid w:val="003575D8"/>
    <w:rsid w:val="00361F5C"/>
    <w:rsid w:val="00363080"/>
    <w:rsid w:val="00365EEB"/>
    <w:rsid w:val="00375E49"/>
    <w:rsid w:val="00375FAF"/>
    <w:rsid w:val="003801BC"/>
    <w:rsid w:val="00396E52"/>
    <w:rsid w:val="003972AA"/>
    <w:rsid w:val="003A555C"/>
    <w:rsid w:val="003B09D9"/>
    <w:rsid w:val="003B34B8"/>
    <w:rsid w:val="003C5E24"/>
    <w:rsid w:val="003C63AD"/>
    <w:rsid w:val="003C6B1E"/>
    <w:rsid w:val="003C7E05"/>
    <w:rsid w:val="003D354B"/>
    <w:rsid w:val="003E73F6"/>
    <w:rsid w:val="003E7B28"/>
    <w:rsid w:val="003F7274"/>
    <w:rsid w:val="00402713"/>
    <w:rsid w:val="0041116B"/>
    <w:rsid w:val="00411794"/>
    <w:rsid w:val="0041309D"/>
    <w:rsid w:val="004171D1"/>
    <w:rsid w:val="00423AD8"/>
    <w:rsid w:val="0042467F"/>
    <w:rsid w:val="0043364F"/>
    <w:rsid w:val="00440BE0"/>
    <w:rsid w:val="004458F5"/>
    <w:rsid w:val="004463EC"/>
    <w:rsid w:val="0045287E"/>
    <w:rsid w:val="00457B92"/>
    <w:rsid w:val="00465887"/>
    <w:rsid w:val="00471CD5"/>
    <w:rsid w:val="0047382A"/>
    <w:rsid w:val="00484D35"/>
    <w:rsid w:val="004859EB"/>
    <w:rsid w:val="00486635"/>
    <w:rsid w:val="00491AD5"/>
    <w:rsid w:val="004929BF"/>
    <w:rsid w:val="00492C83"/>
    <w:rsid w:val="004939C8"/>
    <w:rsid w:val="004A64AA"/>
    <w:rsid w:val="004B5539"/>
    <w:rsid w:val="004B6646"/>
    <w:rsid w:val="004C009E"/>
    <w:rsid w:val="004C2F9B"/>
    <w:rsid w:val="004C4A6C"/>
    <w:rsid w:val="004C7668"/>
    <w:rsid w:val="004C76D4"/>
    <w:rsid w:val="004D0157"/>
    <w:rsid w:val="004D02AC"/>
    <w:rsid w:val="004D0624"/>
    <w:rsid w:val="004D0639"/>
    <w:rsid w:val="004D0DCE"/>
    <w:rsid w:val="004D0ED0"/>
    <w:rsid w:val="004D5D8B"/>
    <w:rsid w:val="004D7BBB"/>
    <w:rsid w:val="004D7F9D"/>
    <w:rsid w:val="004E11C5"/>
    <w:rsid w:val="004E6EBD"/>
    <w:rsid w:val="004F0663"/>
    <w:rsid w:val="004F109E"/>
    <w:rsid w:val="004F735A"/>
    <w:rsid w:val="00506023"/>
    <w:rsid w:val="00510385"/>
    <w:rsid w:val="00516F2F"/>
    <w:rsid w:val="005209B6"/>
    <w:rsid w:val="0054225C"/>
    <w:rsid w:val="00542744"/>
    <w:rsid w:val="005441EC"/>
    <w:rsid w:val="005566D9"/>
    <w:rsid w:val="00556823"/>
    <w:rsid w:val="00561DC2"/>
    <w:rsid w:val="0056355B"/>
    <w:rsid w:val="00565FA2"/>
    <w:rsid w:val="00570F86"/>
    <w:rsid w:val="00572F99"/>
    <w:rsid w:val="005762BA"/>
    <w:rsid w:val="00576704"/>
    <w:rsid w:val="005778B0"/>
    <w:rsid w:val="005820D4"/>
    <w:rsid w:val="00582331"/>
    <w:rsid w:val="00584559"/>
    <w:rsid w:val="00585C0D"/>
    <w:rsid w:val="0058662B"/>
    <w:rsid w:val="00591260"/>
    <w:rsid w:val="005930C3"/>
    <w:rsid w:val="005A23B4"/>
    <w:rsid w:val="005C4400"/>
    <w:rsid w:val="005C6861"/>
    <w:rsid w:val="005D031B"/>
    <w:rsid w:val="005D05AD"/>
    <w:rsid w:val="005D3CF8"/>
    <w:rsid w:val="005E351C"/>
    <w:rsid w:val="005E403E"/>
    <w:rsid w:val="005E480A"/>
    <w:rsid w:val="005F029D"/>
    <w:rsid w:val="005F6186"/>
    <w:rsid w:val="00601959"/>
    <w:rsid w:val="00602F17"/>
    <w:rsid w:val="0060621B"/>
    <w:rsid w:val="00607130"/>
    <w:rsid w:val="00610535"/>
    <w:rsid w:val="006109E4"/>
    <w:rsid w:val="00610D43"/>
    <w:rsid w:val="00623850"/>
    <w:rsid w:val="006308AE"/>
    <w:rsid w:val="00630BAF"/>
    <w:rsid w:val="0063100E"/>
    <w:rsid w:val="006315DB"/>
    <w:rsid w:val="0064561A"/>
    <w:rsid w:val="00646E1E"/>
    <w:rsid w:val="00647C4F"/>
    <w:rsid w:val="006513F5"/>
    <w:rsid w:val="00661F2F"/>
    <w:rsid w:val="006624FD"/>
    <w:rsid w:val="00663D00"/>
    <w:rsid w:val="00672119"/>
    <w:rsid w:val="00674786"/>
    <w:rsid w:val="00677031"/>
    <w:rsid w:val="0068170B"/>
    <w:rsid w:val="006818C9"/>
    <w:rsid w:val="006919C6"/>
    <w:rsid w:val="00693B0F"/>
    <w:rsid w:val="00694C5C"/>
    <w:rsid w:val="00694EC4"/>
    <w:rsid w:val="00695A0C"/>
    <w:rsid w:val="006A0095"/>
    <w:rsid w:val="006A2C5A"/>
    <w:rsid w:val="006A48AA"/>
    <w:rsid w:val="006B0889"/>
    <w:rsid w:val="006B2FD2"/>
    <w:rsid w:val="006B672A"/>
    <w:rsid w:val="006C2DF2"/>
    <w:rsid w:val="006C2E29"/>
    <w:rsid w:val="006F59CC"/>
    <w:rsid w:val="00700530"/>
    <w:rsid w:val="007147AA"/>
    <w:rsid w:val="00716463"/>
    <w:rsid w:val="0071646E"/>
    <w:rsid w:val="00716D25"/>
    <w:rsid w:val="007202F8"/>
    <w:rsid w:val="007226C8"/>
    <w:rsid w:val="007231B1"/>
    <w:rsid w:val="00734563"/>
    <w:rsid w:val="00734FB7"/>
    <w:rsid w:val="00741B10"/>
    <w:rsid w:val="00741B33"/>
    <w:rsid w:val="00744612"/>
    <w:rsid w:val="00745887"/>
    <w:rsid w:val="00746349"/>
    <w:rsid w:val="00750AC4"/>
    <w:rsid w:val="00750DA3"/>
    <w:rsid w:val="00757AA6"/>
    <w:rsid w:val="00762C6C"/>
    <w:rsid w:val="00765027"/>
    <w:rsid w:val="0077433E"/>
    <w:rsid w:val="007743FB"/>
    <w:rsid w:val="007763FD"/>
    <w:rsid w:val="00780B1A"/>
    <w:rsid w:val="00781687"/>
    <w:rsid w:val="007829E3"/>
    <w:rsid w:val="007944E0"/>
    <w:rsid w:val="00797C60"/>
    <w:rsid w:val="007A4A34"/>
    <w:rsid w:val="007A54B1"/>
    <w:rsid w:val="007A5B4D"/>
    <w:rsid w:val="007A769A"/>
    <w:rsid w:val="007B02DB"/>
    <w:rsid w:val="007B0608"/>
    <w:rsid w:val="007B07A3"/>
    <w:rsid w:val="007B0B35"/>
    <w:rsid w:val="007B74C4"/>
    <w:rsid w:val="007B7F40"/>
    <w:rsid w:val="007C0705"/>
    <w:rsid w:val="007C20A6"/>
    <w:rsid w:val="007C36B3"/>
    <w:rsid w:val="007C7A68"/>
    <w:rsid w:val="007D04FD"/>
    <w:rsid w:val="007D3A3D"/>
    <w:rsid w:val="007D3CA4"/>
    <w:rsid w:val="007D41C6"/>
    <w:rsid w:val="007E24B6"/>
    <w:rsid w:val="00801B22"/>
    <w:rsid w:val="008061FE"/>
    <w:rsid w:val="00814C19"/>
    <w:rsid w:val="008168A8"/>
    <w:rsid w:val="0081724F"/>
    <w:rsid w:val="00823045"/>
    <w:rsid w:val="00843FF2"/>
    <w:rsid w:val="008440A3"/>
    <w:rsid w:val="008470F2"/>
    <w:rsid w:val="008628D1"/>
    <w:rsid w:val="00866EC5"/>
    <w:rsid w:val="00872CB1"/>
    <w:rsid w:val="008733B9"/>
    <w:rsid w:val="008778FC"/>
    <w:rsid w:val="0088119D"/>
    <w:rsid w:val="00884FB6"/>
    <w:rsid w:val="00885607"/>
    <w:rsid w:val="0088756F"/>
    <w:rsid w:val="00891516"/>
    <w:rsid w:val="008973FD"/>
    <w:rsid w:val="008A20BA"/>
    <w:rsid w:val="008A2EE0"/>
    <w:rsid w:val="008A5021"/>
    <w:rsid w:val="008B141A"/>
    <w:rsid w:val="008B25FE"/>
    <w:rsid w:val="008B2AFB"/>
    <w:rsid w:val="008B5A3A"/>
    <w:rsid w:val="008C29E9"/>
    <w:rsid w:val="008C5A9F"/>
    <w:rsid w:val="008D4A56"/>
    <w:rsid w:val="008D7F86"/>
    <w:rsid w:val="008E0C03"/>
    <w:rsid w:val="008E1C9E"/>
    <w:rsid w:val="008E61A4"/>
    <w:rsid w:val="008E627F"/>
    <w:rsid w:val="008F3274"/>
    <w:rsid w:val="008F33A4"/>
    <w:rsid w:val="008F4321"/>
    <w:rsid w:val="009036D4"/>
    <w:rsid w:val="00905BFE"/>
    <w:rsid w:val="009069D5"/>
    <w:rsid w:val="009074F7"/>
    <w:rsid w:val="00915B09"/>
    <w:rsid w:val="009176F9"/>
    <w:rsid w:val="00922DEF"/>
    <w:rsid w:val="0093081D"/>
    <w:rsid w:val="00932168"/>
    <w:rsid w:val="00937075"/>
    <w:rsid w:val="0094135E"/>
    <w:rsid w:val="00960A58"/>
    <w:rsid w:val="00966E43"/>
    <w:rsid w:val="0096752F"/>
    <w:rsid w:val="00971565"/>
    <w:rsid w:val="0097308F"/>
    <w:rsid w:val="009767F7"/>
    <w:rsid w:val="009868AF"/>
    <w:rsid w:val="00986C75"/>
    <w:rsid w:val="0098729C"/>
    <w:rsid w:val="009949E1"/>
    <w:rsid w:val="009A1C81"/>
    <w:rsid w:val="009A57A5"/>
    <w:rsid w:val="009A6A20"/>
    <w:rsid w:val="009B1C2F"/>
    <w:rsid w:val="009B491D"/>
    <w:rsid w:val="009B6DC0"/>
    <w:rsid w:val="009C06C5"/>
    <w:rsid w:val="009C5838"/>
    <w:rsid w:val="009D0985"/>
    <w:rsid w:val="009D3348"/>
    <w:rsid w:val="009D3F79"/>
    <w:rsid w:val="009D455E"/>
    <w:rsid w:val="009D5D99"/>
    <w:rsid w:val="009E4400"/>
    <w:rsid w:val="009F106F"/>
    <w:rsid w:val="009F3545"/>
    <w:rsid w:val="009F3C59"/>
    <w:rsid w:val="00A0407A"/>
    <w:rsid w:val="00A04A67"/>
    <w:rsid w:val="00A063C4"/>
    <w:rsid w:val="00A065A4"/>
    <w:rsid w:val="00A06D49"/>
    <w:rsid w:val="00A13E4D"/>
    <w:rsid w:val="00A16FEA"/>
    <w:rsid w:val="00A178C5"/>
    <w:rsid w:val="00A23648"/>
    <w:rsid w:val="00A23F03"/>
    <w:rsid w:val="00A25D97"/>
    <w:rsid w:val="00A34F82"/>
    <w:rsid w:val="00A51349"/>
    <w:rsid w:val="00A60296"/>
    <w:rsid w:val="00A72CA5"/>
    <w:rsid w:val="00A749EA"/>
    <w:rsid w:val="00A75AB6"/>
    <w:rsid w:val="00A77C50"/>
    <w:rsid w:val="00A92F12"/>
    <w:rsid w:val="00A9557E"/>
    <w:rsid w:val="00A96D2A"/>
    <w:rsid w:val="00AA0657"/>
    <w:rsid w:val="00AA104D"/>
    <w:rsid w:val="00AA27F7"/>
    <w:rsid w:val="00AA2D1E"/>
    <w:rsid w:val="00AA379E"/>
    <w:rsid w:val="00AA3BD6"/>
    <w:rsid w:val="00AA4622"/>
    <w:rsid w:val="00AB0920"/>
    <w:rsid w:val="00AB326C"/>
    <w:rsid w:val="00AB3653"/>
    <w:rsid w:val="00AB39C5"/>
    <w:rsid w:val="00AB6360"/>
    <w:rsid w:val="00AC0A78"/>
    <w:rsid w:val="00AC22C3"/>
    <w:rsid w:val="00AC2697"/>
    <w:rsid w:val="00AC6CF6"/>
    <w:rsid w:val="00AC7C05"/>
    <w:rsid w:val="00AD3E66"/>
    <w:rsid w:val="00AE36EB"/>
    <w:rsid w:val="00AF0BD7"/>
    <w:rsid w:val="00AF1EB0"/>
    <w:rsid w:val="00B037A0"/>
    <w:rsid w:val="00B03ABE"/>
    <w:rsid w:val="00B0497E"/>
    <w:rsid w:val="00B07A26"/>
    <w:rsid w:val="00B1004E"/>
    <w:rsid w:val="00B107A6"/>
    <w:rsid w:val="00B158CB"/>
    <w:rsid w:val="00B167E3"/>
    <w:rsid w:val="00B2795A"/>
    <w:rsid w:val="00B41CE6"/>
    <w:rsid w:val="00B43E10"/>
    <w:rsid w:val="00B5145C"/>
    <w:rsid w:val="00B53162"/>
    <w:rsid w:val="00B556D8"/>
    <w:rsid w:val="00B63DC3"/>
    <w:rsid w:val="00B6740A"/>
    <w:rsid w:val="00B71A6A"/>
    <w:rsid w:val="00B745AE"/>
    <w:rsid w:val="00B77D28"/>
    <w:rsid w:val="00B80F80"/>
    <w:rsid w:val="00B81986"/>
    <w:rsid w:val="00B84851"/>
    <w:rsid w:val="00B929FA"/>
    <w:rsid w:val="00B92E34"/>
    <w:rsid w:val="00B93891"/>
    <w:rsid w:val="00B95A30"/>
    <w:rsid w:val="00BA03EB"/>
    <w:rsid w:val="00BA36F5"/>
    <w:rsid w:val="00BA5F30"/>
    <w:rsid w:val="00BA79AB"/>
    <w:rsid w:val="00BB422C"/>
    <w:rsid w:val="00BB4FBF"/>
    <w:rsid w:val="00BC466D"/>
    <w:rsid w:val="00BD2532"/>
    <w:rsid w:val="00BE0188"/>
    <w:rsid w:val="00BE36F3"/>
    <w:rsid w:val="00BE4EC4"/>
    <w:rsid w:val="00BF1932"/>
    <w:rsid w:val="00BF7409"/>
    <w:rsid w:val="00C111B7"/>
    <w:rsid w:val="00C23420"/>
    <w:rsid w:val="00C23DC3"/>
    <w:rsid w:val="00C256D4"/>
    <w:rsid w:val="00C30F79"/>
    <w:rsid w:val="00C34884"/>
    <w:rsid w:val="00C35F5F"/>
    <w:rsid w:val="00C430AF"/>
    <w:rsid w:val="00C43682"/>
    <w:rsid w:val="00C459E4"/>
    <w:rsid w:val="00C5149B"/>
    <w:rsid w:val="00C61DB5"/>
    <w:rsid w:val="00C63CB8"/>
    <w:rsid w:val="00C74637"/>
    <w:rsid w:val="00C817B7"/>
    <w:rsid w:val="00C8222C"/>
    <w:rsid w:val="00C87F48"/>
    <w:rsid w:val="00C90867"/>
    <w:rsid w:val="00C910BA"/>
    <w:rsid w:val="00C95499"/>
    <w:rsid w:val="00C95B95"/>
    <w:rsid w:val="00C95C9E"/>
    <w:rsid w:val="00C963FF"/>
    <w:rsid w:val="00CA178F"/>
    <w:rsid w:val="00CA3730"/>
    <w:rsid w:val="00CA7CB7"/>
    <w:rsid w:val="00CB14B0"/>
    <w:rsid w:val="00CB4E50"/>
    <w:rsid w:val="00CD0DB4"/>
    <w:rsid w:val="00CD404B"/>
    <w:rsid w:val="00CD4E33"/>
    <w:rsid w:val="00CE651E"/>
    <w:rsid w:val="00CF15FB"/>
    <w:rsid w:val="00CF2C2C"/>
    <w:rsid w:val="00CF42A2"/>
    <w:rsid w:val="00CF4593"/>
    <w:rsid w:val="00CF7623"/>
    <w:rsid w:val="00D01A59"/>
    <w:rsid w:val="00D01C39"/>
    <w:rsid w:val="00D01FD5"/>
    <w:rsid w:val="00D02900"/>
    <w:rsid w:val="00D03254"/>
    <w:rsid w:val="00D055FA"/>
    <w:rsid w:val="00D063E0"/>
    <w:rsid w:val="00D06464"/>
    <w:rsid w:val="00D12CF2"/>
    <w:rsid w:val="00D15FE4"/>
    <w:rsid w:val="00D17B8A"/>
    <w:rsid w:val="00D23FD3"/>
    <w:rsid w:val="00D255BB"/>
    <w:rsid w:val="00D26856"/>
    <w:rsid w:val="00D27457"/>
    <w:rsid w:val="00D27BE6"/>
    <w:rsid w:val="00D307D2"/>
    <w:rsid w:val="00D30C5F"/>
    <w:rsid w:val="00D317F6"/>
    <w:rsid w:val="00D4059E"/>
    <w:rsid w:val="00D53278"/>
    <w:rsid w:val="00D53AB8"/>
    <w:rsid w:val="00D70A72"/>
    <w:rsid w:val="00D76378"/>
    <w:rsid w:val="00D76EC3"/>
    <w:rsid w:val="00D8471B"/>
    <w:rsid w:val="00D86831"/>
    <w:rsid w:val="00D92AF8"/>
    <w:rsid w:val="00D93BA5"/>
    <w:rsid w:val="00D95FEA"/>
    <w:rsid w:val="00DA00B3"/>
    <w:rsid w:val="00DB4F0C"/>
    <w:rsid w:val="00DB6179"/>
    <w:rsid w:val="00DB74E0"/>
    <w:rsid w:val="00DC58F0"/>
    <w:rsid w:val="00DC5BDC"/>
    <w:rsid w:val="00DD060B"/>
    <w:rsid w:val="00DD096A"/>
    <w:rsid w:val="00DD2E49"/>
    <w:rsid w:val="00DD3F6D"/>
    <w:rsid w:val="00DD7B45"/>
    <w:rsid w:val="00DE082A"/>
    <w:rsid w:val="00DE2C24"/>
    <w:rsid w:val="00E03714"/>
    <w:rsid w:val="00E05654"/>
    <w:rsid w:val="00E10AA0"/>
    <w:rsid w:val="00E1188B"/>
    <w:rsid w:val="00E149C2"/>
    <w:rsid w:val="00E16A47"/>
    <w:rsid w:val="00E23965"/>
    <w:rsid w:val="00E26FBF"/>
    <w:rsid w:val="00E30C26"/>
    <w:rsid w:val="00E33068"/>
    <w:rsid w:val="00E3440F"/>
    <w:rsid w:val="00E367D8"/>
    <w:rsid w:val="00E36AD0"/>
    <w:rsid w:val="00E375AD"/>
    <w:rsid w:val="00E424D1"/>
    <w:rsid w:val="00E43BE3"/>
    <w:rsid w:val="00E462B5"/>
    <w:rsid w:val="00E62AFF"/>
    <w:rsid w:val="00E64D10"/>
    <w:rsid w:val="00E66788"/>
    <w:rsid w:val="00E67E70"/>
    <w:rsid w:val="00E72945"/>
    <w:rsid w:val="00E74B9B"/>
    <w:rsid w:val="00E75794"/>
    <w:rsid w:val="00E81243"/>
    <w:rsid w:val="00E816DA"/>
    <w:rsid w:val="00E81C09"/>
    <w:rsid w:val="00E8554E"/>
    <w:rsid w:val="00E87313"/>
    <w:rsid w:val="00E95C42"/>
    <w:rsid w:val="00EA7B16"/>
    <w:rsid w:val="00EB2210"/>
    <w:rsid w:val="00EB336E"/>
    <w:rsid w:val="00EC0846"/>
    <w:rsid w:val="00EC16DB"/>
    <w:rsid w:val="00EC1E23"/>
    <w:rsid w:val="00EC4825"/>
    <w:rsid w:val="00EC6AC9"/>
    <w:rsid w:val="00ED27B6"/>
    <w:rsid w:val="00ED4804"/>
    <w:rsid w:val="00ED62E4"/>
    <w:rsid w:val="00EE11EA"/>
    <w:rsid w:val="00EE1639"/>
    <w:rsid w:val="00EE1E20"/>
    <w:rsid w:val="00EE7D8A"/>
    <w:rsid w:val="00EF1E82"/>
    <w:rsid w:val="00EF4203"/>
    <w:rsid w:val="00EF713B"/>
    <w:rsid w:val="00F01F60"/>
    <w:rsid w:val="00F02A22"/>
    <w:rsid w:val="00F03DC0"/>
    <w:rsid w:val="00F0438A"/>
    <w:rsid w:val="00F05DBF"/>
    <w:rsid w:val="00F066DA"/>
    <w:rsid w:val="00F077AF"/>
    <w:rsid w:val="00F07E32"/>
    <w:rsid w:val="00F121EF"/>
    <w:rsid w:val="00F25360"/>
    <w:rsid w:val="00F30144"/>
    <w:rsid w:val="00F3084A"/>
    <w:rsid w:val="00F324D8"/>
    <w:rsid w:val="00F3256E"/>
    <w:rsid w:val="00F36AEA"/>
    <w:rsid w:val="00F3752C"/>
    <w:rsid w:val="00F5236E"/>
    <w:rsid w:val="00F52C5D"/>
    <w:rsid w:val="00F541B5"/>
    <w:rsid w:val="00F56BE2"/>
    <w:rsid w:val="00F62672"/>
    <w:rsid w:val="00F65657"/>
    <w:rsid w:val="00F76CBA"/>
    <w:rsid w:val="00F77705"/>
    <w:rsid w:val="00F84400"/>
    <w:rsid w:val="00F87AD1"/>
    <w:rsid w:val="00F92C32"/>
    <w:rsid w:val="00F93803"/>
    <w:rsid w:val="00F94AD6"/>
    <w:rsid w:val="00F97459"/>
    <w:rsid w:val="00FA07E4"/>
    <w:rsid w:val="00FA2A35"/>
    <w:rsid w:val="00FA3A94"/>
    <w:rsid w:val="00FB57E5"/>
    <w:rsid w:val="00FC1A50"/>
    <w:rsid w:val="00FC2CFC"/>
    <w:rsid w:val="00FC7385"/>
    <w:rsid w:val="00FD469E"/>
    <w:rsid w:val="00FD4739"/>
    <w:rsid w:val="00FE1195"/>
    <w:rsid w:val="00FE54FE"/>
    <w:rsid w:val="00FE593F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F90F78"/>
  <w15:docId w15:val="{20603F8B-7266-49C4-8BF4-1D97E446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0"/>
    </w:pPr>
    <w:rPr>
      <w:i/>
      <w:iCs/>
      <w:snapToGrid w:val="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  <w:snapToGrid w:val="0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156"/>
        <w:tab w:val="left" w:pos="-436"/>
        <w:tab w:val="left" w:pos="284"/>
        <w:tab w:val="left" w:pos="1004"/>
        <w:tab w:val="left" w:pos="1724"/>
        <w:tab w:val="left" w:pos="2444"/>
        <w:tab w:val="left" w:pos="3164"/>
        <w:tab w:val="left" w:pos="3884"/>
        <w:tab w:val="left" w:pos="4604"/>
        <w:tab w:val="left" w:pos="5324"/>
        <w:tab w:val="left" w:pos="6044"/>
        <w:tab w:val="left" w:pos="6764"/>
        <w:tab w:val="left" w:pos="7484"/>
        <w:tab w:val="left" w:pos="8204"/>
        <w:tab w:val="left" w:pos="8924"/>
        <w:tab w:val="left" w:pos="9644"/>
      </w:tabs>
      <w:ind w:left="284" w:right="2"/>
      <w:jc w:val="center"/>
      <w:outlineLvl w:val="3"/>
    </w:pPr>
    <w:rPr>
      <w:b/>
      <w:bCs/>
      <w:snapToGrid w:val="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156"/>
        <w:tab w:val="left" w:pos="-436"/>
        <w:tab w:val="left" w:pos="1004"/>
        <w:tab w:val="left" w:pos="1724"/>
        <w:tab w:val="left" w:pos="2444"/>
        <w:tab w:val="left" w:pos="3164"/>
        <w:tab w:val="left" w:pos="3884"/>
        <w:tab w:val="left" w:pos="4604"/>
        <w:tab w:val="left" w:pos="5324"/>
        <w:tab w:val="left" w:pos="6044"/>
        <w:tab w:val="left" w:pos="6764"/>
        <w:tab w:val="left" w:pos="7484"/>
        <w:tab w:val="left" w:pos="8204"/>
        <w:tab w:val="left" w:pos="8924"/>
        <w:tab w:val="left" w:pos="9644"/>
      </w:tabs>
      <w:ind w:right="2"/>
      <w:jc w:val="both"/>
      <w:outlineLvl w:val="5"/>
    </w:pPr>
    <w:rPr>
      <w:b/>
      <w:bCs/>
      <w:snapToGrid w:val="0"/>
      <w:sz w:val="23"/>
      <w:szCs w:val="23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851"/>
      </w:tabs>
      <w:outlineLvl w:val="6"/>
    </w:pPr>
    <w:rPr>
      <w:b/>
      <w:bCs/>
      <w:snapToGrid w:val="0"/>
      <w:sz w:val="26"/>
      <w:szCs w:val="32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-1156"/>
        <w:tab w:val="left" w:pos="-436"/>
        <w:tab w:val="left" w:pos="567"/>
        <w:tab w:val="left" w:pos="1724"/>
        <w:tab w:val="left" w:pos="2444"/>
        <w:tab w:val="left" w:pos="3164"/>
        <w:tab w:val="left" w:pos="3884"/>
        <w:tab w:val="left" w:pos="4604"/>
        <w:tab w:val="left" w:pos="5324"/>
        <w:tab w:val="left" w:pos="6044"/>
        <w:tab w:val="left" w:pos="6764"/>
        <w:tab w:val="left" w:pos="7484"/>
        <w:tab w:val="left" w:pos="8204"/>
        <w:tab w:val="left" w:pos="8924"/>
        <w:tab w:val="left" w:pos="9644"/>
      </w:tabs>
      <w:ind w:right="2"/>
      <w:outlineLvl w:val="7"/>
    </w:pPr>
    <w:rPr>
      <w:b/>
      <w:bCs/>
      <w:snapToGrid w:val="0"/>
      <w:szCs w:val="32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-1156"/>
        <w:tab w:val="left" w:pos="-436"/>
        <w:tab w:val="left" w:pos="567"/>
        <w:tab w:val="left" w:pos="1724"/>
        <w:tab w:val="left" w:pos="2444"/>
        <w:tab w:val="left" w:pos="3164"/>
        <w:tab w:val="left" w:pos="3884"/>
        <w:tab w:val="left" w:pos="4604"/>
        <w:tab w:val="left" w:pos="5324"/>
        <w:tab w:val="left" w:pos="6044"/>
        <w:tab w:val="left" w:pos="6764"/>
        <w:tab w:val="left" w:pos="7484"/>
        <w:tab w:val="left" w:pos="8204"/>
        <w:tab w:val="left" w:pos="8924"/>
        <w:tab w:val="left" w:pos="9644"/>
      </w:tabs>
      <w:ind w:right="2"/>
      <w:jc w:val="both"/>
      <w:outlineLvl w:val="8"/>
    </w:pPr>
    <w:rPr>
      <w:b/>
      <w:bCs/>
      <w:snapToGrid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odyText2">
    <w:name w:val="Body Text 2"/>
    <w:basedOn w:val="Normal"/>
    <w:rPr>
      <w:rFonts w:ascii="Arial" w:hAnsi="Arial" w:cs="Arial"/>
      <w:sz w:val="20"/>
      <w:lang w:val="en-US"/>
    </w:rPr>
  </w:style>
  <w:style w:type="paragraph" w:styleId="BodyText3">
    <w:name w:val="Body Text 3"/>
    <w:basedOn w:val="Normal"/>
    <w:rPr>
      <w:rFonts w:ascii="Arial" w:hAnsi="Arial" w:cs="Arial"/>
      <w:sz w:val="22"/>
      <w:lang w:val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  <w:b/>
      <w:bCs/>
      <w:sz w:val="20"/>
    </w:rPr>
  </w:style>
  <w:style w:type="paragraph" w:customStyle="1" w:styleId="Para1">
    <w:name w:val="Para1"/>
    <w:basedOn w:val="Normal"/>
    <w:pPr>
      <w:numPr>
        <w:numId w:val="4"/>
      </w:numPr>
      <w:spacing w:before="120" w:after="120"/>
      <w:jc w:val="both"/>
    </w:pPr>
    <w:rPr>
      <w:snapToGrid w:val="0"/>
      <w:sz w:val="22"/>
      <w:szCs w:val="18"/>
    </w:rPr>
  </w:style>
  <w:style w:type="paragraph" w:customStyle="1" w:styleId="Para3">
    <w:name w:val="Para3"/>
    <w:basedOn w:val="Normal"/>
    <w:pPr>
      <w:numPr>
        <w:ilvl w:val="2"/>
        <w:numId w:val="19"/>
      </w:numPr>
      <w:tabs>
        <w:tab w:val="num" w:pos="1440"/>
        <w:tab w:val="left" w:pos="1980"/>
      </w:tabs>
      <w:spacing w:before="80" w:after="80"/>
      <w:ind w:left="1440"/>
      <w:jc w:val="both"/>
    </w:pPr>
    <w:rPr>
      <w:sz w:val="22"/>
      <w:szCs w:val="20"/>
    </w:rPr>
  </w:style>
  <w:style w:type="paragraph" w:styleId="BlockText">
    <w:name w:val="Block Text"/>
    <w:basedOn w:val="Normal"/>
    <w:pPr>
      <w:widowControl w:val="0"/>
      <w:tabs>
        <w:tab w:val="left" w:pos="-1156"/>
        <w:tab w:val="left" w:pos="-436"/>
        <w:tab w:val="left" w:pos="284"/>
        <w:tab w:val="left" w:pos="1004"/>
        <w:tab w:val="left" w:pos="1724"/>
        <w:tab w:val="left" w:pos="2444"/>
        <w:tab w:val="left" w:pos="3164"/>
        <w:tab w:val="left" w:pos="3884"/>
        <w:tab w:val="left" w:pos="4604"/>
        <w:tab w:val="left" w:pos="5324"/>
        <w:tab w:val="left" w:pos="6044"/>
        <w:tab w:val="left" w:pos="6764"/>
        <w:tab w:val="left" w:pos="7484"/>
        <w:tab w:val="left" w:pos="8204"/>
        <w:tab w:val="left" w:pos="8924"/>
        <w:tab w:val="left" w:pos="9644"/>
      </w:tabs>
      <w:autoSpaceDE w:val="0"/>
      <w:autoSpaceDN w:val="0"/>
      <w:adjustRightInd w:val="0"/>
      <w:ind w:left="284" w:right="2"/>
      <w:jc w:val="both"/>
    </w:pPr>
    <w:rPr>
      <w:sz w:val="23"/>
      <w:szCs w:val="23"/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xt1">
    <w:name w:val="text1"/>
    <w:rPr>
      <w:rFonts w:ascii="Verdana" w:hAnsi="Verdana" w:hint="default"/>
      <w:color w:val="000099"/>
      <w:sz w:val="11"/>
      <w:szCs w:val="11"/>
    </w:rPr>
  </w:style>
  <w:style w:type="paragraph" w:styleId="BalloonText">
    <w:name w:val="Balloon Text"/>
    <w:basedOn w:val="Normal"/>
    <w:semiHidden/>
    <w:rsid w:val="004B664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5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36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523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3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236E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4859EB"/>
    <w:rPr>
      <w:snapToGrid w:val="0"/>
      <w:sz w:val="24"/>
      <w:lang w:val="en-GB"/>
    </w:rPr>
  </w:style>
  <w:style w:type="character" w:customStyle="1" w:styleId="HeaderChar">
    <w:name w:val="Header Char"/>
    <w:link w:val="Header"/>
    <w:uiPriority w:val="99"/>
    <w:rsid w:val="00572F99"/>
    <w:rPr>
      <w:snapToGrid w:val="0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D4739"/>
    <w:rPr>
      <w:rFonts w:ascii="Arial" w:hAnsi="Arial" w:cs="Arial"/>
      <w:b/>
      <w:bCs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D47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47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47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739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47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473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4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7981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ucn.org/about/work/programmes/species/who_we_are/ssc_specialist_groups_and_red_list_authorities_directory/task_forces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cms.int/en/document/role-ecological-networks-conservation-migratory-species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cms.int/en/document/advancing-ecological-networks-address-needs-migratory-species-0" TargetMode="Externa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ms.int/sites/default/files/document/Res_11_25_Redes_Ecologicas_S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7A39-A66F-4DFD-A797-48DE6409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 Volunteers (UNV) programme</Company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cms-library</dc:creator>
  <cp:keywords/>
  <cp:lastModifiedBy>Ximena Cancino</cp:lastModifiedBy>
  <cp:revision>3</cp:revision>
  <cp:lastPrinted>2016-02-10T11:39:00Z</cp:lastPrinted>
  <dcterms:created xsi:type="dcterms:W3CDTF">2016-03-08T11:35:00Z</dcterms:created>
  <dcterms:modified xsi:type="dcterms:W3CDTF">2016-04-11T10:02:00Z</dcterms:modified>
</cp:coreProperties>
</file>