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716402"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3349AD"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3349AD">
              <w:rPr>
                <w:rFonts w:eastAsia="Times New Roman" w:cs="Arial"/>
                <w:szCs w:val="24"/>
                <w:lang w:val="es-ES" w:eastAsia="es-ES"/>
              </w:rPr>
              <w:t>UNEP/CMS/COP13/Doc.</w:t>
            </w:r>
            <w:r w:rsidR="00716402" w:rsidRPr="003349AD">
              <w:rPr>
                <w:rFonts w:eastAsia="Times New Roman" w:cs="Arial"/>
                <w:szCs w:val="24"/>
                <w:lang w:val="es-ES" w:eastAsia="es-ES"/>
              </w:rPr>
              <w:t>26.3.4</w:t>
            </w:r>
          </w:p>
          <w:p w:rsidR="00002A97" w:rsidRPr="003349AD"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3349AD">
              <w:rPr>
                <w:rFonts w:eastAsia="Times New Roman" w:cs="Arial"/>
                <w:szCs w:val="24"/>
                <w:lang w:val="es-ES" w:eastAsia="es-ES"/>
              </w:rPr>
              <w:t xml:space="preserve"> de mes 2019</w: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716402"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716402">
        <w:rPr>
          <w:rFonts w:eastAsia="Times New Roman" w:cs="Arial"/>
          <w:szCs w:val="24"/>
          <w:lang w:val="es-ES" w:eastAsia="es-ES"/>
        </w:rPr>
        <w:t xml:space="preserve">26.3 </w:t>
      </w:r>
      <w:r w:rsidRPr="00002A97">
        <w:rPr>
          <w:rFonts w:eastAsia="Times New Roman" w:cs="Arial"/>
          <w:szCs w:val="24"/>
          <w:lang w:val="es-ES" w:eastAsia="es-ES"/>
        </w:rPr>
        <w:t>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716402" w:rsidRPr="00002A97" w:rsidRDefault="00716402"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716402" w:rsidRPr="00716402" w:rsidRDefault="00716402" w:rsidP="00716402">
      <w:pPr>
        <w:pStyle w:val="Heading2"/>
        <w:keepNext w:val="0"/>
        <w:spacing w:after="120"/>
        <w:ind w:left="-91" w:right="-369"/>
        <w:jc w:val="center"/>
        <w:rPr>
          <w:rFonts w:cs="Arial"/>
          <w:sz w:val="22"/>
          <w:szCs w:val="22"/>
          <w:lang w:val="es-ES"/>
        </w:rPr>
      </w:pPr>
      <w:r w:rsidRPr="00716402">
        <w:rPr>
          <w:rFonts w:cs="Arial"/>
          <w:sz w:val="22"/>
          <w:szCs w:val="22"/>
          <w:lang w:val="es-ES"/>
        </w:rPr>
        <w:t xml:space="preserve">MEGAFAUNA SAHELO-SAHARIANA </w:t>
      </w:r>
    </w:p>
    <w:p w:rsidR="00002A97" w:rsidRPr="00002A97"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(Preparado por la Secretaría)</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146051</wp:posOffset>
                </wp:positionV>
                <wp:extent cx="4752975" cy="1828800"/>
                <wp:effectExtent l="0" t="0" r="28575" b="19050"/>
                <wp:wrapNone/>
                <wp:docPr id="5" name="Text Box 4"/>
                <wp:cNvGraphicFramePr/>
                <a:graphic xmlns:a="http://schemas.openxmlformats.org/drawingml/2006/main">
                  <a:graphicData uri="http://schemas.microsoft.com/office/word/2010/wordprocessingShape">
                    <wps:wsp>
                      <wps:cNvSpPr txBox="1"/>
                      <wps:spPr>
                        <a:xfrm>
                          <a:off x="0" y="0"/>
                          <a:ext cx="4752975" cy="1828800"/>
                        </a:xfrm>
                        <a:prstGeom prst="rect">
                          <a:avLst/>
                        </a:prstGeom>
                        <a:solidFill>
                          <a:srgbClr val="FFFFFF"/>
                        </a:solidFill>
                        <a:ln w="3172">
                          <a:solidFill>
                            <a:srgbClr val="000000"/>
                          </a:solidFill>
                          <a:prstDash val="solid"/>
                        </a:ln>
                      </wps:spPr>
                      <wps:txbx>
                        <w:txbxContent>
                          <w:p w:rsidR="00716402" w:rsidRPr="00E35213" w:rsidRDefault="00716402" w:rsidP="00716402">
                            <w:pPr>
                              <w:spacing w:after="0" w:line="240" w:lineRule="auto"/>
                              <w:jc w:val="both"/>
                              <w:rPr>
                                <w:rFonts w:cs="Arial"/>
                                <w:lang w:val="es-ES"/>
                              </w:rPr>
                            </w:pPr>
                            <w:r w:rsidRPr="00E35213">
                              <w:rPr>
                                <w:rFonts w:cs="Arial"/>
                                <w:lang w:val="es-ES"/>
                              </w:rPr>
                              <w:t>Resumen:</w:t>
                            </w:r>
                          </w:p>
                          <w:p w:rsidR="00716402" w:rsidRPr="00E35213" w:rsidRDefault="00716402" w:rsidP="00716402">
                            <w:pPr>
                              <w:spacing w:after="0" w:line="240" w:lineRule="auto"/>
                              <w:jc w:val="both"/>
                              <w:rPr>
                                <w:rFonts w:cs="Arial"/>
                                <w:lang w:val="es-ES"/>
                              </w:rPr>
                            </w:pPr>
                          </w:p>
                          <w:p w:rsidR="00716402" w:rsidRPr="00E35213" w:rsidRDefault="00716402" w:rsidP="00716402">
                            <w:pPr>
                              <w:spacing w:after="0" w:line="240" w:lineRule="auto"/>
                              <w:jc w:val="both"/>
                              <w:rPr>
                                <w:rFonts w:cs="Arial"/>
                                <w:lang w:val="es-ES"/>
                              </w:rPr>
                            </w:pPr>
                            <w:r w:rsidRPr="00E35213">
                              <w:rPr>
                                <w:rFonts w:cs="Arial"/>
                                <w:lang w:val="es-ES"/>
                              </w:rPr>
                              <w:t xml:space="preserve">Este documento realiza un seguimiento del progreso en la ejecución de la Resolución 9.21 (Rev.COP12) </w:t>
                            </w:r>
                            <w:r w:rsidRPr="001271CA">
                              <w:rPr>
                                <w:rFonts w:cs="Arial"/>
                                <w:i/>
                                <w:lang w:val="es-ES"/>
                              </w:rPr>
                              <w:t xml:space="preserve">Megafauna </w:t>
                            </w:r>
                            <w:proofErr w:type="spellStart"/>
                            <w:r w:rsidRPr="001271CA">
                              <w:rPr>
                                <w:rFonts w:cs="Arial"/>
                                <w:i/>
                                <w:lang w:val="es-ES"/>
                              </w:rPr>
                              <w:t>sahelo</w:t>
                            </w:r>
                            <w:proofErr w:type="spellEnd"/>
                            <w:r w:rsidRPr="001271CA">
                              <w:rPr>
                                <w:rFonts w:cs="Arial"/>
                                <w:i/>
                                <w:lang w:val="es-ES"/>
                              </w:rPr>
                              <w:t>-sahariana</w:t>
                            </w:r>
                            <w:r w:rsidRPr="00E35213">
                              <w:rPr>
                                <w:rFonts w:cs="Arial"/>
                                <w:lang w:val="es-ES"/>
                              </w:rPr>
                              <w:t xml:space="preserve"> y propone enmendar la Resolución incluida en el Anexo 1. </w:t>
                            </w:r>
                          </w:p>
                          <w:p w:rsidR="00716402" w:rsidRPr="00E35213" w:rsidRDefault="00716402" w:rsidP="00716402">
                            <w:pPr>
                              <w:spacing w:after="0" w:line="240" w:lineRule="auto"/>
                              <w:jc w:val="both"/>
                              <w:rPr>
                                <w:rFonts w:cs="Arial"/>
                                <w:lang w:val="es-ES"/>
                              </w:rPr>
                            </w:pPr>
                          </w:p>
                          <w:p w:rsidR="00716402" w:rsidRPr="00E35213" w:rsidRDefault="00716402" w:rsidP="00716402">
                            <w:pPr>
                              <w:spacing w:after="0" w:line="240" w:lineRule="auto"/>
                              <w:jc w:val="both"/>
                              <w:rPr>
                                <w:rFonts w:cs="Arial"/>
                                <w:iCs/>
                                <w:lang w:val="es-ES"/>
                              </w:rPr>
                            </w:pPr>
                            <w:r>
                              <w:rPr>
                                <w:rFonts w:cs="Arial"/>
                                <w:lang w:val="es-ES"/>
                              </w:rPr>
                              <w:t xml:space="preserve">Este documento se debe leer junto con la propuesta para la renovación y continuación de la acción concertada para la megafauna </w:t>
                            </w:r>
                            <w:proofErr w:type="spellStart"/>
                            <w:r>
                              <w:rPr>
                                <w:rFonts w:cs="Arial"/>
                                <w:lang w:val="es-ES"/>
                              </w:rPr>
                              <w:t>sahelo</w:t>
                            </w:r>
                            <w:proofErr w:type="spellEnd"/>
                            <w:r>
                              <w:rPr>
                                <w:rFonts w:cs="Arial"/>
                                <w:lang w:val="es-ES"/>
                              </w:rPr>
                              <w:t xml:space="preserve">-sahariana según figura en el documento </w:t>
                            </w:r>
                            <w:r w:rsidRPr="00716402">
                              <w:rPr>
                                <w:rFonts w:cs="Arial"/>
                                <w:lang w:val="es-ES"/>
                              </w:rPr>
                              <w:t>UNEP/CMS/COP13/</w:t>
                            </w:r>
                            <w:r>
                              <w:rPr>
                                <w:rFonts w:cs="Arial"/>
                                <w:lang w:val="es-ES"/>
                              </w:rPr>
                              <w:t xml:space="preserve">28.2.4. </w:t>
                            </w:r>
                          </w:p>
                          <w:p w:rsidR="00716402" w:rsidRDefault="00716402" w:rsidP="00002A97">
                            <w:pPr>
                              <w:spacing w:after="0" w:line="240" w:lineRule="auto"/>
                              <w:rPr>
                                <w:rFonts w:cs="Arial"/>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5pt;width:374.2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" strokeweight=".08811mm">
                <v:textbox>
                  <w:txbxContent>
                    <w:p w:rsidR="00716402" w:rsidRPr="00E35213" w:rsidRDefault="00716402" w:rsidP="00716402">
                      <w:pPr>
                        <w:spacing w:after="0" w:line="240" w:lineRule="auto"/>
                        <w:jc w:val="both"/>
                        <w:rPr>
                          <w:rFonts w:cs="Arial"/>
                          <w:lang w:val="es-ES"/>
                        </w:rPr>
                      </w:pPr>
                      <w:r w:rsidRPr="00E35213">
                        <w:rPr>
                          <w:rFonts w:cs="Arial"/>
                          <w:lang w:val="es-ES"/>
                        </w:rPr>
                        <w:t>Resumen:</w:t>
                      </w:r>
                    </w:p>
                    <w:p w:rsidR="00716402" w:rsidRPr="00E35213" w:rsidRDefault="00716402" w:rsidP="00716402">
                      <w:pPr>
                        <w:spacing w:after="0" w:line="240" w:lineRule="auto"/>
                        <w:jc w:val="both"/>
                        <w:rPr>
                          <w:rFonts w:cs="Arial"/>
                          <w:lang w:val="es-ES"/>
                        </w:rPr>
                      </w:pPr>
                    </w:p>
                    <w:p w:rsidR="00716402" w:rsidRPr="00E35213" w:rsidRDefault="00716402" w:rsidP="00716402">
                      <w:pPr>
                        <w:spacing w:after="0" w:line="240" w:lineRule="auto"/>
                        <w:jc w:val="both"/>
                        <w:rPr>
                          <w:rFonts w:cs="Arial"/>
                          <w:lang w:val="es-ES"/>
                        </w:rPr>
                      </w:pPr>
                      <w:r w:rsidRPr="00E35213">
                        <w:rPr>
                          <w:rFonts w:cs="Arial"/>
                          <w:lang w:val="es-ES"/>
                        </w:rPr>
                        <w:t xml:space="preserve">Este documento realiza un seguimiento del progreso en la ejecución de la Resolución 9.21 (Rev.COP12) </w:t>
                      </w:r>
                      <w:r w:rsidRPr="001271CA">
                        <w:rPr>
                          <w:rFonts w:cs="Arial"/>
                          <w:i/>
                          <w:lang w:val="es-ES"/>
                        </w:rPr>
                        <w:t xml:space="preserve">Megafauna </w:t>
                      </w:r>
                      <w:proofErr w:type="spellStart"/>
                      <w:r w:rsidRPr="001271CA">
                        <w:rPr>
                          <w:rFonts w:cs="Arial"/>
                          <w:i/>
                          <w:lang w:val="es-ES"/>
                        </w:rPr>
                        <w:t>sahelo</w:t>
                      </w:r>
                      <w:proofErr w:type="spellEnd"/>
                      <w:r w:rsidRPr="001271CA">
                        <w:rPr>
                          <w:rFonts w:cs="Arial"/>
                          <w:i/>
                          <w:lang w:val="es-ES"/>
                        </w:rPr>
                        <w:t>-sahariana</w:t>
                      </w:r>
                      <w:r w:rsidRPr="00E35213">
                        <w:rPr>
                          <w:rFonts w:cs="Arial"/>
                          <w:lang w:val="es-ES"/>
                        </w:rPr>
                        <w:t xml:space="preserve"> y propone enmendar la Resolución incluida en el Anexo 1. </w:t>
                      </w:r>
                    </w:p>
                    <w:p w:rsidR="00716402" w:rsidRPr="00E35213" w:rsidRDefault="00716402" w:rsidP="00716402">
                      <w:pPr>
                        <w:spacing w:after="0" w:line="240" w:lineRule="auto"/>
                        <w:jc w:val="both"/>
                        <w:rPr>
                          <w:rFonts w:cs="Arial"/>
                          <w:lang w:val="es-ES"/>
                        </w:rPr>
                      </w:pPr>
                    </w:p>
                    <w:p w:rsidR="00716402" w:rsidRPr="00E35213" w:rsidRDefault="00716402" w:rsidP="00716402">
                      <w:pPr>
                        <w:spacing w:after="0" w:line="240" w:lineRule="auto"/>
                        <w:jc w:val="both"/>
                        <w:rPr>
                          <w:rFonts w:cs="Arial"/>
                          <w:iCs/>
                          <w:lang w:val="es-ES"/>
                        </w:rPr>
                      </w:pPr>
                      <w:r>
                        <w:rPr>
                          <w:rFonts w:cs="Arial"/>
                          <w:lang w:val="es-ES"/>
                        </w:rPr>
                        <w:t xml:space="preserve">Este documento se debe leer junto con la propuesta para la renovación y continuación de la acción concertada para la megafauna </w:t>
                      </w:r>
                      <w:proofErr w:type="spellStart"/>
                      <w:r>
                        <w:rPr>
                          <w:rFonts w:cs="Arial"/>
                          <w:lang w:val="es-ES"/>
                        </w:rPr>
                        <w:t>sahelo</w:t>
                      </w:r>
                      <w:proofErr w:type="spellEnd"/>
                      <w:r>
                        <w:rPr>
                          <w:rFonts w:cs="Arial"/>
                          <w:lang w:val="es-ES"/>
                        </w:rPr>
                        <w:t xml:space="preserve">-sahariana según figura en el documento </w:t>
                      </w:r>
                      <w:r w:rsidRPr="00716402">
                        <w:rPr>
                          <w:rFonts w:cs="Arial"/>
                          <w:lang w:val="es-ES"/>
                        </w:rPr>
                        <w:t>UNEP/CMS/COP13/</w:t>
                      </w:r>
                      <w:r>
                        <w:rPr>
                          <w:rFonts w:cs="Arial"/>
                          <w:lang w:val="es-ES"/>
                        </w:rPr>
                        <w:t xml:space="preserve">28.2.4. </w:t>
                      </w:r>
                    </w:p>
                    <w:p w:rsidR="00716402" w:rsidRDefault="00716402" w:rsidP="00002A97">
                      <w:pPr>
                        <w:spacing w:after="0" w:line="240" w:lineRule="auto"/>
                        <w:rPr>
                          <w:rFonts w:cs="Arial"/>
                          <w:lang w:val="es-ES"/>
                        </w:rPr>
                      </w:pP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716402" w:rsidRPr="00716402" w:rsidRDefault="00716402" w:rsidP="00716402">
      <w:pPr>
        <w:pStyle w:val="Heading2"/>
        <w:keepNext w:val="0"/>
        <w:ind w:left="-90" w:right="-367"/>
        <w:jc w:val="center"/>
        <w:rPr>
          <w:rFonts w:cs="Arial"/>
          <w:sz w:val="22"/>
          <w:szCs w:val="22"/>
          <w:lang w:val="es-ES"/>
        </w:rPr>
      </w:pPr>
      <w:r w:rsidRPr="00716402">
        <w:rPr>
          <w:rFonts w:cs="Arial"/>
          <w:sz w:val="22"/>
          <w:szCs w:val="22"/>
          <w:lang w:val="es-ES"/>
        </w:rPr>
        <w:t xml:space="preserve">MEGAFAUNA SAHELO-SAHARIANA </w:t>
      </w:r>
    </w:p>
    <w:p w:rsidR="00002A97" w:rsidRDefault="00002A97" w:rsidP="009C749A">
      <w:pPr>
        <w:pStyle w:val="Firstnumbering1"/>
        <w:numPr>
          <w:ilvl w:val="0"/>
          <w:numId w:val="0"/>
        </w:numPr>
        <w:ind w:left="567" w:hanging="567"/>
        <w:rPr>
          <w:shd w:val="clear" w:color="auto" w:fill="FFFF00"/>
        </w:rPr>
      </w:pPr>
    </w:p>
    <w:p w:rsidR="00716402" w:rsidRPr="00002A97" w:rsidRDefault="00716402" w:rsidP="00002A97">
      <w:pPr>
        <w:widowControl w:val="0"/>
        <w:suppressAutoHyphens/>
        <w:autoSpaceDE w:val="0"/>
        <w:autoSpaceDN w:val="0"/>
        <w:spacing w:after="0" w:line="240" w:lineRule="auto"/>
        <w:jc w:val="both"/>
        <w:textAlignment w:val="baseline"/>
        <w:rPr>
          <w:rFonts w:eastAsia="Times New Roman" w:cs="Arial"/>
          <w:b/>
          <w:shd w:val="clear" w:color="auto" w:fill="FFFF00"/>
          <w:lang w:val="es-ES" w:eastAsia="es-ES"/>
        </w:rPr>
      </w:pPr>
    </w:p>
    <w:p w:rsidR="00002A97" w:rsidRPr="00002A97" w:rsidRDefault="00002A97" w:rsidP="00002A97">
      <w:pPr>
        <w:widowControl w:val="0"/>
        <w:suppressAutoHyphens/>
        <w:autoSpaceDE w:val="0"/>
        <w:autoSpaceDN w:val="0"/>
        <w:spacing w:after="0" w:line="240" w:lineRule="auto"/>
        <w:jc w:val="both"/>
        <w:textAlignment w:val="baseline"/>
        <w:rPr>
          <w:rFonts w:ascii="Calibri" w:eastAsia="Calibri" w:hAnsi="Calibri" w:cs="Times New Roman"/>
        </w:rPr>
      </w:pPr>
      <w:r w:rsidRPr="00002A97">
        <w:rPr>
          <w:rFonts w:eastAsia="Times New Roman" w:cs="Arial"/>
          <w:szCs w:val="24"/>
          <w:u w:val="single"/>
          <w:lang w:val="es-ES" w:eastAsia="es-ES"/>
        </w:rPr>
        <w:t>Antecedentes</w:t>
      </w: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9C749A" w:rsidRPr="00E35213" w:rsidRDefault="009C749A" w:rsidP="009C749A">
      <w:pPr>
        <w:pStyle w:val="Firstnumbering1"/>
      </w:pPr>
      <w:r>
        <w:t xml:space="preserve">La acción concertada para la megafauna </w:t>
      </w:r>
      <w:proofErr w:type="spellStart"/>
      <w:r>
        <w:t>sahelo</w:t>
      </w:r>
      <w:proofErr w:type="spellEnd"/>
      <w:r>
        <w:t xml:space="preserve">-sahariana se inició en 1994 como la acción concertada para los ungulados </w:t>
      </w:r>
      <w:proofErr w:type="spellStart"/>
      <w:r>
        <w:t>sahelo</w:t>
      </w:r>
      <w:proofErr w:type="spellEnd"/>
      <w:r>
        <w:t>-saharianos</w:t>
      </w:r>
      <w:r w:rsidRPr="008C2859">
        <w:rPr>
          <w:rStyle w:val="FootnoteReference"/>
          <w:vertAlign w:val="superscript"/>
        </w:rPr>
        <w:footnoteReference w:id="1"/>
      </w:r>
      <w:r w:rsidRPr="008C2859">
        <w:rPr>
          <w:vertAlign w:val="superscript"/>
        </w:rPr>
        <w:t xml:space="preserve"> </w:t>
      </w:r>
      <w:r>
        <w:t xml:space="preserve">. La acción concertada trata de conservar y recuperar seis especies de antílopes: </w:t>
      </w:r>
      <w:proofErr w:type="spellStart"/>
      <w:r w:rsidRPr="00E35213">
        <w:rPr>
          <w:shd w:val="clear" w:color="auto" w:fill="FFFFFF"/>
        </w:rPr>
        <w:t>addax</w:t>
      </w:r>
      <w:proofErr w:type="spellEnd"/>
      <w:r w:rsidRPr="00E35213">
        <w:rPr>
          <w:shd w:val="clear" w:color="auto" w:fill="FFFFFF"/>
        </w:rPr>
        <w:t xml:space="preserve"> (</w:t>
      </w:r>
      <w:proofErr w:type="spellStart"/>
      <w:r w:rsidRPr="00E35213">
        <w:rPr>
          <w:i/>
          <w:iCs/>
          <w:shd w:val="clear" w:color="auto" w:fill="FFFFFF"/>
        </w:rPr>
        <w:t>Addax</w:t>
      </w:r>
      <w:proofErr w:type="spellEnd"/>
      <w:r w:rsidRPr="00E35213">
        <w:rPr>
          <w:i/>
          <w:iCs/>
          <w:shd w:val="clear" w:color="auto" w:fill="FFFFFF"/>
        </w:rPr>
        <w:t xml:space="preserve"> </w:t>
      </w:r>
      <w:proofErr w:type="spellStart"/>
      <w:r w:rsidRPr="00E35213">
        <w:rPr>
          <w:i/>
          <w:iCs/>
          <w:shd w:val="clear" w:color="auto" w:fill="FFFFFF"/>
        </w:rPr>
        <w:t>nasomaculatus</w:t>
      </w:r>
      <w:proofErr w:type="spellEnd"/>
      <w:r w:rsidRPr="00E35213">
        <w:rPr>
          <w:shd w:val="clear" w:color="auto" w:fill="FFFFFF"/>
        </w:rPr>
        <w:t xml:space="preserve">), gacela de </w:t>
      </w:r>
      <w:proofErr w:type="spellStart"/>
      <w:r w:rsidRPr="00E35213">
        <w:rPr>
          <w:shd w:val="clear" w:color="auto" w:fill="FFFFFF"/>
        </w:rPr>
        <w:t>cuvier</w:t>
      </w:r>
      <w:proofErr w:type="spellEnd"/>
      <w:r w:rsidRPr="00E35213">
        <w:rPr>
          <w:shd w:val="clear" w:color="auto" w:fill="FFFFFF"/>
        </w:rPr>
        <w:t xml:space="preserve"> (</w:t>
      </w:r>
      <w:proofErr w:type="spellStart"/>
      <w:r w:rsidRPr="00E35213">
        <w:rPr>
          <w:i/>
          <w:iCs/>
          <w:shd w:val="clear" w:color="auto" w:fill="FFFFFF"/>
        </w:rPr>
        <w:t>Gazella</w:t>
      </w:r>
      <w:proofErr w:type="spellEnd"/>
      <w:r w:rsidRPr="00E35213">
        <w:rPr>
          <w:i/>
          <w:iCs/>
          <w:shd w:val="clear" w:color="auto" w:fill="FFFFFF"/>
        </w:rPr>
        <w:t xml:space="preserve"> </w:t>
      </w:r>
      <w:proofErr w:type="spellStart"/>
      <w:r w:rsidRPr="00E35213">
        <w:rPr>
          <w:i/>
          <w:iCs/>
          <w:shd w:val="clear" w:color="auto" w:fill="FFFFFF"/>
        </w:rPr>
        <w:t>cuvieri</w:t>
      </w:r>
      <w:proofErr w:type="spellEnd"/>
      <w:r w:rsidRPr="00E35213">
        <w:rPr>
          <w:shd w:val="clear" w:color="auto" w:fill="FFFFFF"/>
        </w:rPr>
        <w:t>), gacela dama (</w:t>
      </w:r>
      <w:proofErr w:type="spellStart"/>
      <w:r w:rsidRPr="00E35213">
        <w:rPr>
          <w:i/>
          <w:iCs/>
          <w:shd w:val="clear" w:color="auto" w:fill="FFFFFF"/>
        </w:rPr>
        <w:t>Nanger</w:t>
      </w:r>
      <w:proofErr w:type="spellEnd"/>
      <w:r w:rsidRPr="00E35213">
        <w:rPr>
          <w:i/>
          <w:iCs/>
          <w:shd w:val="clear" w:color="auto" w:fill="FFFFFF"/>
        </w:rPr>
        <w:t xml:space="preserve"> dama</w:t>
      </w:r>
      <w:r w:rsidRPr="00E35213">
        <w:rPr>
          <w:shd w:val="clear" w:color="auto" w:fill="FFFFFF"/>
        </w:rPr>
        <w:t xml:space="preserve">), </w:t>
      </w:r>
      <w:proofErr w:type="spellStart"/>
      <w:r w:rsidRPr="00E35213">
        <w:rPr>
          <w:shd w:val="clear" w:color="auto" w:fill="FFFFFF"/>
        </w:rPr>
        <w:t>orix</w:t>
      </w:r>
      <w:proofErr w:type="spellEnd"/>
      <w:r w:rsidRPr="00E35213">
        <w:rPr>
          <w:shd w:val="clear" w:color="auto" w:fill="FFFFFF"/>
        </w:rPr>
        <w:t xml:space="preserve"> cimitarra (</w:t>
      </w:r>
      <w:proofErr w:type="spellStart"/>
      <w:r w:rsidRPr="00E35213">
        <w:rPr>
          <w:i/>
          <w:iCs/>
          <w:shd w:val="clear" w:color="auto" w:fill="FFFFFF"/>
        </w:rPr>
        <w:t>Oryx</w:t>
      </w:r>
      <w:proofErr w:type="spellEnd"/>
      <w:r w:rsidRPr="00E35213">
        <w:rPr>
          <w:i/>
          <w:iCs/>
          <w:shd w:val="clear" w:color="auto" w:fill="FFFFFF"/>
        </w:rPr>
        <w:t xml:space="preserve"> </w:t>
      </w:r>
      <w:proofErr w:type="spellStart"/>
      <w:r w:rsidRPr="00E35213">
        <w:rPr>
          <w:i/>
          <w:iCs/>
          <w:shd w:val="clear" w:color="auto" w:fill="FFFFFF"/>
        </w:rPr>
        <w:t>dammah</w:t>
      </w:r>
      <w:proofErr w:type="spellEnd"/>
      <w:r w:rsidRPr="00E35213">
        <w:rPr>
          <w:shd w:val="clear" w:color="auto" w:fill="FFFFFF"/>
        </w:rPr>
        <w:t>), gacela de astas delgadas (</w:t>
      </w:r>
      <w:proofErr w:type="spellStart"/>
      <w:r w:rsidRPr="00E35213">
        <w:rPr>
          <w:i/>
          <w:iCs/>
          <w:shd w:val="clear" w:color="auto" w:fill="FFFFFF"/>
        </w:rPr>
        <w:t>Gazella</w:t>
      </w:r>
      <w:proofErr w:type="spellEnd"/>
      <w:r w:rsidRPr="00E35213">
        <w:rPr>
          <w:i/>
          <w:iCs/>
          <w:shd w:val="clear" w:color="auto" w:fill="FFFFFF"/>
        </w:rPr>
        <w:t xml:space="preserve"> </w:t>
      </w:r>
      <w:proofErr w:type="spellStart"/>
      <w:r w:rsidRPr="00E35213">
        <w:rPr>
          <w:i/>
          <w:iCs/>
          <w:shd w:val="clear" w:color="auto" w:fill="FFFFFF"/>
        </w:rPr>
        <w:t>leptoceros</w:t>
      </w:r>
      <w:proofErr w:type="spellEnd"/>
      <w:r w:rsidRPr="00E35213">
        <w:rPr>
          <w:shd w:val="clear" w:color="auto" w:fill="FFFFFF"/>
        </w:rPr>
        <w:t xml:space="preserve">) y gacela </w:t>
      </w:r>
      <w:proofErr w:type="spellStart"/>
      <w:r w:rsidRPr="00E35213">
        <w:rPr>
          <w:shd w:val="clear" w:color="auto" w:fill="FFFFFF"/>
        </w:rPr>
        <w:t>dorcas</w:t>
      </w:r>
      <w:proofErr w:type="spellEnd"/>
      <w:r w:rsidRPr="00E35213">
        <w:rPr>
          <w:shd w:val="clear" w:color="auto" w:fill="FFFFFF"/>
        </w:rPr>
        <w:t xml:space="preserve"> (</w:t>
      </w:r>
      <w:proofErr w:type="spellStart"/>
      <w:r w:rsidRPr="00E35213">
        <w:rPr>
          <w:i/>
          <w:iCs/>
          <w:shd w:val="clear" w:color="auto" w:fill="FFFFFF"/>
        </w:rPr>
        <w:t>Gazella</w:t>
      </w:r>
      <w:proofErr w:type="spellEnd"/>
      <w:r w:rsidRPr="00E35213">
        <w:rPr>
          <w:i/>
          <w:iCs/>
          <w:shd w:val="clear" w:color="auto" w:fill="FFFFFF"/>
        </w:rPr>
        <w:t xml:space="preserve"> </w:t>
      </w:r>
      <w:proofErr w:type="spellStart"/>
      <w:r w:rsidRPr="00E35213">
        <w:rPr>
          <w:i/>
          <w:iCs/>
          <w:shd w:val="clear" w:color="auto" w:fill="FFFFFF"/>
        </w:rPr>
        <w:t>dorcas</w:t>
      </w:r>
      <w:proofErr w:type="spellEnd"/>
      <w:r w:rsidRPr="00E35213">
        <w:rPr>
          <w:shd w:val="clear" w:color="auto" w:fill="FFFFFF"/>
        </w:rPr>
        <w:t>)</w:t>
      </w:r>
      <w:r w:rsidRPr="00027C59">
        <w:rPr>
          <w:rStyle w:val="FootnoteReference"/>
          <w:shd w:val="clear" w:color="auto" w:fill="FFFFFF"/>
          <w:vertAlign w:val="superscript"/>
        </w:rPr>
        <w:footnoteReference w:id="2"/>
      </w:r>
      <w:r w:rsidRPr="00E35213">
        <w:rPr>
          <w:shd w:val="clear" w:color="auto" w:fill="FFFFFF"/>
        </w:rPr>
        <w:t xml:space="preserve">. El Consejo Científico ha desempeñado un papel crucial en el inicio de la acción concertada al preparar la propuesta inicial y un borrador del Plan de Acción para la acción concertada. </w:t>
      </w:r>
      <w:r>
        <w:t xml:space="preserve">Junto con el Consejo Científico, la Secretaría de la CMS apoya la acción concertada para la megafauna </w:t>
      </w:r>
      <w:proofErr w:type="spellStart"/>
      <w:r>
        <w:t>sahelo</w:t>
      </w:r>
      <w:proofErr w:type="spellEnd"/>
      <w:r>
        <w:t>-sahariana</w:t>
      </w:r>
      <w:r w:rsidRPr="00A8357B">
        <w:rPr>
          <w:rStyle w:val="FootnoteReference"/>
          <w:vertAlign w:val="superscript"/>
        </w:rPr>
        <w:footnoteReference w:id="3"/>
      </w:r>
      <w:r>
        <w:t>.</w:t>
      </w:r>
    </w:p>
    <w:p w:rsidR="009C749A" w:rsidRPr="00E35213" w:rsidRDefault="009C749A" w:rsidP="009C749A">
      <w:pPr>
        <w:spacing w:after="0" w:line="240" w:lineRule="auto"/>
        <w:ind w:left="360"/>
        <w:contextualSpacing/>
        <w:jc w:val="both"/>
        <w:rPr>
          <w:rFonts w:cs="Arial"/>
          <w:lang w:val="es-ES"/>
        </w:rPr>
      </w:pPr>
    </w:p>
    <w:p w:rsidR="009C749A" w:rsidRPr="00E35213" w:rsidRDefault="009C749A" w:rsidP="009C749A">
      <w:pPr>
        <w:pStyle w:val="Firstnumbering1"/>
      </w:pPr>
      <w:r>
        <w:t xml:space="preserve">En el Seminario sobre la conservación y restauración de los antílopes </w:t>
      </w:r>
      <w:proofErr w:type="spellStart"/>
      <w:r>
        <w:t>sahelo</w:t>
      </w:r>
      <w:proofErr w:type="spellEnd"/>
      <w:r>
        <w:t>-saharianos (</w:t>
      </w:r>
      <w:proofErr w:type="spellStart"/>
      <w:r>
        <w:t>Djerba</w:t>
      </w:r>
      <w:proofErr w:type="spellEnd"/>
      <w:r>
        <w:t xml:space="preserve">, 1998), todos los Estados del área de distribución finalizaron y adoptaron el borrador del Plan de Acción como el </w:t>
      </w:r>
      <w:hyperlink r:id="rId8" w:history="1">
        <w:r>
          <w:rPr>
            <w:rStyle w:val="Hyperlink"/>
            <w:rFonts w:eastAsiaTheme="minorEastAsia" w:cs="Arial"/>
          </w:rPr>
          <w:t xml:space="preserve">Plan de Acción del antílope </w:t>
        </w:r>
        <w:proofErr w:type="spellStart"/>
        <w:r>
          <w:rPr>
            <w:rStyle w:val="Hyperlink"/>
            <w:rFonts w:eastAsiaTheme="minorEastAsia" w:cs="Arial"/>
          </w:rPr>
          <w:t>sahelo</w:t>
        </w:r>
        <w:proofErr w:type="spellEnd"/>
        <w:r>
          <w:rPr>
            <w:rStyle w:val="Hyperlink"/>
            <w:rFonts w:eastAsiaTheme="minorEastAsia" w:cs="Arial"/>
          </w:rPr>
          <w:t>-sahariano (Plan de Acción</w:t>
        </w:r>
      </w:hyperlink>
      <w:r>
        <w:t xml:space="preserve">) a través de la </w:t>
      </w:r>
      <w:hyperlink r:id="rId9" w:history="1">
        <w:r w:rsidRPr="007F2BBA">
          <w:rPr>
            <w:rStyle w:val="Hyperlink"/>
            <w:rFonts w:eastAsiaTheme="minorEastAsia" w:cs="Arial"/>
          </w:rPr>
          <w:t xml:space="preserve">Declaración de </w:t>
        </w:r>
        <w:proofErr w:type="spellStart"/>
        <w:r w:rsidRPr="007F2BBA">
          <w:rPr>
            <w:rStyle w:val="Hyperlink"/>
            <w:rFonts w:eastAsiaTheme="minorEastAsia" w:cs="Arial"/>
          </w:rPr>
          <w:t>Djerba</w:t>
        </w:r>
        <w:proofErr w:type="spellEnd"/>
      </w:hyperlink>
      <w:r>
        <w:rPr>
          <w:rStyle w:val="Hyperlink"/>
          <w:rFonts w:eastAsiaTheme="minorEastAsia" w:cs="Arial"/>
        </w:rPr>
        <w:t>.</w:t>
      </w:r>
      <w:r>
        <w:t xml:space="preserve"> Aunque el Plan de Acción se centraba en la restauración de especies de antílopes únicas en la región, trata de encontrar el equilibrio entre las medidas para el desarrollo social y los esfuerzos de conservación.</w:t>
      </w:r>
      <w:r w:rsidRPr="003510CA">
        <w:rPr>
          <w:rStyle w:val="FootnoteReference"/>
          <w:vertAlign w:val="superscript"/>
        </w:rPr>
        <w:footnoteReference w:id="4"/>
      </w:r>
      <w:r w:rsidRPr="001B4F0B">
        <w:t xml:space="preserve">. </w:t>
      </w:r>
    </w:p>
    <w:p w:rsidR="009C749A" w:rsidRPr="00E35213" w:rsidRDefault="009C749A" w:rsidP="009C749A">
      <w:pPr>
        <w:spacing w:after="0" w:line="240" w:lineRule="auto"/>
        <w:ind w:left="360"/>
        <w:contextualSpacing/>
        <w:jc w:val="both"/>
        <w:rPr>
          <w:rFonts w:cs="Arial"/>
          <w:lang w:val="es-ES"/>
        </w:rPr>
      </w:pPr>
    </w:p>
    <w:p w:rsidR="009C749A" w:rsidRPr="00E35213" w:rsidRDefault="009C749A" w:rsidP="009C749A">
      <w:pPr>
        <w:pStyle w:val="Firstnumbering1"/>
      </w:pPr>
      <w:r>
        <w:t xml:space="preserve">Los Estados del área de distribución han actualizado y adaptado el Plan de Acción en el segundo seminario regional a través de la </w:t>
      </w:r>
      <w:hyperlink r:id="rId10" w:history="1">
        <w:r w:rsidRPr="007F2BBA">
          <w:rPr>
            <w:rStyle w:val="Hyperlink"/>
            <w:rFonts w:eastAsiaTheme="minorEastAsia" w:cs="Arial"/>
          </w:rPr>
          <w:t>Declaración de Agadir</w:t>
        </w:r>
      </w:hyperlink>
      <w:r>
        <w:t xml:space="preserve"> de 2003</w:t>
      </w:r>
      <w:r w:rsidRPr="00872867">
        <w:rPr>
          <w:rStyle w:val="FootnoteReference"/>
          <w:vertAlign w:val="superscript"/>
        </w:rPr>
        <w:footnoteReference w:id="5"/>
      </w:r>
      <w:r>
        <w:t xml:space="preserve">. La Declaración exige una tercera reunión regional en un plazo de cuatro años para evaluar los progresos logrados; revisar el Plan de Acción a la luz del progreso realizado y los contratiempos hallados; y analizar las opciones para mejorar la ejecución de este Plan de Acción de conformidad con la experiencia adquirida. No obstante, desde 2003, no se han celebrado seminarios regionales debido a las limitaciones de recursos. </w:t>
      </w:r>
    </w:p>
    <w:p w:rsidR="009C749A" w:rsidRPr="00E35213" w:rsidRDefault="009C749A" w:rsidP="009C749A">
      <w:pPr>
        <w:spacing w:after="0" w:line="240" w:lineRule="auto"/>
        <w:contextualSpacing/>
        <w:jc w:val="both"/>
        <w:rPr>
          <w:rFonts w:cs="Arial"/>
          <w:u w:val="single"/>
          <w:lang w:val="es-ES"/>
        </w:rPr>
      </w:pPr>
    </w:p>
    <w:p w:rsidR="009C749A" w:rsidRPr="00E35213" w:rsidRDefault="009C749A" w:rsidP="009C749A">
      <w:pPr>
        <w:pStyle w:val="Firstnumbering1"/>
      </w:pPr>
      <w:r>
        <w:t xml:space="preserve">A pesar de ello, desde 2003 se han llevado a cabo varios proyectos para ejecutar el Plan de Acción del antílope </w:t>
      </w:r>
      <w:proofErr w:type="spellStart"/>
      <w:r>
        <w:t>sahelo</w:t>
      </w:r>
      <w:proofErr w:type="spellEnd"/>
      <w:r>
        <w:t xml:space="preserve">-sahariano. Los primeros proyectos, financiados de manera conjunta por la Secretaría de la CMS y el </w:t>
      </w:r>
      <w:proofErr w:type="spellStart"/>
      <w:r>
        <w:t>Fonds</w:t>
      </w:r>
      <w:proofErr w:type="spellEnd"/>
      <w:r>
        <w:t xml:space="preserve"> Français </w:t>
      </w:r>
      <w:proofErr w:type="spellStart"/>
      <w:r>
        <w:t>pour</w:t>
      </w:r>
      <w:proofErr w:type="spellEnd"/>
      <w:r>
        <w:t xml:space="preserve"> </w:t>
      </w:r>
      <w:proofErr w:type="spellStart"/>
      <w:r>
        <w:t>l’Environnement</w:t>
      </w:r>
      <w:proofErr w:type="spellEnd"/>
      <w:r>
        <w:t xml:space="preserve"> </w:t>
      </w:r>
      <w:proofErr w:type="spellStart"/>
      <w:r>
        <w:t>Mondial</w:t>
      </w:r>
      <w:proofErr w:type="spellEnd"/>
      <w:r>
        <w:t xml:space="preserve"> (FFM), se llevaron a cabo entre 2003 y 2008 en Chad, Malí, Mauritania, Marruecos, Níger, Senegal y Túnez. En Níger, por ejemplo, el proyecto contribuyó al desarrollo inicial del área protegida </w:t>
      </w:r>
      <w:proofErr w:type="spellStart"/>
      <w:r>
        <w:t>Termit</w:t>
      </w:r>
      <w:proofErr w:type="spellEnd"/>
      <w:r>
        <w:t xml:space="preserve"> </w:t>
      </w:r>
      <w:proofErr w:type="spellStart"/>
      <w:r>
        <w:t>Tin-Toumma</w:t>
      </w:r>
      <w:proofErr w:type="spellEnd"/>
      <w:r>
        <w:t xml:space="preserve"> que, junto con otras labores, dio lugar al establecimiento de la Reserva Natural de </w:t>
      </w:r>
      <w:proofErr w:type="spellStart"/>
      <w:r>
        <w:t>Termit</w:t>
      </w:r>
      <w:proofErr w:type="spellEnd"/>
      <w:r>
        <w:t xml:space="preserve"> </w:t>
      </w:r>
      <w:proofErr w:type="spellStart"/>
      <w:r>
        <w:t>Tin-Toumma</w:t>
      </w:r>
      <w:proofErr w:type="spellEnd"/>
      <w:r>
        <w:t xml:space="preserve"> en 2012. </w:t>
      </w:r>
    </w:p>
    <w:p w:rsidR="009C749A" w:rsidRPr="00E35213" w:rsidRDefault="009C749A" w:rsidP="009C749A">
      <w:pPr>
        <w:spacing w:after="0" w:line="240" w:lineRule="auto"/>
        <w:contextualSpacing/>
        <w:jc w:val="both"/>
        <w:rPr>
          <w:rFonts w:cs="Arial"/>
          <w:lang w:val="es-ES"/>
        </w:rPr>
      </w:pPr>
    </w:p>
    <w:p w:rsidR="009C749A" w:rsidRPr="00E35213" w:rsidRDefault="009C749A" w:rsidP="009C749A">
      <w:pPr>
        <w:pStyle w:val="Firstnumbering1"/>
      </w:pPr>
      <w:r>
        <w:t xml:space="preserve">En 2008, la Conferencia de las Partes (COP) de la CMS decidió ampliar la acción concertada para los ungulados </w:t>
      </w:r>
      <w:proofErr w:type="spellStart"/>
      <w:r>
        <w:t>sahelo</w:t>
      </w:r>
      <w:proofErr w:type="spellEnd"/>
      <w:r>
        <w:t xml:space="preserve">-saharianos mediante la incorporación de otras especies de grandes mamíferos presentes en el área de la acción concertada.  A través de la Recomendación 9.2, la acción concertada para los ungulados </w:t>
      </w:r>
      <w:proofErr w:type="spellStart"/>
      <w:r>
        <w:t>sahelo</w:t>
      </w:r>
      <w:proofErr w:type="spellEnd"/>
      <w:r>
        <w:t xml:space="preserve">-saharianos se reformuló como la acción concertada para la megafauna </w:t>
      </w:r>
      <w:proofErr w:type="spellStart"/>
      <w:r>
        <w:t>sahelo</w:t>
      </w:r>
      <w:proofErr w:type="spellEnd"/>
      <w:r>
        <w:t xml:space="preserve">-sahariana. </w:t>
      </w:r>
    </w:p>
    <w:p w:rsidR="009C749A" w:rsidRPr="00E35213" w:rsidRDefault="009C749A" w:rsidP="009C749A">
      <w:pPr>
        <w:spacing w:after="0" w:line="240" w:lineRule="auto"/>
        <w:contextualSpacing/>
        <w:jc w:val="both"/>
        <w:rPr>
          <w:rFonts w:cs="Arial"/>
          <w:sz w:val="24"/>
          <w:lang w:val="es-ES"/>
        </w:rPr>
      </w:pPr>
    </w:p>
    <w:p w:rsidR="009C749A" w:rsidRPr="00E35213" w:rsidRDefault="009C749A" w:rsidP="009C749A">
      <w:pPr>
        <w:pStyle w:val="Firstnumbering1"/>
        <w:rPr>
          <w:sz w:val="24"/>
        </w:rPr>
      </w:pPr>
      <w:r>
        <w:t xml:space="preserve">Desde entonces, han proseguido las actividades de conservación bajo la acción concertada reformulada para la megafauna </w:t>
      </w:r>
      <w:proofErr w:type="spellStart"/>
      <w:r>
        <w:t>sahelo</w:t>
      </w:r>
      <w:proofErr w:type="spellEnd"/>
      <w:r>
        <w:t xml:space="preserve">-sahariana. En 2016, el Gobierno del Chad inició con éxito la reintroducción del </w:t>
      </w:r>
      <w:proofErr w:type="spellStart"/>
      <w:r>
        <w:t>orix</w:t>
      </w:r>
      <w:proofErr w:type="spellEnd"/>
      <w:r>
        <w:t xml:space="preserve"> cimitarra (</w:t>
      </w:r>
      <w:proofErr w:type="spellStart"/>
      <w:r w:rsidRPr="00804E93">
        <w:rPr>
          <w:i/>
        </w:rPr>
        <w:t>Oryx</w:t>
      </w:r>
      <w:proofErr w:type="spellEnd"/>
      <w:r w:rsidRPr="00804E93">
        <w:rPr>
          <w:i/>
        </w:rPr>
        <w:t xml:space="preserve"> </w:t>
      </w:r>
      <w:proofErr w:type="spellStart"/>
      <w:r w:rsidRPr="00804E93">
        <w:rPr>
          <w:i/>
        </w:rPr>
        <w:t>dammah</w:t>
      </w:r>
      <w:proofErr w:type="spellEnd"/>
      <w:r w:rsidRPr="00804E93">
        <w:t xml:space="preserve">) con ayuda del Gobierno de Abu </w:t>
      </w:r>
      <w:proofErr w:type="spellStart"/>
      <w:r w:rsidRPr="00804E93">
        <w:t>Dhabi</w:t>
      </w:r>
      <w:proofErr w:type="spellEnd"/>
      <w:r w:rsidRPr="00804E93">
        <w:t xml:space="preserve">, la Agencia Medioambiental de Abu </w:t>
      </w:r>
      <w:proofErr w:type="spellStart"/>
      <w:r w:rsidRPr="00804E93">
        <w:t>Dhabi</w:t>
      </w:r>
      <w:proofErr w:type="spellEnd"/>
      <w:r w:rsidRPr="00804E93">
        <w:t xml:space="preserve"> y la asistencia técnica del Fondo para la Conservación del Sahara. Esta especie llevaba 30 años extinta en el hábitat natural de su área de distribución.</w:t>
      </w:r>
    </w:p>
    <w:p w:rsidR="009C749A" w:rsidRPr="00E35213" w:rsidRDefault="009C749A" w:rsidP="009C749A">
      <w:pPr>
        <w:spacing w:after="0" w:line="240" w:lineRule="auto"/>
        <w:jc w:val="both"/>
        <w:rPr>
          <w:szCs w:val="21"/>
          <w:lang w:val="es-ES"/>
        </w:rPr>
      </w:pPr>
    </w:p>
    <w:p w:rsidR="009C749A" w:rsidRPr="00E35213" w:rsidRDefault="009C749A" w:rsidP="009C749A">
      <w:pPr>
        <w:spacing w:after="0" w:line="240" w:lineRule="auto"/>
        <w:jc w:val="both"/>
        <w:rPr>
          <w:rFonts w:cs="Arial"/>
          <w:u w:val="single"/>
          <w:lang w:val="es-ES"/>
        </w:rPr>
      </w:pPr>
    </w:p>
    <w:p w:rsidR="009C749A" w:rsidRPr="00E35213" w:rsidRDefault="009C749A" w:rsidP="009C749A">
      <w:pPr>
        <w:spacing w:after="0" w:line="240" w:lineRule="auto"/>
        <w:jc w:val="both"/>
        <w:rPr>
          <w:rFonts w:cs="Arial"/>
          <w:u w:val="single"/>
          <w:lang w:val="es-ES"/>
        </w:rPr>
      </w:pPr>
      <w:r>
        <w:rPr>
          <w:rFonts w:cs="Arial"/>
          <w:u w:val="single"/>
          <w:lang w:val="es-ES"/>
        </w:rPr>
        <w:t xml:space="preserve">Amenazas y retos continuos para la megafauna </w:t>
      </w:r>
      <w:proofErr w:type="spellStart"/>
      <w:r>
        <w:rPr>
          <w:rFonts w:cs="Arial"/>
          <w:u w:val="single"/>
          <w:lang w:val="es-ES"/>
        </w:rPr>
        <w:t>sahelo</w:t>
      </w:r>
      <w:proofErr w:type="spellEnd"/>
      <w:r>
        <w:rPr>
          <w:rFonts w:cs="Arial"/>
          <w:u w:val="single"/>
          <w:lang w:val="es-ES"/>
        </w:rPr>
        <w:t>-sahariana.</w:t>
      </w:r>
    </w:p>
    <w:p w:rsidR="009C749A" w:rsidRPr="00E35213" w:rsidRDefault="009C749A" w:rsidP="009C749A">
      <w:pPr>
        <w:spacing w:after="0" w:line="240" w:lineRule="auto"/>
        <w:jc w:val="both"/>
        <w:rPr>
          <w:rFonts w:cs="Arial"/>
          <w:u w:val="single"/>
          <w:lang w:val="es-ES"/>
        </w:rPr>
      </w:pPr>
    </w:p>
    <w:p w:rsidR="009C749A" w:rsidRPr="00E35213" w:rsidRDefault="009C749A" w:rsidP="00801C6E">
      <w:pPr>
        <w:pStyle w:val="Firstnumbering1"/>
      </w:pPr>
      <w:r>
        <w:t xml:space="preserve">A pesar de los logros obtenidos en virtud de la acción concertada, la megafauna </w:t>
      </w:r>
      <w:proofErr w:type="spellStart"/>
      <w:r>
        <w:t>sahelo</w:t>
      </w:r>
      <w:proofErr w:type="spellEnd"/>
      <w:r>
        <w:t>-sahariana sigue haciendo frente a un declive catastrófico. Estas especies se enfrentan a numerosas amenazas como la caza furtiva, el desarrollo de infraestructuras, la expansión agrícola, la urbanización y las actividades de extracción de recursos. Estas amenazas están interrelacionadas y tienen un impacto acumulativo en la megafauna, así como en los hábitats de los que dependen. El aumento de los conflictos humanos y la agitación social en la región agravan la disminución de la biodiversidad. El número de conflictos en la región ha aumentado más de cinco veces desde 2011</w:t>
      </w:r>
      <w:r w:rsidRPr="002B3915">
        <w:rPr>
          <w:rStyle w:val="FootnoteReference"/>
          <w:vertAlign w:val="superscript"/>
        </w:rPr>
        <w:footnoteReference w:id="6"/>
      </w:r>
      <w:r>
        <w:t xml:space="preserve"> y se estima que la matanza ilegal de la fauna de la región está correlacionada con el conflicto, el terrorismo, la trata de personas y el crimen organizado.</w:t>
      </w:r>
      <w:r w:rsidRPr="0018073D">
        <w:rPr>
          <w:rStyle w:val="FootnoteReference"/>
          <w:vertAlign w:val="superscript"/>
        </w:rPr>
        <w:footnoteReference w:id="7"/>
      </w:r>
      <w:r w:rsidRPr="0018073D">
        <w:rPr>
          <w:vertAlign w:val="superscript"/>
        </w:rPr>
        <w:t>,</w:t>
      </w:r>
      <w:r w:rsidRPr="00281834">
        <w:rPr>
          <w:rStyle w:val="FootnoteReference"/>
          <w:vertAlign w:val="superscript"/>
        </w:rPr>
        <w:footnoteReference w:id="8"/>
      </w:r>
      <w:r w:rsidRPr="00281834">
        <w:t xml:space="preserve">. El cambio climático supone un reto adicional para la megafauna </w:t>
      </w:r>
      <w:proofErr w:type="spellStart"/>
      <w:r w:rsidRPr="00281834">
        <w:t>sahelo</w:t>
      </w:r>
      <w:proofErr w:type="spellEnd"/>
      <w:r w:rsidRPr="00281834">
        <w:t>-sahariana</w:t>
      </w:r>
      <w:r w:rsidRPr="00C40718">
        <w:rPr>
          <w:rStyle w:val="FootnoteReference"/>
          <w:vertAlign w:val="superscript"/>
        </w:rPr>
        <w:footnoteReference w:id="9"/>
      </w:r>
      <w:r>
        <w:t xml:space="preserve">. </w:t>
      </w:r>
      <w:r w:rsidRPr="00E35213">
        <w:t xml:space="preserve">   </w:t>
      </w:r>
    </w:p>
    <w:p w:rsidR="009C749A" w:rsidRPr="00E35213" w:rsidRDefault="009C749A" w:rsidP="009C749A">
      <w:pPr>
        <w:spacing w:after="0" w:line="240" w:lineRule="auto"/>
        <w:jc w:val="both"/>
        <w:rPr>
          <w:rFonts w:cs="Arial"/>
          <w:lang w:val="es-ES"/>
        </w:rPr>
      </w:pPr>
    </w:p>
    <w:p w:rsidR="009C749A" w:rsidRPr="00E35213" w:rsidRDefault="009C749A" w:rsidP="00801C6E">
      <w:pPr>
        <w:pStyle w:val="Firstnumbering1"/>
      </w:pPr>
      <w:r w:rsidRPr="00294258">
        <w:t xml:space="preserve">Las principales prioridades de la región han sido la erradicación de la pobreza y la garantía de seguridad alimentaria para una población en crecimiento. No obstante, la agricultura no sostenible y las prácticas de pastoreo, la recogida de madera y la conversión de hábitats naturales en tierras de pastoreo y campos agrícolas han contribuido a la fragmentación, degradación y pérdida del hábitat de la megafauna </w:t>
      </w:r>
      <w:proofErr w:type="spellStart"/>
      <w:r w:rsidRPr="00294258">
        <w:t>sahelo</w:t>
      </w:r>
      <w:proofErr w:type="spellEnd"/>
      <w:r w:rsidRPr="00294258">
        <w:t>-sahariana</w:t>
      </w:r>
      <w:r w:rsidRPr="00294258">
        <w:rPr>
          <w:rStyle w:val="FootnoteReference"/>
          <w:rFonts w:cs="Arial"/>
          <w:vertAlign w:val="superscript"/>
        </w:rPr>
        <w:footnoteReference w:id="10"/>
      </w:r>
      <w:r w:rsidRPr="00294258">
        <w:t xml:space="preserve">. </w:t>
      </w:r>
    </w:p>
    <w:p w:rsidR="009C749A" w:rsidRPr="00E35213" w:rsidRDefault="009C749A" w:rsidP="009C749A">
      <w:pPr>
        <w:pStyle w:val="ListParagraph"/>
        <w:spacing w:after="0" w:line="240" w:lineRule="auto"/>
        <w:ind w:left="360"/>
        <w:jc w:val="both"/>
        <w:rPr>
          <w:rFonts w:cs="Arial"/>
          <w:lang w:val="es-ES"/>
        </w:rPr>
      </w:pPr>
    </w:p>
    <w:p w:rsidR="009C749A" w:rsidRPr="00E35213" w:rsidRDefault="009C749A" w:rsidP="00801C6E">
      <w:pPr>
        <w:pStyle w:val="Firstnumbering1"/>
      </w:pPr>
      <w:r w:rsidRPr="00E35213">
        <w:t>Un enfoque ecosistémico</w:t>
      </w:r>
      <w:r w:rsidRPr="00B15B30">
        <w:rPr>
          <w:rStyle w:val="FootnoteReference"/>
          <w:vertAlign w:val="superscript"/>
        </w:rPr>
        <w:footnoteReference w:id="11"/>
      </w:r>
      <w:r w:rsidRPr="00E35213">
        <w:t xml:space="preserve"> probablemente sería beneficioso para abordar estas numerosas presiones para la megafauna </w:t>
      </w:r>
      <w:proofErr w:type="spellStart"/>
      <w:r w:rsidRPr="00E35213">
        <w:t>sahelo</w:t>
      </w:r>
      <w:proofErr w:type="spellEnd"/>
      <w:r w:rsidRPr="00E35213">
        <w:t xml:space="preserve">-sahariana. El enfoque supondría un esfuerzo más coordinado en los sectores para gestionar el ecosistema compartido dentro de un límite geográfico determinado. En cambio, los ecosistemas correctamente gestionados ofrecen servicios ecosistémicos mejorados y beneficios tanto para las personas como para la megafauna que habita en el ecosistema. </w:t>
      </w:r>
    </w:p>
    <w:p w:rsidR="009C749A" w:rsidRPr="00E35213" w:rsidRDefault="009C749A" w:rsidP="009C749A">
      <w:pPr>
        <w:spacing w:after="0" w:line="240" w:lineRule="auto"/>
        <w:contextualSpacing/>
        <w:jc w:val="both"/>
        <w:rPr>
          <w:rFonts w:cs="Arial"/>
          <w:lang w:val="es-ES"/>
        </w:rPr>
      </w:pPr>
      <w:r>
        <w:rPr>
          <w:rFonts w:cs="Arial"/>
          <w:lang w:val="es-ES"/>
        </w:rPr>
        <w:t xml:space="preserve"> </w:t>
      </w:r>
    </w:p>
    <w:p w:rsidR="009C749A" w:rsidRPr="00E35213" w:rsidRDefault="009C749A" w:rsidP="009C749A">
      <w:pPr>
        <w:spacing w:after="0" w:line="240" w:lineRule="auto"/>
        <w:contextualSpacing/>
        <w:jc w:val="both"/>
        <w:rPr>
          <w:rFonts w:cs="Arial"/>
          <w:u w:val="single"/>
          <w:lang w:val="es-ES"/>
        </w:rPr>
      </w:pPr>
      <w:r>
        <w:rPr>
          <w:rFonts w:cs="Arial"/>
          <w:u w:val="single"/>
          <w:lang w:val="es-ES"/>
        </w:rPr>
        <w:t>Década de las Naciones Unidas para la Restauración de los Ecosistemas (2021-2030)</w:t>
      </w:r>
    </w:p>
    <w:p w:rsidR="009C749A" w:rsidRPr="00E35213" w:rsidRDefault="009C749A" w:rsidP="009C749A">
      <w:pPr>
        <w:spacing w:after="0" w:line="240" w:lineRule="auto"/>
        <w:contextualSpacing/>
        <w:jc w:val="both"/>
        <w:rPr>
          <w:rFonts w:cs="Arial"/>
          <w:lang w:val="es-ES"/>
        </w:rPr>
      </w:pPr>
    </w:p>
    <w:p w:rsidR="009C749A" w:rsidRPr="00E35213" w:rsidRDefault="009C749A" w:rsidP="00801C6E">
      <w:pPr>
        <w:pStyle w:val="Firstnumbering1"/>
      </w:pPr>
      <w:r w:rsidRPr="00E35213">
        <w:rPr>
          <w:szCs w:val="21"/>
        </w:rPr>
        <w:t>En marzo de 2019, la Asamblea General proclamó la década de 2021-</w:t>
      </w:r>
      <w:r w:rsidRPr="00E35213">
        <w:t>2030 como la Década de las Naciones Unidas para la Restauración de los Ecosistema con el objetivo de aunar y aumentar esfuerzos para prevenir, detener y revertir la degradación de los ecosistemas a nivel mundial y crear conciencia sobre la importancia de una correcta restauración de los ecosistemas</w:t>
      </w:r>
      <w:r w:rsidRPr="008F2EEA">
        <w:rPr>
          <w:rStyle w:val="FootnoteReference"/>
          <w:vertAlign w:val="superscript"/>
        </w:rPr>
        <w:footnoteReference w:id="12"/>
      </w:r>
      <w:r w:rsidRPr="00372D13">
        <w:t>. La restauración de los ecosistemas contribuye a la consecución de los Objetivos de Desarrollo Sostenible, el Acuerdo de París, las Metas de Aichi para la Diversidad Biológica y el Plan Estratégico de la CMS 2015-2013</w:t>
      </w:r>
      <w:r w:rsidRPr="00562FDB">
        <w:rPr>
          <w:rStyle w:val="FootnoteReference"/>
          <w:vertAlign w:val="superscript"/>
        </w:rPr>
        <w:footnoteReference w:id="13"/>
      </w:r>
      <w:r w:rsidRPr="00372D13">
        <w:t>, especialmente la Meta 11</w:t>
      </w:r>
      <w:r w:rsidRPr="00695935">
        <w:rPr>
          <w:rStyle w:val="FootnoteReference"/>
          <w:vertAlign w:val="superscript"/>
        </w:rPr>
        <w:footnoteReference w:id="14"/>
      </w:r>
      <w:r w:rsidRPr="00372D13">
        <w:t>.</w:t>
      </w:r>
    </w:p>
    <w:p w:rsidR="009C749A" w:rsidRPr="00E35213" w:rsidRDefault="009C749A" w:rsidP="009C749A">
      <w:pPr>
        <w:spacing w:after="0" w:line="240" w:lineRule="auto"/>
        <w:rPr>
          <w:lang w:val="es-ES"/>
        </w:rPr>
      </w:pPr>
    </w:p>
    <w:p w:rsidR="009C749A" w:rsidRPr="00E35213" w:rsidRDefault="009C749A" w:rsidP="00801C6E">
      <w:pPr>
        <w:pStyle w:val="Firstnumbering1"/>
      </w:pPr>
      <w:r>
        <w:t xml:space="preserve">La Década de las Naciones Unidas supone una oportunidad para que los Estados del área de distribución de la megafauna </w:t>
      </w:r>
      <w:proofErr w:type="spellStart"/>
      <w:r>
        <w:t>sahelo</w:t>
      </w:r>
      <w:proofErr w:type="spellEnd"/>
      <w:r>
        <w:t xml:space="preserve">-sahariana intensifiquen los esfuerzos para la restauración de los ecosistemas como parte de la estrategia para restaurar la megafauna </w:t>
      </w:r>
      <w:proofErr w:type="spellStart"/>
      <w:r>
        <w:t>sahelo</w:t>
      </w:r>
      <w:proofErr w:type="spellEnd"/>
      <w:r>
        <w:t xml:space="preserve">-sahariana, así como mejorar la resiliencia al impacto del cambio climático. </w:t>
      </w:r>
    </w:p>
    <w:p w:rsidR="00801C6E" w:rsidRDefault="00801C6E">
      <w:pPr>
        <w:rPr>
          <w:rFonts w:cs="Arial"/>
          <w:lang w:val="es-ES"/>
        </w:rPr>
      </w:pPr>
      <w:r>
        <w:rPr>
          <w:rFonts w:cs="Arial"/>
          <w:lang w:val="es-ES"/>
        </w:rPr>
        <w:br w:type="page"/>
      </w:r>
    </w:p>
    <w:p w:rsidR="009C749A" w:rsidRPr="00E35213" w:rsidRDefault="009C749A" w:rsidP="00801C6E">
      <w:pPr>
        <w:pStyle w:val="Firstnumbering1"/>
      </w:pPr>
      <w:r>
        <w:lastRenderedPageBreak/>
        <w:t>Con arreglo a la Resolución de la Asamblea General A/RES/73/284 párrafo 4, la Secretaría de la CMS apoyará a las Partes para contribuir a la Década, entre otros, mediante la identificación y el desarrollo de posibles actividades de restauración para los hábitats de las especies que figuran en la CMS.</w:t>
      </w:r>
    </w:p>
    <w:p w:rsidR="009C749A" w:rsidRPr="00E35213" w:rsidRDefault="009C749A" w:rsidP="009C749A">
      <w:pPr>
        <w:spacing w:after="0" w:line="240" w:lineRule="auto"/>
        <w:jc w:val="both"/>
        <w:rPr>
          <w:rFonts w:cs="Arial"/>
          <w:lang w:val="es-ES"/>
        </w:rPr>
      </w:pPr>
    </w:p>
    <w:p w:rsidR="009C749A" w:rsidRPr="00E35213" w:rsidRDefault="009C749A" w:rsidP="009C749A">
      <w:pPr>
        <w:spacing w:after="0" w:line="240" w:lineRule="auto"/>
        <w:jc w:val="both"/>
        <w:rPr>
          <w:rFonts w:cs="Arial"/>
          <w:u w:val="single"/>
          <w:lang w:val="es-ES"/>
        </w:rPr>
      </w:pPr>
      <w:r>
        <w:rPr>
          <w:rFonts w:cs="Arial"/>
          <w:u w:val="single"/>
          <w:lang w:val="es-ES"/>
        </w:rPr>
        <w:t xml:space="preserve">Actualización del Plan de Acción para la acción concertada para la megafauna </w:t>
      </w:r>
      <w:proofErr w:type="spellStart"/>
      <w:r>
        <w:rPr>
          <w:rFonts w:cs="Arial"/>
          <w:u w:val="single"/>
          <w:lang w:val="es-ES"/>
        </w:rPr>
        <w:t>sahelo</w:t>
      </w:r>
      <w:proofErr w:type="spellEnd"/>
      <w:r>
        <w:rPr>
          <w:rFonts w:cs="Arial"/>
          <w:u w:val="single"/>
          <w:lang w:val="es-ES"/>
        </w:rPr>
        <w:t xml:space="preserve">-sahariana </w:t>
      </w:r>
    </w:p>
    <w:p w:rsidR="009C749A" w:rsidRPr="00E35213" w:rsidRDefault="009C749A" w:rsidP="009C749A">
      <w:pPr>
        <w:spacing w:after="0" w:line="240" w:lineRule="auto"/>
        <w:rPr>
          <w:rFonts w:cs="Arial"/>
          <w:lang w:val="es-ES"/>
        </w:rPr>
      </w:pPr>
    </w:p>
    <w:p w:rsidR="009C749A" w:rsidRPr="00801C6E" w:rsidRDefault="009C749A" w:rsidP="00C36DD0">
      <w:pPr>
        <w:pStyle w:val="Firstnumbering1"/>
      </w:pPr>
      <w:r w:rsidRPr="00801C6E">
        <w:t xml:space="preserve">La existencia de un plan para el antílope </w:t>
      </w:r>
      <w:proofErr w:type="spellStart"/>
      <w:r w:rsidRPr="00801C6E">
        <w:t>sahelo</w:t>
      </w:r>
      <w:proofErr w:type="spellEnd"/>
      <w:r w:rsidRPr="00801C6E">
        <w:t xml:space="preserve">-sahariano ha servido de marco para la acción concertada, pero este necesita una actualización. Desde la última revisión del Plan de Acción de los antílopes </w:t>
      </w:r>
      <w:proofErr w:type="spellStart"/>
      <w:r w:rsidRPr="00801C6E">
        <w:t>sahelo</w:t>
      </w:r>
      <w:proofErr w:type="spellEnd"/>
      <w:r w:rsidRPr="00801C6E">
        <w:t xml:space="preserve">-saharianos en 2003, se han preparado varios informes sobre el estado de la especie, así como Planes de Acción, para la acción concertada. En 2006, por ejemplo, el informe sobre el estado de conservación de los seis antílopes </w:t>
      </w:r>
      <w:proofErr w:type="spellStart"/>
      <w:r w:rsidRPr="00801C6E">
        <w:t>sahelo</w:t>
      </w:r>
      <w:proofErr w:type="spellEnd"/>
      <w:r w:rsidRPr="00801C6E">
        <w:t>-saharianos se preparó como parte de la acción concertada</w:t>
      </w:r>
      <w:r w:rsidR="00AE2E84" w:rsidRPr="00AE2E84">
        <w:rPr>
          <w:rFonts w:eastAsiaTheme="minorHAnsi" w:cstheme="minorBidi"/>
          <w:sz w:val="18"/>
          <w:szCs w:val="18"/>
          <w:vertAlign w:val="superscript"/>
          <w:lang w:val="en-GB" w:eastAsia="en-US"/>
        </w:rPr>
        <w:footnoteReference w:id="15"/>
      </w:r>
      <w:r w:rsidRPr="00801C6E">
        <w:t xml:space="preserve"> a favor de los antílopes </w:t>
      </w:r>
      <w:proofErr w:type="spellStart"/>
      <w:r w:rsidRPr="00801C6E">
        <w:t>sahelo</w:t>
      </w:r>
      <w:proofErr w:type="spellEnd"/>
      <w:r w:rsidRPr="00801C6E">
        <w:t>-saharianos. Posteriormente, se han preparado los siguientes planes de acción de especies nuevos:</w:t>
      </w:r>
    </w:p>
    <w:p w:rsidR="009C749A" w:rsidRPr="007D11C0" w:rsidRDefault="009C749A" w:rsidP="009C749A">
      <w:pPr>
        <w:spacing w:after="0" w:line="240" w:lineRule="auto"/>
        <w:ind w:left="360"/>
        <w:contextualSpacing/>
        <w:jc w:val="both"/>
        <w:rPr>
          <w:rFonts w:cs="Arial"/>
          <w:highlight w:val="cyan"/>
          <w:lang w:val="es-ES"/>
        </w:rPr>
      </w:pPr>
    </w:p>
    <w:p w:rsidR="009C749A" w:rsidRPr="00C36DD0" w:rsidRDefault="009C749A" w:rsidP="00C36DD0">
      <w:pPr>
        <w:spacing w:after="0" w:line="240" w:lineRule="auto"/>
        <w:ind w:left="993" w:hanging="426"/>
        <w:contextualSpacing/>
        <w:jc w:val="both"/>
        <w:rPr>
          <w:rFonts w:cs="Arial"/>
          <w:lang w:val="es-ES"/>
        </w:rPr>
      </w:pPr>
      <w:r w:rsidRPr="00C36DD0">
        <w:rPr>
          <w:rFonts w:cs="Arial"/>
          <w:lang w:val="es-ES"/>
        </w:rPr>
        <w:t>a.</w:t>
      </w:r>
      <w:r w:rsidR="00C36DD0">
        <w:rPr>
          <w:rFonts w:cs="Arial"/>
          <w:lang w:val="es-ES"/>
        </w:rPr>
        <w:tab/>
      </w:r>
      <w:r w:rsidRPr="00C36DD0">
        <w:rPr>
          <w:rFonts w:cs="Arial"/>
          <w:lang w:val="es-ES"/>
        </w:rPr>
        <w:t>Plan de Acción y estrategia de conservación de la gacela de Cuvier (</w:t>
      </w:r>
      <w:proofErr w:type="spellStart"/>
      <w:r w:rsidRPr="00C36DD0">
        <w:rPr>
          <w:rFonts w:cs="Arial"/>
          <w:i/>
          <w:lang w:val="es-ES"/>
        </w:rPr>
        <w:t>Gazella</w:t>
      </w:r>
      <w:proofErr w:type="spellEnd"/>
      <w:r w:rsidRPr="00C36DD0">
        <w:rPr>
          <w:rFonts w:cs="Arial"/>
          <w:i/>
          <w:lang w:val="es-ES"/>
        </w:rPr>
        <w:t xml:space="preserve"> </w:t>
      </w:r>
      <w:proofErr w:type="spellStart"/>
      <w:r w:rsidRPr="00C36DD0">
        <w:rPr>
          <w:rFonts w:cs="Arial"/>
          <w:i/>
          <w:lang w:val="es-ES"/>
        </w:rPr>
        <w:t>cuvieri</w:t>
      </w:r>
      <w:proofErr w:type="spellEnd"/>
      <w:r w:rsidRPr="00C36DD0">
        <w:rPr>
          <w:rFonts w:cs="Arial"/>
          <w:lang w:val="es-ES"/>
        </w:rPr>
        <w:t>) de la IUCN (2018) en el Norte de África para 2017-2026;</w:t>
      </w:r>
    </w:p>
    <w:p w:rsidR="009C749A" w:rsidRPr="00C36DD0" w:rsidRDefault="009C749A" w:rsidP="00C36DD0">
      <w:pPr>
        <w:spacing w:after="0" w:line="240" w:lineRule="auto"/>
        <w:ind w:left="993" w:hanging="426"/>
        <w:contextualSpacing/>
        <w:jc w:val="both"/>
        <w:rPr>
          <w:rFonts w:cs="Arial"/>
          <w:lang w:val="es-ES"/>
        </w:rPr>
      </w:pPr>
      <w:r w:rsidRPr="00C36DD0">
        <w:rPr>
          <w:rFonts w:cs="Arial"/>
          <w:lang w:val="es-ES"/>
        </w:rPr>
        <w:t>b.</w:t>
      </w:r>
      <w:r w:rsidR="00C36DD0">
        <w:rPr>
          <w:rFonts w:cs="Arial"/>
          <w:lang w:val="es-ES"/>
        </w:rPr>
        <w:tab/>
      </w:r>
      <w:r w:rsidRPr="00C36DD0">
        <w:rPr>
          <w:rFonts w:cs="Arial"/>
          <w:lang w:val="es-ES"/>
        </w:rPr>
        <w:t>Revisión de la conservación de la IUCN (2014) de la gacela dama (</w:t>
      </w:r>
      <w:proofErr w:type="spellStart"/>
      <w:r w:rsidRPr="00C36DD0">
        <w:rPr>
          <w:rFonts w:cs="Arial"/>
          <w:i/>
          <w:lang w:val="es-ES"/>
        </w:rPr>
        <w:t>Nanger</w:t>
      </w:r>
      <w:proofErr w:type="spellEnd"/>
      <w:r w:rsidRPr="00C36DD0">
        <w:rPr>
          <w:rFonts w:cs="Arial"/>
          <w:i/>
          <w:lang w:val="es-ES"/>
        </w:rPr>
        <w:t xml:space="preserve"> dama</w:t>
      </w:r>
      <w:r w:rsidRPr="00C36DD0">
        <w:rPr>
          <w:rFonts w:cs="Arial"/>
          <w:lang w:val="es-ES"/>
        </w:rPr>
        <w:t>); y</w:t>
      </w:r>
    </w:p>
    <w:p w:rsidR="00C36DD0" w:rsidRPr="00C36DD0" w:rsidRDefault="009C749A" w:rsidP="00C36DD0">
      <w:pPr>
        <w:spacing w:after="0" w:line="240" w:lineRule="auto"/>
        <w:ind w:left="993" w:hanging="426"/>
        <w:contextualSpacing/>
        <w:jc w:val="both"/>
        <w:rPr>
          <w:rFonts w:cs="Arial"/>
          <w:vanish/>
          <w:lang w:val="fr-FR"/>
        </w:rPr>
      </w:pPr>
      <w:r w:rsidRPr="00C36DD0">
        <w:rPr>
          <w:rFonts w:cs="Arial"/>
          <w:lang w:val="fr-FR"/>
        </w:rPr>
        <w:t>c.</w:t>
      </w:r>
      <w:r w:rsidR="00C36DD0">
        <w:rPr>
          <w:rFonts w:cs="Arial"/>
          <w:lang w:val="fr-FR"/>
        </w:rPr>
        <w:tab/>
      </w:r>
      <w:r w:rsidRPr="00C36DD0">
        <w:rPr>
          <w:rFonts w:cs="Arial"/>
          <w:lang w:val="fr-FR"/>
        </w:rPr>
        <w:t>Noé (2017) Plan d’Action Régional Addax et Gazelle Dama 2018-2022.</w:t>
      </w:r>
    </w:p>
    <w:p w:rsidR="009C749A" w:rsidRPr="007D11C0" w:rsidRDefault="009C749A" w:rsidP="009C749A">
      <w:pPr>
        <w:spacing w:after="0" w:line="240" w:lineRule="auto"/>
        <w:ind w:left="1080"/>
        <w:contextualSpacing/>
        <w:jc w:val="both"/>
        <w:rPr>
          <w:rFonts w:cs="Arial"/>
          <w:lang w:val="fr-FR"/>
        </w:rPr>
      </w:pPr>
    </w:p>
    <w:p w:rsidR="009C749A" w:rsidRPr="00E35213" w:rsidRDefault="009C749A" w:rsidP="00C36DD0">
      <w:pPr>
        <w:pStyle w:val="Firstnumbering1"/>
      </w:pPr>
      <w:r>
        <w:t xml:space="preserve">Una actualización del Plan de Acción para la megafauna </w:t>
      </w:r>
      <w:proofErr w:type="spellStart"/>
      <w:r>
        <w:t>sahelo</w:t>
      </w:r>
      <w:proofErr w:type="spellEnd"/>
      <w:r>
        <w:t xml:space="preserve">-sahariana debería desarrollar estas evaluaciones sobre el estado existente y los planes de acción mediante la incorporación del mejor conocimiento disponible para la conservación de las especies pertinentes. Debería desarrollarse de conformidad con los resultados de todas las acciones que se han llevado a cabo hasta ahora en virtud de la acción concertada. </w:t>
      </w:r>
    </w:p>
    <w:p w:rsidR="009C749A" w:rsidRPr="00E35213" w:rsidRDefault="009C749A" w:rsidP="009C749A">
      <w:pPr>
        <w:spacing w:after="0" w:line="240" w:lineRule="auto"/>
        <w:ind w:left="360"/>
        <w:contextualSpacing/>
        <w:jc w:val="both"/>
        <w:rPr>
          <w:rFonts w:cs="Arial"/>
          <w:lang w:val="es-ES"/>
        </w:rPr>
      </w:pPr>
    </w:p>
    <w:p w:rsidR="009C749A" w:rsidRPr="00E35213" w:rsidRDefault="009C749A" w:rsidP="00C36DD0">
      <w:pPr>
        <w:pStyle w:val="Firstnumbering1"/>
      </w:pPr>
      <w:r>
        <w:t xml:space="preserve">Como proceso preparatorio para el desarrollo de un Plan de Acción actualizado para la acción concertada, la Secretaría de la CMS, junto con las partes interesadas pertinentes iniciará una evaluación de las actividades continuas de conservación en la región. Se espera que el estudio aporte una visión general de las actividades de conservación en la región y establezca una referencia para el Plan de Acción actualizado. </w:t>
      </w:r>
    </w:p>
    <w:p w:rsidR="009C749A" w:rsidRPr="00E35213" w:rsidRDefault="009C749A" w:rsidP="009C749A">
      <w:pPr>
        <w:spacing w:after="0" w:line="240" w:lineRule="auto"/>
        <w:ind w:left="360"/>
        <w:contextualSpacing/>
        <w:jc w:val="both"/>
        <w:rPr>
          <w:rFonts w:cs="Arial"/>
          <w:lang w:val="es-ES"/>
        </w:rPr>
      </w:pPr>
    </w:p>
    <w:p w:rsidR="009C749A" w:rsidRPr="00E35213" w:rsidRDefault="009C749A" w:rsidP="00C36DD0">
      <w:pPr>
        <w:pStyle w:val="Firstnumbering1"/>
      </w:pPr>
      <w:r>
        <w:t>La organización del tercer seminario regional, que el Consejo Científico ha recomendado varias veces a lo largo de los años</w:t>
      </w:r>
      <w:r w:rsidRPr="00F90067">
        <w:rPr>
          <w:rStyle w:val="FootnoteReference"/>
          <w:vertAlign w:val="superscript"/>
        </w:rPr>
        <w:footnoteReference w:id="16"/>
      </w:r>
      <w:r>
        <w:t xml:space="preserve">, es recomendable para que los Estados del área de distribución, los donantes, el ámbito académico, las organizaciones no gubernamentales, el sector privado y otras partes interesadas relevantes puedan estudiar y realizar aportaciones al Plan de Acción actualizado. </w:t>
      </w:r>
    </w:p>
    <w:p w:rsidR="009C749A" w:rsidRPr="00E35213" w:rsidRDefault="009C749A" w:rsidP="009C749A">
      <w:pPr>
        <w:spacing w:after="0" w:line="240" w:lineRule="auto"/>
        <w:ind w:left="360"/>
        <w:contextualSpacing/>
        <w:jc w:val="both"/>
        <w:rPr>
          <w:rFonts w:cs="Arial"/>
          <w:lang w:val="es-ES"/>
        </w:rPr>
      </w:pPr>
    </w:p>
    <w:p w:rsidR="009C749A" w:rsidRPr="00E35213" w:rsidRDefault="009C749A" w:rsidP="00C36DD0">
      <w:pPr>
        <w:pStyle w:val="Firstnumbering1"/>
      </w:pPr>
      <w:r>
        <w:t xml:space="preserve">El Gobierno de Marruecos ya ha realizado una generosa oferta para organizar el tercer seminario regional. Por tanto, las Partes y las partes interesadas pertinentes están invitadas a realizar contribuciones financieras y técnicas para ayudar en la organización del seminario y el desarrollo y la implementación del Plan de Acción actualizado. </w:t>
      </w:r>
    </w:p>
    <w:p w:rsidR="009C749A" w:rsidRPr="00E35213" w:rsidRDefault="009C749A" w:rsidP="009C749A">
      <w:pPr>
        <w:spacing w:after="0" w:line="240" w:lineRule="auto"/>
        <w:ind w:left="360"/>
        <w:contextualSpacing/>
        <w:jc w:val="both"/>
        <w:rPr>
          <w:rFonts w:cs="Arial"/>
          <w:lang w:val="es-ES"/>
        </w:rPr>
      </w:pPr>
    </w:p>
    <w:p w:rsidR="009C749A" w:rsidRPr="00E35213" w:rsidRDefault="009C749A" w:rsidP="009C749A">
      <w:pPr>
        <w:spacing w:after="0" w:line="240" w:lineRule="auto"/>
        <w:rPr>
          <w:rFonts w:cs="Arial"/>
          <w:u w:val="single"/>
          <w:lang w:val="es-ES"/>
        </w:rPr>
      </w:pPr>
      <w:r>
        <w:rPr>
          <w:rFonts w:cs="Arial"/>
          <w:u w:val="single"/>
          <w:lang w:val="es-ES"/>
        </w:rPr>
        <w:t xml:space="preserve">Inclusión del arruí y la gacela de frente roja en la acción concertada para la megafauna </w:t>
      </w:r>
      <w:proofErr w:type="spellStart"/>
      <w:r>
        <w:rPr>
          <w:rFonts w:cs="Arial"/>
          <w:u w:val="single"/>
          <w:lang w:val="es-ES"/>
        </w:rPr>
        <w:t>sahelo</w:t>
      </w:r>
      <w:proofErr w:type="spellEnd"/>
      <w:r>
        <w:rPr>
          <w:rFonts w:cs="Arial"/>
          <w:u w:val="single"/>
          <w:lang w:val="es-ES"/>
        </w:rPr>
        <w:t>-sahariana</w:t>
      </w:r>
    </w:p>
    <w:p w:rsidR="009C749A" w:rsidRPr="00E35213" w:rsidRDefault="009C749A" w:rsidP="009C749A">
      <w:pPr>
        <w:spacing w:after="0" w:line="240" w:lineRule="auto"/>
        <w:contextualSpacing/>
        <w:jc w:val="both"/>
        <w:rPr>
          <w:rFonts w:cs="Arial"/>
          <w:lang w:val="es-ES"/>
        </w:rPr>
      </w:pPr>
    </w:p>
    <w:p w:rsidR="009C749A" w:rsidRPr="00E35213" w:rsidRDefault="009C749A" w:rsidP="00C36DD0">
      <w:pPr>
        <w:pStyle w:val="Firstnumbering1"/>
      </w:pPr>
      <w:r>
        <w:t xml:space="preserve">En la COP9 (Roma, 2008), las Partes de la CMS incluyeron al </w:t>
      </w:r>
      <w:bookmarkStart w:id="0" w:name="_Hlk18682368"/>
      <w:r w:rsidRPr="00215A52">
        <w:t>arruí (</w:t>
      </w:r>
      <w:proofErr w:type="spellStart"/>
      <w:r w:rsidRPr="00E208B2">
        <w:rPr>
          <w:i/>
        </w:rPr>
        <w:t>Ammotragus</w:t>
      </w:r>
      <w:proofErr w:type="spellEnd"/>
      <w:r w:rsidRPr="00E208B2">
        <w:rPr>
          <w:i/>
        </w:rPr>
        <w:t xml:space="preserve"> </w:t>
      </w:r>
      <w:proofErr w:type="spellStart"/>
      <w:r w:rsidRPr="00E208B2">
        <w:rPr>
          <w:i/>
        </w:rPr>
        <w:t>lervia</w:t>
      </w:r>
      <w:proofErr w:type="spellEnd"/>
      <w:r w:rsidRPr="00215A52">
        <w:t xml:space="preserve">) </w:t>
      </w:r>
      <w:bookmarkEnd w:id="0"/>
      <w:r>
        <w:t xml:space="preserve">en el Apéndice II. Posteriormente, en la COP11 (Quito, 2014), la </w:t>
      </w:r>
      <w:bookmarkStart w:id="1" w:name="_Hlk18682379"/>
      <w:r w:rsidRPr="00215A52">
        <w:t>gacela de frente roja (</w:t>
      </w:r>
      <w:proofErr w:type="spellStart"/>
      <w:r w:rsidRPr="00E208B2">
        <w:rPr>
          <w:i/>
        </w:rPr>
        <w:t>Eudorcas</w:t>
      </w:r>
      <w:proofErr w:type="spellEnd"/>
      <w:r w:rsidRPr="00E208B2">
        <w:rPr>
          <w:i/>
        </w:rPr>
        <w:t xml:space="preserve"> </w:t>
      </w:r>
      <w:proofErr w:type="spellStart"/>
      <w:r w:rsidRPr="00E208B2">
        <w:rPr>
          <w:i/>
        </w:rPr>
        <w:t>rufifrons</w:t>
      </w:r>
      <w:proofErr w:type="spellEnd"/>
      <w:r w:rsidRPr="00215A52">
        <w:t xml:space="preserve">) </w:t>
      </w:r>
      <w:bookmarkEnd w:id="1"/>
      <w:r>
        <w:t>se incluyó en el Apéndice I de la Convención.</w:t>
      </w:r>
    </w:p>
    <w:p w:rsidR="009C749A" w:rsidRPr="00E35213" w:rsidRDefault="009C749A" w:rsidP="009C749A">
      <w:pPr>
        <w:spacing w:after="0" w:line="240" w:lineRule="auto"/>
        <w:ind w:left="360"/>
        <w:contextualSpacing/>
        <w:jc w:val="both"/>
        <w:rPr>
          <w:rFonts w:cs="Arial"/>
          <w:lang w:val="es-ES"/>
        </w:rPr>
      </w:pPr>
    </w:p>
    <w:p w:rsidR="009C749A" w:rsidRPr="00E35213" w:rsidRDefault="009C749A" w:rsidP="00C36DD0">
      <w:pPr>
        <w:pStyle w:val="Firstnumbering1"/>
      </w:pPr>
      <w:r>
        <w:t xml:space="preserve">El arruí se encuentra en las montañas áridas y semiáridas del Sáhara central, concretamente, en las montañas del Atlas de norte de África y en las áreas rocosas del Sáhara que se extienden desde el océano Atlántico hasta el mar Rojo. Los Estados del área de distribución son </w:t>
      </w:r>
      <w:proofErr w:type="spellStart"/>
      <w:r>
        <w:t>Algeria</w:t>
      </w:r>
      <w:proofErr w:type="spellEnd"/>
      <w:r>
        <w:t xml:space="preserve">, Chad, Libia, Malí, Marruecos, Níger, Sudán y Túnez. Aparte de la de Marruecos, </w:t>
      </w:r>
      <w:r>
        <w:lastRenderedPageBreak/>
        <w:t>no se conoce con seguridad el tamaño de las poblaciones</w:t>
      </w:r>
      <w:r w:rsidRPr="00690367">
        <w:rPr>
          <w:rStyle w:val="FootnoteReference"/>
          <w:vertAlign w:val="superscript"/>
        </w:rPr>
        <w:footnoteReference w:id="17"/>
      </w:r>
      <w:r>
        <w:t>. Según la Lista Roja de la UICN (2008), se trata de una especie vulnerable (C1)</w:t>
      </w:r>
      <w:r w:rsidRPr="00F968C7">
        <w:rPr>
          <w:rStyle w:val="FootnoteReference"/>
          <w:vertAlign w:val="superscript"/>
        </w:rPr>
        <w:footnoteReference w:id="18"/>
      </w:r>
      <w:r>
        <w:t>. La especie disminuye debido a la caza insostenible, la degradación de los hábitats y la depredación por parte de los perros</w:t>
      </w:r>
      <w:r w:rsidRPr="00690367">
        <w:rPr>
          <w:rStyle w:val="FootnoteReference"/>
          <w:vertAlign w:val="superscript"/>
        </w:rPr>
        <w:footnoteReference w:id="19"/>
      </w:r>
      <w:r>
        <w:t>.</w:t>
      </w:r>
    </w:p>
    <w:p w:rsidR="009C749A" w:rsidRPr="00E35213" w:rsidRDefault="009C749A" w:rsidP="009C749A">
      <w:pPr>
        <w:spacing w:after="0" w:line="240" w:lineRule="auto"/>
        <w:ind w:left="360"/>
        <w:contextualSpacing/>
        <w:jc w:val="both"/>
        <w:rPr>
          <w:rFonts w:cs="Arial"/>
          <w:lang w:val="es-ES"/>
        </w:rPr>
      </w:pPr>
    </w:p>
    <w:p w:rsidR="009C749A" w:rsidRPr="00E35213" w:rsidRDefault="009C749A" w:rsidP="00C36DD0">
      <w:pPr>
        <w:pStyle w:val="Firstnumbering1"/>
      </w:pPr>
      <w:r>
        <w:t xml:space="preserve">La gacela de frente roja está presente en pastizales secos y zonas </w:t>
      </w:r>
      <w:proofErr w:type="spellStart"/>
      <w:r>
        <w:t>sahelianas</w:t>
      </w:r>
      <w:proofErr w:type="spellEnd"/>
      <w:r>
        <w:t xml:space="preserve"> de matorral que van desde Mauritania y el norte de Senegal hasta la parte occidental del río Nilo en Sudán. Los Estados del área de distribución </w:t>
      </w:r>
      <w:r w:rsidRPr="00E35213">
        <w:rPr>
          <w:sz w:val="23"/>
          <w:szCs w:val="23"/>
        </w:rPr>
        <w:t>Burkina Faso, Camerún, la República Centroafricana, Chad, Eritrea, Etiopía, Malí, Mauritania, Níger, Nigeria, Senegal, Sudán del Sur y Sudán</w:t>
      </w:r>
      <w:r w:rsidRPr="007A5370">
        <w:rPr>
          <w:rStyle w:val="FootnoteReference"/>
          <w:sz w:val="23"/>
          <w:szCs w:val="23"/>
          <w:vertAlign w:val="superscript"/>
        </w:rPr>
        <w:footnoteReference w:id="20"/>
      </w:r>
      <w:r w:rsidRPr="00E35213">
        <w:rPr>
          <w:sz w:val="23"/>
          <w:szCs w:val="23"/>
          <w:vertAlign w:val="superscript"/>
        </w:rPr>
        <w:t xml:space="preserve">. </w:t>
      </w:r>
      <w:r w:rsidRPr="00E35213">
        <w:rPr>
          <w:sz w:val="23"/>
          <w:szCs w:val="23"/>
        </w:rPr>
        <w:t>La UICN califica a las especies como vulnerables (A2cd)</w:t>
      </w:r>
      <w:r w:rsidRPr="007A5370">
        <w:rPr>
          <w:rStyle w:val="FootnoteReference"/>
          <w:sz w:val="23"/>
          <w:szCs w:val="23"/>
          <w:vertAlign w:val="superscript"/>
        </w:rPr>
        <w:footnoteReference w:id="21"/>
      </w:r>
      <w:r w:rsidRPr="00E35213">
        <w:rPr>
          <w:sz w:val="23"/>
          <w:szCs w:val="23"/>
        </w:rPr>
        <w:t>, pero si la tendencia descendente debido a la caza furtiva, la competencia con el ganado doméstico y la degradación del hábitat continúan, las especies podrían extinguirse pronto</w:t>
      </w:r>
      <w:r w:rsidRPr="007A5370">
        <w:rPr>
          <w:rStyle w:val="FootnoteReference"/>
          <w:sz w:val="23"/>
          <w:szCs w:val="23"/>
          <w:vertAlign w:val="superscript"/>
        </w:rPr>
        <w:footnoteReference w:id="22"/>
      </w:r>
      <w:r w:rsidRPr="00E35213">
        <w:rPr>
          <w:sz w:val="23"/>
          <w:szCs w:val="23"/>
          <w:vertAlign w:val="superscript"/>
        </w:rPr>
        <w:t xml:space="preserve">, </w:t>
      </w:r>
      <w:r w:rsidRPr="00E35213">
        <w:rPr>
          <w:sz w:val="23"/>
          <w:szCs w:val="23"/>
        </w:rPr>
        <w:t xml:space="preserve">especialmente en las zonas occidentales de su área de distribución. </w:t>
      </w:r>
    </w:p>
    <w:p w:rsidR="009C749A" w:rsidRPr="00E35213" w:rsidRDefault="009C749A" w:rsidP="009C749A">
      <w:pPr>
        <w:spacing w:after="0" w:line="240" w:lineRule="auto"/>
        <w:ind w:left="360"/>
        <w:contextualSpacing/>
        <w:jc w:val="both"/>
        <w:rPr>
          <w:rFonts w:cs="Arial"/>
          <w:lang w:val="es-ES"/>
        </w:rPr>
      </w:pPr>
    </w:p>
    <w:p w:rsidR="009C749A" w:rsidRPr="00E35213" w:rsidRDefault="009C749A" w:rsidP="00C36DD0">
      <w:pPr>
        <w:pStyle w:val="Firstnumbering1"/>
      </w:pPr>
      <w:bookmarkStart w:id="2" w:name="_Hlk19030973"/>
      <w:r>
        <w:t xml:space="preserve">Teniendo en cuenta que los Estados del área de distribución del arruí y la gacela de frente roja se solapan en gran parte con los de otras seis especies en virtud de la acción concertada </w:t>
      </w:r>
      <w:proofErr w:type="spellStart"/>
      <w:r>
        <w:t>sahelo</w:t>
      </w:r>
      <w:proofErr w:type="spellEnd"/>
      <w:r>
        <w:t>-sahariana</w:t>
      </w:r>
      <w:bookmarkEnd w:id="2"/>
      <w:r>
        <w:t xml:space="preserve">, se recomienda añadir estas dos especies. </w:t>
      </w:r>
    </w:p>
    <w:p w:rsidR="009C749A" w:rsidRPr="00E35213" w:rsidRDefault="009C749A" w:rsidP="009C749A">
      <w:pPr>
        <w:spacing w:after="0" w:line="240" w:lineRule="auto"/>
        <w:ind w:left="360"/>
        <w:contextualSpacing/>
        <w:jc w:val="both"/>
        <w:rPr>
          <w:rFonts w:cs="Arial"/>
          <w:lang w:val="es-ES"/>
        </w:rPr>
      </w:pPr>
    </w:p>
    <w:p w:rsidR="009C749A" w:rsidRPr="00E35213" w:rsidRDefault="009C749A" w:rsidP="00C36DD0">
      <w:pPr>
        <w:pStyle w:val="Firstnumbering1"/>
      </w:pPr>
      <w:r>
        <w:t>E</w:t>
      </w:r>
      <w:bookmarkStart w:id="3" w:name="_Hlk19032716"/>
      <w:r>
        <w:t xml:space="preserve">stá previsto que, a su debido tiempo, la acción concertada abarque a todos los grandes mamíferos migratorios amenazados que habitan en desiertos templados y fríos, </w:t>
      </w:r>
      <w:proofErr w:type="spellStart"/>
      <w:r>
        <w:t>semidesiertos</w:t>
      </w:r>
      <w:proofErr w:type="spellEnd"/>
      <w:r>
        <w:t xml:space="preserve">, estepas y montañas asociadas de la región </w:t>
      </w:r>
      <w:proofErr w:type="spellStart"/>
      <w:r>
        <w:t>sahelo</w:t>
      </w:r>
      <w:proofErr w:type="spellEnd"/>
      <w:r>
        <w:t>-sahariana</w:t>
      </w:r>
      <w:r w:rsidRPr="00ED1247">
        <w:rPr>
          <w:rStyle w:val="FootnoteReference"/>
          <w:vertAlign w:val="superscript"/>
        </w:rPr>
        <w:footnoteReference w:id="23"/>
      </w:r>
      <w:r>
        <w:t xml:space="preserve">. </w:t>
      </w:r>
      <w:bookmarkEnd w:id="3"/>
      <w:r>
        <w:t>La inclusión de las dos especies respondería a esta perspectiva. Además, esto aumentaría la eficiencia de las acciones de conservación y mejoraría la sinergia con las actividades continuas, ya que se han limitado los recursos para las actividades de conservación.</w:t>
      </w:r>
    </w:p>
    <w:p w:rsidR="009C749A" w:rsidRPr="00E35213" w:rsidRDefault="009C749A" w:rsidP="009C749A">
      <w:pPr>
        <w:spacing w:after="0" w:line="240" w:lineRule="auto"/>
        <w:rPr>
          <w:rFonts w:cs="Arial"/>
          <w:u w:val="single"/>
          <w:lang w:val="es-ES"/>
        </w:rPr>
      </w:pPr>
    </w:p>
    <w:p w:rsidR="009C749A" w:rsidRPr="00E35213" w:rsidRDefault="009C749A" w:rsidP="009C749A">
      <w:pPr>
        <w:spacing w:after="0" w:line="240" w:lineRule="auto"/>
        <w:jc w:val="both"/>
        <w:rPr>
          <w:rFonts w:cs="Arial"/>
          <w:u w:val="single"/>
          <w:lang w:val="es-ES"/>
        </w:rPr>
      </w:pPr>
      <w:r w:rsidRPr="00A65AB2">
        <w:rPr>
          <w:rFonts w:cs="Arial"/>
          <w:u w:val="single"/>
          <w:lang w:val="es-ES"/>
        </w:rPr>
        <w:t xml:space="preserve">Acción recomendada en virtud de la acción concertada para la megafauna </w:t>
      </w:r>
      <w:proofErr w:type="spellStart"/>
      <w:r w:rsidRPr="00A65AB2">
        <w:rPr>
          <w:rFonts w:cs="Arial"/>
          <w:u w:val="single"/>
          <w:lang w:val="es-ES"/>
        </w:rPr>
        <w:t>sahelo</w:t>
      </w:r>
      <w:proofErr w:type="spellEnd"/>
      <w:r w:rsidRPr="00A65AB2">
        <w:rPr>
          <w:rFonts w:cs="Arial"/>
          <w:u w:val="single"/>
          <w:lang w:val="es-ES"/>
        </w:rPr>
        <w:t>-sahariana para el período entre sesiones</w:t>
      </w:r>
    </w:p>
    <w:p w:rsidR="009C749A" w:rsidRPr="00E35213" w:rsidRDefault="009C749A" w:rsidP="009C749A">
      <w:pPr>
        <w:spacing w:after="0" w:line="240" w:lineRule="auto"/>
        <w:ind w:left="1080"/>
        <w:contextualSpacing/>
        <w:jc w:val="both"/>
        <w:rPr>
          <w:rFonts w:cs="Arial"/>
          <w:lang w:val="es-ES"/>
        </w:rPr>
      </w:pPr>
    </w:p>
    <w:p w:rsidR="009C749A" w:rsidRPr="00E35213" w:rsidRDefault="009C749A" w:rsidP="00C36DD0">
      <w:pPr>
        <w:pStyle w:val="Firstnumbering1"/>
      </w:pPr>
      <w:r>
        <w:t xml:space="preserve">La Secretaría recomienda que se desarrolle un Plan de Acción actualizado para la acción concertada para la megafauna </w:t>
      </w:r>
      <w:proofErr w:type="spellStart"/>
      <w:r>
        <w:t>sahelo</w:t>
      </w:r>
      <w:proofErr w:type="spellEnd"/>
      <w:r>
        <w:t xml:space="preserve">-sahariana que tenga en cuenta la adopción de un enfoque ecosistémico. Es fundamental un tercer seminario regional sobre la conservación y restauración de la megafauna </w:t>
      </w:r>
      <w:proofErr w:type="spellStart"/>
      <w:r>
        <w:t>sahelo</w:t>
      </w:r>
      <w:proofErr w:type="spellEnd"/>
      <w:r>
        <w:t xml:space="preserve">-sahariana para que los Estados del área de distribución desarrollen un Plan de acción actualizado. </w:t>
      </w:r>
    </w:p>
    <w:p w:rsidR="009C749A" w:rsidRPr="00E35213" w:rsidRDefault="009C749A" w:rsidP="009C749A">
      <w:pPr>
        <w:spacing w:after="0" w:line="240" w:lineRule="auto"/>
        <w:contextualSpacing/>
        <w:jc w:val="both"/>
        <w:rPr>
          <w:rFonts w:cs="Arial"/>
          <w:lang w:val="es-ES"/>
        </w:rPr>
      </w:pPr>
    </w:p>
    <w:p w:rsidR="009C749A" w:rsidRPr="00E35213" w:rsidRDefault="009C749A" w:rsidP="00C36DD0">
      <w:pPr>
        <w:pStyle w:val="Firstnumbering1"/>
      </w:pPr>
      <w:r>
        <w:t xml:space="preserve">En la propuesta presentada para la continuación de la acción concertada para la megafauna </w:t>
      </w:r>
      <w:proofErr w:type="spellStart"/>
      <w:r>
        <w:t>sahelo</w:t>
      </w:r>
      <w:proofErr w:type="spellEnd"/>
      <w:r>
        <w:t xml:space="preserve">-sahariana en el </w:t>
      </w:r>
      <w:r w:rsidRPr="00C36DD0">
        <w:t>documento UNEP/CMS/COP13/</w:t>
      </w:r>
      <w:r w:rsidR="00C36DD0">
        <w:t>Doc.28.2.4</w:t>
      </w:r>
      <w:r>
        <w:t xml:space="preserve"> se incluye más información sobre las actividades de la acción concertada para la megafauna </w:t>
      </w:r>
      <w:proofErr w:type="spellStart"/>
      <w:r>
        <w:t>sahelo</w:t>
      </w:r>
      <w:proofErr w:type="spellEnd"/>
      <w:r>
        <w:t xml:space="preserve">-sahariana durante el período entre sesiones 2020-2023. </w:t>
      </w:r>
    </w:p>
    <w:p w:rsidR="009C749A" w:rsidRPr="00E35213" w:rsidRDefault="009C749A" w:rsidP="009C749A">
      <w:pPr>
        <w:spacing w:after="0" w:line="240" w:lineRule="auto"/>
        <w:contextualSpacing/>
        <w:jc w:val="both"/>
        <w:rPr>
          <w:rFonts w:cs="Arial"/>
          <w:lang w:val="es-ES"/>
        </w:rPr>
      </w:pPr>
    </w:p>
    <w:p w:rsidR="009C749A" w:rsidRPr="00E35213" w:rsidRDefault="009C749A" w:rsidP="009C749A">
      <w:pPr>
        <w:spacing w:after="0" w:line="240" w:lineRule="auto"/>
        <w:jc w:val="both"/>
        <w:rPr>
          <w:rFonts w:cs="Arial"/>
          <w:u w:val="single"/>
          <w:lang w:val="es-ES"/>
        </w:rPr>
      </w:pPr>
      <w:r w:rsidRPr="00987F30">
        <w:rPr>
          <w:rFonts w:cs="Arial"/>
          <w:u w:val="single"/>
          <w:lang w:val="es-ES"/>
        </w:rPr>
        <w:t>Enmiendas propuestas a la Resolución 9.21 (Rev.COP12)</w:t>
      </w:r>
    </w:p>
    <w:p w:rsidR="009C749A" w:rsidRPr="00E35213" w:rsidRDefault="009C749A" w:rsidP="009C749A">
      <w:pPr>
        <w:spacing w:after="0" w:line="240" w:lineRule="auto"/>
        <w:contextualSpacing/>
        <w:jc w:val="both"/>
        <w:rPr>
          <w:rFonts w:cs="Arial"/>
          <w:lang w:val="es-ES"/>
        </w:rPr>
      </w:pPr>
    </w:p>
    <w:p w:rsidR="009C749A" w:rsidRPr="00E35213" w:rsidRDefault="009C749A" w:rsidP="00C36DD0">
      <w:pPr>
        <w:pStyle w:val="Firstnumbering1"/>
      </w:pPr>
      <w:r w:rsidRPr="00BA32D2">
        <w:t xml:space="preserve">Sobre la base del análisis anterior, la Secretaría recomienda que se revise la Resolución 9.21 (Rev.COP12), entre otras, mediante la incorporación de referencias a un enfoque ecosistémico y a la Década de las Naciones Unidas para la Restauración de los Ecosistemas (2021-2030). </w:t>
      </w:r>
    </w:p>
    <w:p w:rsidR="009C749A" w:rsidRPr="00E35213" w:rsidRDefault="009C749A" w:rsidP="009C749A">
      <w:pPr>
        <w:spacing w:after="0" w:line="240" w:lineRule="auto"/>
        <w:ind w:left="360"/>
        <w:contextualSpacing/>
        <w:jc w:val="both"/>
        <w:rPr>
          <w:rFonts w:cs="Arial"/>
          <w:lang w:val="es-ES"/>
        </w:rPr>
      </w:pPr>
    </w:p>
    <w:p w:rsidR="009C749A" w:rsidRPr="00E35213" w:rsidRDefault="009C749A" w:rsidP="00C36DD0">
      <w:pPr>
        <w:pStyle w:val="Firstnumbering1"/>
      </w:pPr>
      <w:r w:rsidRPr="00285566">
        <w:t xml:space="preserve">La Secretaría sugiere además que se convierta el párrafo 4 de la Resolución 9.21 (Rev.COP12) en una decisión de conformidad con la Resolución 11.6 (Rev. COP12). </w:t>
      </w:r>
    </w:p>
    <w:p w:rsidR="009C749A" w:rsidRPr="00E35213" w:rsidRDefault="009C749A" w:rsidP="009C749A">
      <w:pPr>
        <w:spacing w:after="0" w:line="240" w:lineRule="auto"/>
        <w:contextualSpacing/>
        <w:rPr>
          <w:rFonts w:cs="Arial"/>
          <w:u w:val="single"/>
          <w:lang w:val="es-ES"/>
        </w:rPr>
      </w:pPr>
    </w:p>
    <w:p w:rsidR="00C36DD0" w:rsidRDefault="00C36DD0">
      <w:pPr>
        <w:rPr>
          <w:rFonts w:cs="Arial"/>
          <w:u w:val="single"/>
          <w:lang w:val="es-ES"/>
        </w:rPr>
      </w:pPr>
      <w:r>
        <w:rPr>
          <w:rFonts w:cs="Arial"/>
          <w:u w:val="single"/>
          <w:lang w:val="es-ES"/>
        </w:rPr>
        <w:br w:type="page"/>
      </w:r>
    </w:p>
    <w:p w:rsidR="009C749A" w:rsidRPr="00CD0FE9" w:rsidRDefault="009C749A" w:rsidP="009C749A">
      <w:pPr>
        <w:spacing w:after="0" w:line="240" w:lineRule="auto"/>
        <w:rPr>
          <w:rFonts w:cs="Arial"/>
          <w:lang w:val="en-GB"/>
        </w:rPr>
      </w:pPr>
      <w:r w:rsidRPr="00CD0FE9">
        <w:rPr>
          <w:rFonts w:cs="Arial"/>
          <w:u w:val="single"/>
          <w:lang w:val="es-ES"/>
        </w:rPr>
        <w:lastRenderedPageBreak/>
        <w:t>Acciones recomendadas</w:t>
      </w:r>
    </w:p>
    <w:p w:rsidR="009C749A" w:rsidRPr="00CD0FE9" w:rsidRDefault="009C749A" w:rsidP="009C749A">
      <w:pPr>
        <w:spacing w:after="0" w:line="240" w:lineRule="auto"/>
        <w:rPr>
          <w:rFonts w:cs="Arial"/>
          <w:lang w:val="en-GB"/>
        </w:rPr>
      </w:pPr>
    </w:p>
    <w:p w:rsidR="009C749A" w:rsidRPr="00E35213" w:rsidRDefault="009C749A" w:rsidP="00C36DD0">
      <w:pPr>
        <w:pStyle w:val="Firstnumbering1"/>
      </w:pPr>
      <w:r w:rsidRPr="00CD0FE9">
        <w:t>Se recomienda a la Conferencia de las Partes:</w:t>
      </w:r>
    </w:p>
    <w:p w:rsidR="009C749A" w:rsidRPr="00E35213" w:rsidRDefault="009C749A" w:rsidP="009C749A">
      <w:pPr>
        <w:spacing w:after="0" w:line="240" w:lineRule="auto"/>
        <w:contextualSpacing/>
        <w:rPr>
          <w:rFonts w:cs="Arial"/>
          <w:lang w:val="es-ES"/>
        </w:rPr>
      </w:pPr>
    </w:p>
    <w:p w:rsidR="009C749A" w:rsidRPr="00E35213" w:rsidRDefault="009C749A" w:rsidP="00C36DD0">
      <w:pPr>
        <w:pStyle w:val="Secondnumberinga"/>
        <w:ind w:left="992" w:hanging="141"/>
      </w:pPr>
      <w:r>
        <w:t xml:space="preserve">adoptar las enmiendas propuestas para la Resolución 9.21 (Rev.COP12) sobre </w:t>
      </w:r>
      <w:r w:rsidRPr="00314763">
        <w:rPr>
          <w:i/>
        </w:rPr>
        <w:t xml:space="preserve">megafauna </w:t>
      </w:r>
      <w:proofErr w:type="spellStart"/>
      <w:r w:rsidRPr="00314763">
        <w:rPr>
          <w:i/>
        </w:rPr>
        <w:t>sahelo</w:t>
      </w:r>
      <w:proofErr w:type="spellEnd"/>
      <w:r w:rsidRPr="00314763">
        <w:rPr>
          <w:i/>
        </w:rPr>
        <w:t xml:space="preserve">-sahariana </w:t>
      </w:r>
      <w:r>
        <w:t xml:space="preserve">según lo establecido en el Anexo 1 de este documento; y </w:t>
      </w:r>
    </w:p>
    <w:p w:rsidR="009C749A" w:rsidRPr="00E35213" w:rsidRDefault="009C749A" w:rsidP="00C36DD0">
      <w:pPr>
        <w:spacing w:after="0" w:line="240" w:lineRule="auto"/>
        <w:ind w:left="992" w:hanging="425"/>
        <w:contextualSpacing/>
        <w:jc w:val="both"/>
        <w:rPr>
          <w:rFonts w:cs="Arial"/>
          <w:lang w:val="es-ES"/>
        </w:rPr>
      </w:pPr>
    </w:p>
    <w:p w:rsidR="00002A97" w:rsidRDefault="009C749A" w:rsidP="00C36DD0">
      <w:pPr>
        <w:pStyle w:val="Secondnumberinga"/>
        <w:ind w:left="992" w:hanging="141"/>
        <w:jc w:val="both"/>
      </w:pPr>
      <w:r>
        <w:t>adoptar el borrador de las decisiones según lo establecido en el Anexo 2 de este documento</w:t>
      </w:r>
      <w:r w:rsidR="00C36DD0">
        <w:t>.</w:t>
      </w:r>
    </w:p>
    <w:p w:rsidR="00C36DD0" w:rsidRPr="00B75890" w:rsidRDefault="00C36DD0" w:rsidP="00C36DD0">
      <w:pPr>
        <w:pStyle w:val="ListParagraph"/>
        <w:rPr>
          <w:lang w:val="es-ES"/>
        </w:rPr>
      </w:pPr>
    </w:p>
    <w:p w:rsidR="00C36DD0" w:rsidRDefault="00C36DD0" w:rsidP="00C36DD0">
      <w:pPr>
        <w:pStyle w:val="Secondnumberinga"/>
        <w:numPr>
          <w:ilvl w:val="0"/>
          <w:numId w:val="0"/>
        </w:numPr>
        <w:ind w:left="360" w:hanging="360"/>
        <w:jc w:val="both"/>
        <w:sectPr w:rsidR="00C36DD0" w:rsidSect="00B104EC">
          <w:headerReference w:type="even" r:id="rId11"/>
          <w:headerReference w:type="default" r:id="rId12"/>
          <w:footerReference w:type="even" r:id="rId13"/>
          <w:footerReference w:type="default" r:id="rId14"/>
          <w:headerReference w:type="first" r:id="rId15"/>
          <w:pgSz w:w="11906" w:h="16838" w:code="9"/>
          <w:pgMar w:top="1134" w:right="1134" w:bottom="1134" w:left="1134" w:header="720" w:footer="720" w:gutter="0"/>
          <w:cols w:space="720"/>
          <w:titlePg/>
          <w:docGrid w:linePitch="360"/>
        </w:sectPr>
      </w:pPr>
    </w:p>
    <w:p w:rsidR="00C36DD0" w:rsidRPr="00E35213" w:rsidRDefault="00C36DD0" w:rsidP="00C36DD0">
      <w:pPr>
        <w:spacing w:after="0" w:line="240" w:lineRule="auto"/>
        <w:jc w:val="right"/>
        <w:rPr>
          <w:rFonts w:cs="Arial"/>
          <w:b/>
          <w:bCs/>
          <w:caps/>
          <w:lang w:val="es-ES"/>
        </w:rPr>
      </w:pPr>
      <w:r w:rsidRPr="00CD0FE9">
        <w:rPr>
          <w:rFonts w:cs="Arial"/>
          <w:b/>
          <w:caps/>
          <w:lang w:val="es-ES"/>
        </w:rPr>
        <w:lastRenderedPageBreak/>
        <w:t>Anexo 1</w:t>
      </w:r>
    </w:p>
    <w:p w:rsidR="00C36DD0" w:rsidRPr="00E35213" w:rsidRDefault="00C36DD0" w:rsidP="00C36DD0">
      <w:pPr>
        <w:spacing w:after="0" w:line="240" w:lineRule="auto"/>
        <w:jc w:val="right"/>
        <w:rPr>
          <w:rFonts w:cs="Arial"/>
          <w:lang w:val="es-ES"/>
        </w:rPr>
      </w:pPr>
    </w:p>
    <w:p w:rsidR="00C36DD0" w:rsidRPr="00E35213" w:rsidRDefault="00C36DD0" w:rsidP="00C36DD0">
      <w:pPr>
        <w:spacing w:after="0" w:line="240" w:lineRule="auto"/>
        <w:jc w:val="center"/>
        <w:rPr>
          <w:rFonts w:cs="Arial"/>
          <w:lang w:val="es-ES"/>
        </w:rPr>
      </w:pPr>
    </w:p>
    <w:p w:rsidR="00C36DD0" w:rsidRDefault="00C36DD0" w:rsidP="00C36DD0">
      <w:pPr>
        <w:spacing w:after="0" w:line="240" w:lineRule="auto"/>
        <w:jc w:val="center"/>
        <w:rPr>
          <w:rFonts w:cs="Arial"/>
          <w:lang w:val="es-ES"/>
        </w:rPr>
      </w:pPr>
      <w:r>
        <w:rPr>
          <w:rFonts w:cs="Arial"/>
          <w:lang w:val="es-ES"/>
        </w:rPr>
        <w:t xml:space="preserve">ENMIENDAS PROPUESTAS A LA RESOLUCIÓN 9.21 (Rev.COP12) </w:t>
      </w:r>
    </w:p>
    <w:p w:rsidR="00C36DD0" w:rsidRPr="00E35213" w:rsidRDefault="00C36DD0" w:rsidP="00C36DD0">
      <w:pPr>
        <w:spacing w:after="0" w:line="240" w:lineRule="auto"/>
        <w:jc w:val="center"/>
        <w:rPr>
          <w:rFonts w:cs="Arial"/>
          <w:lang w:val="es-ES"/>
        </w:rPr>
      </w:pPr>
    </w:p>
    <w:p w:rsidR="00C36DD0" w:rsidRPr="00C36DD0" w:rsidRDefault="00C36DD0" w:rsidP="00C36DD0">
      <w:pPr>
        <w:spacing w:after="0" w:line="240" w:lineRule="auto"/>
        <w:jc w:val="center"/>
        <w:rPr>
          <w:rFonts w:cs="Arial"/>
          <w:b/>
          <w:caps/>
          <w:lang w:val="es-ES"/>
        </w:rPr>
      </w:pPr>
      <w:bookmarkStart w:id="4" w:name="_Toc486328691"/>
      <w:r w:rsidRPr="00C36DD0">
        <w:rPr>
          <w:rFonts w:cs="Arial"/>
          <w:b/>
          <w:bCs/>
          <w:caps/>
          <w:lang w:val="es-ES"/>
        </w:rPr>
        <w:t>MEGAFAUNA SAHELO-SAHARIANA</w:t>
      </w:r>
      <w:r w:rsidRPr="00C36DD0">
        <w:rPr>
          <w:rStyle w:val="FootnoteReference"/>
          <w:rFonts w:cs="Arial"/>
          <w:b/>
          <w:caps/>
          <w:lang w:val="es-ES"/>
        </w:rPr>
        <w:t xml:space="preserve"> </w:t>
      </w:r>
    </w:p>
    <w:p w:rsidR="00C36DD0" w:rsidRPr="00C36DD0" w:rsidRDefault="00C36DD0" w:rsidP="00C36DD0">
      <w:pPr>
        <w:spacing w:after="0" w:line="240" w:lineRule="auto"/>
        <w:jc w:val="center"/>
        <w:rPr>
          <w:rFonts w:cs="Arial"/>
          <w:b/>
          <w:caps/>
          <w:lang w:val="es-ES"/>
        </w:rPr>
      </w:pPr>
    </w:p>
    <w:p w:rsidR="00C36DD0" w:rsidRPr="00C36DD0" w:rsidRDefault="00C36DD0" w:rsidP="00C36DD0">
      <w:pPr>
        <w:spacing w:after="0" w:line="240" w:lineRule="auto"/>
        <w:jc w:val="center"/>
        <w:rPr>
          <w:rFonts w:cs="Arial"/>
          <w:i/>
          <w:color w:val="000000"/>
          <w:sz w:val="20"/>
          <w:lang w:val="es-ES"/>
        </w:rPr>
      </w:pPr>
      <w:r w:rsidRPr="00C36DD0">
        <w:rPr>
          <w:rFonts w:cs="Arial"/>
          <w:i/>
          <w:color w:val="000000"/>
          <w:sz w:val="20"/>
          <w:lang w:val="es-ES"/>
        </w:rPr>
        <w:t xml:space="preserve">N. B.: El nuevo texto propuesto para la resolución aparece </w:t>
      </w:r>
      <w:r w:rsidRPr="00C36DD0">
        <w:rPr>
          <w:rFonts w:cs="Arial"/>
          <w:i/>
          <w:color w:val="000000"/>
          <w:sz w:val="20"/>
          <w:u w:val="single"/>
          <w:lang w:val="es-ES"/>
        </w:rPr>
        <w:t>subrayado</w:t>
      </w:r>
      <w:r w:rsidRPr="00C36DD0">
        <w:rPr>
          <w:rFonts w:cs="Arial"/>
          <w:i/>
          <w:color w:val="000000"/>
          <w:sz w:val="20"/>
          <w:lang w:val="es-ES"/>
        </w:rPr>
        <w:t>. El texto que va a eliminarse está tachado.</w:t>
      </w:r>
    </w:p>
    <w:bookmarkEnd w:id="4"/>
    <w:p w:rsidR="00C36DD0" w:rsidRPr="00C36DD0" w:rsidRDefault="00C36DD0" w:rsidP="00C36DD0">
      <w:pPr>
        <w:spacing w:after="0" w:line="240" w:lineRule="auto"/>
        <w:rPr>
          <w:rFonts w:cs="Arial"/>
          <w:b/>
          <w:lang w:val="es-ES"/>
        </w:rPr>
      </w:pPr>
    </w:p>
    <w:p w:rsidR="00C36DD0" w:rsidRPr="00C36DD0" w:rsidRDefault="00C36DD0" w:rsidP="00C36DD0">
      <w:pPr>
        <w:spacing w:after="0" w:line="240" w:lineRule="auto"/>
        <w:jc w:val="both"/>
        <w:rPr>
          <w:rStyle w:val="QuickFormat1"/>
          <w:lang w:val="es-ES"/>
        </w:rPr>
      </w:pPr>
      <w:r w:rsidRPr="00C36DD0">
        <w:rPr>
          <w:rFonts w:cs="Arial"/>
          <w:i/>
          <w:lang w:val="es-ES"/>
        </w:rPr>
        <w:t>Reconociendo</w:t>
      </w:r>
      <w:r w:rsidRPr="00C36DD0">
        <w:rPr>
          <w:rFonts w:cs="Arial"/>
          <w:lang w:val="es-ES"/>
        </w:rPr>
        <w:t xml:space="preserve"> que la amplia fauna mamífera de las tierras áridas de Eurasia y África del Norte engloba a numerosas especies con poblaciones amenazadas que se encuentran en un estado de conservación profundamente insatisfactorio y frecuentemente crítico,</w:t>
      </w:r>
    </w:p>
    <w:p w:rsidR="00C36DD0" w:rsidRPr="00C36DD0" w:rsidRDefault="00C36DD0" w:rsidP="00C36DD0">
      <w:pPr>
        <w:spacing w:after="0" w:line="240" w:lineRule="auto"/>
        <w:jc w:val="both"/>
        <w:rPr>
          <w:i/>
          <w:lang w:val="es-ES"/>
        </w:rPr>
      </w:pPr>
    </w:p>
    <w:p w:rsidR="00C36DD0" w:rsidRPr="00C36DD0" w:rsidRDefault="00C36DD0" w:rsidP="00C36DD0">
      <w:pPr>
        <w:spacing w:after="0" w:line="240" w:lineRule="auto"/>
        <w:jc w:val="both"/>
        <w:rPr>
          <w:rFonts w:cs="Arial"/>
          <w:lang w:val="es-ES"/>
        </w:rPr>
      </w:pPr>
      <w:r w:rsidRPr="00C36DD0">
        <w:rPr>
          <w:rFonts w:cs="Arial"/>
          <w:i/>
          <w:lang w:val="es-ES"/>
        </w:rPr>
        <w:t>Consciente</w:t>
      </w:r>
      <w:r w:rsidRPr="00C36DD0">
        <w:rPr>
          <w:rFonts w:cs="Arial"/>
          <w:lang w:val="es-ES"/>
        </w:rPr>
        <w:t xml:space="preserve"> de que las tierras áridas con su excepcional legado natural y cultural y sus fenómenos migratorios exclusivos constituyen un área crucial para la acción de la Convención;</w:t>
      </w:r>
    </w:p>
    <w:p w:rsidR="00C36DD0" w:rsidRPr="00C36DD0" w:rsidRDefault="00C36DD0" w:rsidP="00C36DD0">
      <w:pPr>
        <w:spacing w:after="0" w:line="240" w:lineRule="auto"/>
        <w:jc w:val="both"/>
        <w:rPr>
          <w:rFonts w:cs="Arial"/>
          <w:lang w:val="es-ES"/>
        </w:rPr>
      </w:pPr>
      <w:r w:rsidRPr="00C36DD0">
        <w:rPr>
          <w:rFonts w:cs="Arial"/>
          <w:i/>
          <w:lang w:val="es-ES"/>
        </w:rPr>
        <w:t>Recordando</w:t>
      </w:r>
      <w:r w:rsidRPr="00C36DD0">
        <w:rPr>
          <w:rFonts w:cs="Arial"/>
          <w:lang w:val="es-ES"/>
        </w:rPr>
        <w:t xml:space="preserve"> que varias especies encontradas en ese bioma están en el Apéndice I de la Convención,</w:t>
      </w:r>
    </w:p>
    <w:p w:rsidR="00C36DD0" w:rsidRPr="00C36DD0" w:rsidRDefault="00C36DD0" w:rsidP="00C36DD0">
      <w:pPr>
        <w:spacing w:after="0" w:line="240" w:lineRule="auto"/>
        <w:jc w:val="both"/>
        <w:rPr>
          <w:rFonts w:cs="Arial"/>
          <w:i/>
          <w:lang w:val="es-ES"/>
        </w:rPr>
      </w:pPr>
    </w:p>
    <w:p w:rsidR="00C36DD0" w:rsidRPr="00C36DD0" w:rsidRDefault="00C36DD0" w:rsidP="00C36DD0">
      <w:pPr>
        <w:spacing w:after="0" w:line="240" w:lineRule="auto"/>
        <w:jc w:val="both"/>
        <w:rPr>
          <w:rFonts w:cs="Arial"/>
          <w:lang w:val="es-ES"/>
        </w:rPr>
      </w:pPr>
      <w:r w:rsidRPr="00C36DD0">
        <w:rPr>
          <w:rFonts w:cs="Arial"/>
          <w:i/>
          <w:lang w:val="es-ES"/>
        </w:rPr>
        <w:t>Observando</w:t>
      </w:r>
      <w:r w:rsidRPr="00C36DD0">
        <w:rPr>
          <w:rFonts w:cs="Arial"/>
          <w:lang w:val="es-ES"/>
        </w:rPr>
        <w:t xml:space="preserve"> que la recomendación 4.5 adoptada por la Conferencia de las Partes en su Cuarta Reunión (Nairobi, 7-11 de junio de 1994) solicitaba que el Consejo Científico, en colaboración con la Secretaría, estableciera una Acción Concertada a favor de los Ungulados </w:t>
      </w:r>
      <w:proofErr w:type="spellStart"/>
      <w:r w:rsidRPr="00C36DD0">
        <w:rPr>
          <w:rFonts w:cs="Arial"/>
          <w:lang w:val="es-ES"/>
        </w:rPr>
        <w:t>Sahelo</w:t>
      </w:r>
      <w:proofErr w:type="spellEnd"/>
      <w:r w:rsidRPr="00C36DD0">
        <w:rPr>
          <w:rFonts w:cs="Arial"/>
          <w:lang w:val="es-ES"/>
        </w:rPr>
        <w:t>-saharianos,</w:t>
      </w:r>
    </w:p>
    <w:p w:rsidR="00C36DD0" w:rsidRPr="00C36DD0" w:rsidRDefault="00C36DD0" w:rsidP="00C36DD0">
      <w:pPr>
        <w:spacing w:after="0" w:line="240" w:lineRule="auto"/>
        <w:jc w:val="both"/>
        <w:rPr>
          <w:rFonts w:cs="Arial"/>
          <w:i/>
          <w:lang w:val="es-ES"/>
        </w:rPr>
      </w:pPr>
    </w:p>
    <w:p w:rsidR="00C36DD0" w:rsidRPr="00C36DD0" w:rsidRDefault="00C36DD0" w:rsidP="00C36DD0">
      <w:pPr>
        <w:spacing w:after="0" w:line="240" w:lineRule="auto"/>
        <w:jc w:val="both"/>
        <w:rPr>
          <w:rFonts w:cs="Arial"/>
          <w:lang w:val="es-ES"/>
        </w:rPr>
      </w:pPr>
      <w:r w:rsidRPr="00C36DD0">
        <w:rPr>
          <w:rFonts w:cs="Arial"/>
          <w:i/>
          <w:lang w:val="es-ES"/>
        </w:rPr>
        <w:t>Observando</w:t>
      </w:r>
      <w:r w:rsidRPr="00C36DD0">
        <w:rPr>
          <w:rFonts w:cs="Arial"/>
          <w:lang w:val="es-ES"/>
        </w:rPr>
        <w:t xml:space="preserve"> con satisfacción el progreso realizado por esta Acción Concertada a favor de los Ungulados </w:t>
      </w:r>
      <w:proofErr w:type="spellStart"/>
      <w:r w:rsidRPr="00C36DD0">
        <w:rPr>
          <w:rFonts w:cs="Arial"/>
          <w:lang w:val="es-ES"/>
        </w:rPr>
        <w:t>Sahelo</w:t>
      </w:r>
      <w:proofErr w:type="spellEnd"/>
      <w:r w:rsidRPr="00C36DD0">
        <w:rPr>
          <w:rFonts w:cs="Arial"/>
          <w:lang w:val="es-ES"/>
        </w:rPr>
        <w:t>-saharianos,</w:t>
      </w:r>
    </w:p>
    <w:p w:rsidR="00C36DD0" w:rsidRPr="00C36DD0" w:rsidRDefault="00C36DD0" w:rsidP="00C36DD0">
      <w:pPr>
        <w:spacing w:after="0" w:line="240" w:lineRule="auto"/>
        <w:jc w:val="both"/>
        <w:rPr>
          <w:rFonts w:cs="Arial"/>
          <w:i/>
          <w:lang w:val="es-ES"/>
        </w:rPr>
      </w:pPr>
    </w:p>
    <w:p w:rsidR="00C36DD0" w:rsidRPr="00C36DD0" w:rsidRDefault="00C36DD0" w:rsidP="00C36DD0">
      <w:pPr>
        <w:spacing w:after="0" w:line="240" w:lineRule="auto"/>
        <w:jc w:val="both"/>
        <w:rPr>
          <w:rFonts w:cs="Arial"/>
          <w:lang w:val="es-ES"/>
        </w:rPr>
      </w:pPr>
      <w:r w:rsidRPr="00C36DD0">
        <w:rPr>
          <w:rFonts w:cs="Arial"/>
          <w:i/>
          <w:lang w:val="es-ES"/>
        </w:rPr>
        <w:t>Teniendo en cuenta</w:t>
      </w:r>
      <w:r w:rsidRPr="00C36DD0">
        <w:rPr>
          <w:rFonts w:cs="Arial"/>
          <w:lang w:val="es-ES"/>
        </w:rPr>
        <w:t xml:space="preserve"> el proceso entre periodos de sesiones sobre la futura estructura de la CMS, y consciente de que el desarrollo de nuevos instrumentos debe ser vinculado a este proceso, y</w:t>
      </w:r>
    </w:p>
    <w:p w:rsidR="00C36DD0" w:rsidRPr="00C36DD0" w:rsidRDefault="00C36DD0" w:rsidP="00C36DD0">
      <w:pPr>
        <w:spacing w:after="0" w:line="240" w:lineRule="auto"/>
        <w:jc w:val="both"/>
        <w:rPr>
          <w:rFonts w:cs="Arial"/>
          <w:i/>
          <w:lang w:val="es-ES"/>
        </w:rPr>
      </w:pPr>
    </w:p>
    <w:p w:rsidR="00C36DD0" w:rsidRPr="00C36DD0" w:rsidRDefault="00C36DD0" w:rsidP="00C36DD0">
      <w:pPr>
        <w:spacing w:after="0" w:line="240" w:lineRule="auto"/>
        <w:jc w:val="both"/>
        <w:rPr>
          <w:rFonts w:cs="Arial"/>
          <w:lang w:val="es-ES"/>
        </w:rPr>
      </w:pPr>
      <w:r w:rsidRPr="00C36DD0">
        <w:rPr>
          <w:rFonts w:cs="Arial"/>
          <w:i/>
          <w:lang w:val="es-ES"/>
        </w:rPr>
        <w:t>Reconociendo</w:t>
      </w:r>
      <w:r w:rsidRPr="00C36DD0">
        <w:rPr>
          <w:rFonts w:cs="Arial"/>
          <w:lang w:val="es-ES"/>
        </w:rPr>
        <w:t xml:space="preserve"> la recomendación de las reuniones 14ª y 15ª del Consejo Científico sobre que se continúe y se extienda la ACCIÓN CONCERTADA A FAVOR DE LOS UNGULADOS SAHELO-SAHARIANOS a otros grandes mamíferos con distribución dentro del área de la Acción Concertada,</w:t>
      </w:r>
    </w:p>
    <w:p w:rsidR="00C36DD0" w:rsidRDefault="00C36DD0" w:rsidP="00C36DD0">
      <w:pPr>
        <w:spacing w:after="0" w:line="240" w:lineRule="auto"/>
        <w:jc w:val="both"/>
        <w:rPr>
          <w:rFonts w:cs="Arial"/>
          <w:lang w:val="es-ES"/>
        </w:rPr>
      </w:pPr>
    </w:p>
    <w:p w:rsidR="00C36DD0" w:rsidRPr="00C36DD0" w:rsidRDefault="00C36DD0" w:rsidP="00C36DD0">
      <w:pPr>
        <w:spacing w:after="0" w:line="240" w:lineRule="auto"/>
        <w:jc w:val="both"/>
        <w:rPr>
          <w:rFonts w:cs="Arial"/>
          <w:lang w:val="es-ES"/>
        </w:rPr>
      </w:pPr>
    </w:p>
    <w:p w:rsidR="00C36DD0" w:rsidRPr="00C36DD0" w:rsidRDefault="00C36DD0" w:rsidP="00C36DD0">
      <w:pPr>
        <w:spacing w:after="0" w:line="240" w:lineRule="auto"/>
        <w:jc w:val="center"/>
        <w:rPr>
          <w:rFonts w:cs="Arial"/>
          <w:i/>
          <w:lang w:val="es-ES"/>
        </w:rPr>
      </w:pPr>
      <w:r w:rsidRPr="00C36DD0">
        <w:rPr>
          <w:rFonts w:cs="Arial"/>
          <w:i/>
          <w:lang w:val="es-ES"/>
        </w:rPr>
        <w:t>La Conferencia de las Partes de la</w:t>
      </w:r>
    </w:p>
    <w:p w:rsidR="00C36DD0" w:rsidRPr="00C36DD0" w:rsidRDefault="00C36DD0" w:rsidP="00C36DD0">
      <w:pPr>
        <w:spacing w:after="0" w:line="240" w:lineRule="auto"/>
        <w:jc w:val="center"/>
        <w:rPr>
          <w:rFonts w:cs="Arial"/>
          <w:i/>
          <w:lang w:val="es-ES"/>
        </w:rPr>
      </w:pPr>
      <w:r w:rsidRPr="00C36DD0">
        <w:rPr>
          <w:rFonts w:cs="Arial"/>
          <w:i/>
          <w:lang w:val="es-ES"/>
        </w:rPr>
        <w:t>Convención sobre la Conservación de las Especies Migratorias de Animales Silvestres</w:t>
      </w:r>
    </w:p>
    <w:p w:rsidR="00C36DD0" w:rsidRPr="00C36DD0" w:rsidRDefault="00C36DD0" w:rsidP="00C36DD0">
      <w:pPr>
        <w:spacing w:after="0" w:line="240" w:lineRule="auto"/>
        <w:jc w:val="center"/>
        <w:rPr>
          <w:rFonts w:ascii="Helvetica" w:hAnsi="Helvetica"/>
          <w:sz w:val="17"/>
          <w:szCs w:val="17"/>
          <w:lang w:val="es-ES"/>
        </w:rPr>
      </w:pPr>
    </w:p>
    <w:p w:rsidR="00C36DD0" w:rsidRPr="00C36DD0" w:rsidRDefault="00C36DD0" w:rsidP="00543406">
      <w:pPr>
        <w:pStyle w:val="p1"/>
        <w:numPr>
          <w:ilvl w:val="0"/>
          <w:numId w:val="8"/>
        </w:numPr>
        <w:ind w:left="567" w:hanging="567"/>
        <w:jc w:val="both"/>
        <w:rPr>
          <w:rFonts w:ascii="Arial" w:hAnsi="Arial" w:cs="Arial"/>
          <w:sz w:val="22"/>
          <w:szCs w:val="22"/>
          <w:lang w:val="es-ES"/>
        </w:rPr>
      </w:pPr>
      <w:r w:rsidRPr="00C36DD0">
        <w:rPr>
          <w:rFonts w:ascii="Arial" w:eastAsia="Times New Roman" w:hAnsi="Arial" w:cs="Arial"/>
          <w:i/>
          <w:sz w:val="22"/>
          <w:szCs w:val="22"/>
          <w:lang w:val="es-ES"/>
        </w:rPr>
        <w:t>Anima</w:t>
      </w:r>
      <w:r w:rsidRPr="00C36DD0">
        <w:rPr>
          <w:rFonts w:ascii="Arial" w:eastAsia="Times New Roman" w:hAnsi="Arial" w:cs="Arial"/>
          <w:sz w:val="22"/>
          <w:szCs w:val="22"/>
          <w:lang w:val="es-ES"/>
        </w:rPr>
        <w:t xml:space="preserve"> a la Secretaría a realizar esfuerzos para introducir en la Convención Estados del área </w:t>
      </w:r>
      <w:r w:rsidRPr="00C36DD0">
        <w:rPr>
          <w:rFonts w:ascii="Arial" w:hAnsi="Arial" w:cs="Arial"/>
          <w:sz w:val="22"/>
          <w:szCs w:val="22"/>
          <w:lang w:val="es-ES"/>
        </w:rPr>
        <w:t xml:space="preserve">de distribución de la fauna </w:t>
      </w:r>
      <w:proofErr w:type="spellStart"/>
      <w:r w:rsidRPr="00C36DD0">
        <w:rPr>
          <w:rFonts w:ascii="Arial" w:hAnsi="Arial" w:cs="Arial"/>
          <w:sz w:val="22"/>
          <w:szCs w:val="22"/>
          <w:lang w:val="es-ES"/>
        </w:rPr>
        <w:t>Sahelo</w:t>
      </w:r>
      <w:proofErr w:type="spellEnd"/>
      <w:r w:rsidRPr="00C36DD0">
        <w:rPr>
          <w:rFonts w:ascii="Arial" w:hAnsi="Arial" w:cs="Arial"/>
          <w:sz w:val="22"/>
          <w:szCs w:val="22"/>
          <w:lang w:val="es-ES"/>
        </w:rPr>
        <w:t>-sahariana que todavía no son Partes y estar en contacto con otras Convenciones involucradas con el fin de mejorar las sinergias;</w:t>
      </w:r>
    </w:p>
    <w:p w:rsidR="00C36DD0" w:rsidRPr="00C36DD0" w:rsidRDefault="00C36DD0" w:rsidP="00543406">
      <w:pPr>
        <w:pStyle w:val="p1"/>
        <w:ind w:left="567" w:hanging="567"/>
        <w:jc w:val="both"/>
        <w:rPr>
          <w:rFonts w:ascii="Arial" w:hAnsi="Arial" w:cs="Arial"/>
          <w:sz w:val="22"/>
          <w:szCs w:val="22"/>
          <w:lang w:val="es-ES"/>
        </w:rPr>
      </w:pPr>
    </w:p>
    <w:p w:rsidR="00C36DD0" w:rsidRPr="00C36DD0" w:rsidRDefault="00C36DD0" w:rsidP="00543406">
      <w:pPr>
        <w:pStyle w:val="p1"/>
        <w:numPr>
          <w:ilvl w:val="0"/>
          <w:numId w:val="8"/>
        </w:numPr>
        <w:ind w:left="567" w:hanging="567"/>
        <w:jc w:val="both"/>
        <w:rPr>
          <w:rFonts w:ascii="Arial" w:hAnsi="Arial" w:cs="Arial"/>
          <w:sz w:val="22"/>
          <w:szCs w:val="22"/>
          <w:lang w:val="es-ES"/>
        </w:rPr>
      </w:pPr>
      <w:r w:rsidRPr="00C36DD0">
        <w:rPr>
          <w:rFonts w:ascii="Arial" w:eastAsia="Times New Roman" w:hAnsi="Arial" w:cs="Arial"/>
          <w:i/>
          <w:sz w:val="22"/>
          <w:szCs w:val="22"/>
          <w:lang w:val="es-ES"/>
        </w:rPr>
        <w:t>Anima</w:t>
      </w:r>
      <w:r w:rsidRPr="00C36DD0">
        <w:rPr>
          <w:rFonts w:ascii="Arial" w:eastAsia="Times New Roman" w:hAnsi="Arial" w:cs="Arial"/>
          <w:sz w:val="22"/>
          <w:szCs w:val="22"/>
          <w:lang w:val="es-ES"/>
        </w:rPr>
        <w:t xml:space="preserve"> a la Secretaría a realizar esfuerzos para introducir en la Convención Estados del área </w:t>
      </w:r>
      <w:r w:rsidRPr="00C36DD0">
        <w:rPr>
          <w:rFonts w:ascii="Arial" w:hAnsi="Arial" w:cs="Arial"/>
          <w:sz w:val="22"/>
          <w:szCs w:val="22"/>
          <w:lang w:val="es-ES"/>
        </w:rPr>
        <w:t xml:space="preserve">de distribución de la fauna </w:t>
      </w:r>
      <w:proofErr w:type="spellStart"/>
      <w:r w:rsidRPr="00C36DD0">
        <w:rPr>
          <w:rFonts w:ascii="Arial" w:hAnsi="Arial" w:cs="Arial"/>
          <w:sz w:val="22"/>
          <w:szCs w:val="22"/>
          <w:lang w:val="es-ES"/>
        </w:rPr>
        <w:t>Sahelo</w:t>
      </w:r>
      <w:proofErr w:type="spellEnd"/>
      <w:r w:rsidRPr="00C36DD0">
        <w:rPr>
          <w:rFonts w:ascii="Arial" w:hAnsi="Arial" w:cs="Arial"/>
          <w:sz w:val="22"/>
          <w:szCs w:val="22"/>
          <w:lang w:val="es-ES"/>
        </w:rPr>
        <w:t>-sahariana que todavía no son Partes y estar en contacto con otras Convenciones involucradas con el fin de mejorar las sinergias;</w:t>
      </w:r>
    </w:p>
    <w:p w:rsidR="00C36DD0" w:rsidRPr="00C36DD0" w:rsidRDefault="00C36DD0" w:rsidP="00543406">
      <w:pPr>
        <w:pStyle w:val="ListParagraph"/>
        <w:spacing w:after="0" w:line="240" w:lineRule="auto"/>
        <w:ind w:left="567" w:hanging="567"/>
        <w:jc w:val="both"/>
        <w:rPr>
          <w:rFonts w:cs="Arial"/>
          <w:lang w:val="es-ES"/>
        </w:rPr>
      </w:pPr>
    </w:p>
    <w:p w:rsidR="00C36DD0" w:rsidRPr="00C36DD0" w:rsidRDefault="00C36DD0" w:rsidP="00543406">
      <w:pPr>
        <w:pStyle w:val="Default"/>
        <w:ind w:left="567" w:hanging="567"/>
        <w:jc w:val="both"/>
        <w:rPr>
          <w:rFonts w:cs="Arial"/>
          <w:sz w:val="21"/>
          <w:szCs w:val="21"/>
          <w:u w:val="single"/>
          <w:lang w:val="es-ES"/>
        </w:rPr>
      </w:pPr>
    </w:p>
    <w:p w:rsidR="00C36DD0" w:rsidRPr="00C36DD0" w:rsidRDefault="00C36DD0" w:rsidP="00543406">
      <w:pPr>
        <w:pStyle w:val="Default"/>
        <w:numPr>
          <w:ilvl w:val="0"/>
          <w:numId w:val="8"/>
        </w:numPr>
        <w:ind w:left="567" w:hanging="567"/>
        <w:jc w:val="both"/>
        <w:rPr>
          <w:rFonts w:cs="Arial"/>
          <w:sz w:val="22"/>
          <w:szCs w:val="22"/>
          <w:u w:val="single"/>
          <w:lang w:val="es-ES"/>
        </w:rPr>
      </w:pPr>
      <w:r w:rsidRPr="00C36DD0">
        <w:rPr>
          <w:rFonts w:cs="Arial"/>
          <w:i/>
          <w:sz w:val="22"/>
          <w:szCs w:val="22"/>
          <w:u w:val="single"/>
          <w:lang w:val="es-ES"/>
        </w:rPr>
        <w:t>Insta</w:t>
      </w:r>
      <w:r w:rsidRPr="00C36DD0">
        <w:rPr>
          <w:rFonts w:cs="Arial"/>
          <w:sz w:val="22"/>
          <w:szCs w:val="22"/>
          <w:u w:val="single"/>
          <w:lang w:val="es-ES"/>
        </w:rPr>
        <w:t xml:space="preserve"> a las Partes a aplicar un enfoque ecosistémico y a reforzar los esfuerzos para conservar y restaurar los hábitats de la megafauna </w:t>
      </w:r>
      <w:proofErr w:type="spellStart"/>
      <w:r w:rsidRPr="00C36DD0">
        <w:rPr>
          <w:rFonts w:cs="Arial"/>
          <w:sz w:val="22"/>
          <w:szCs w:val="22"/>
          <w:u w:val="single"/>
          <w:lang w:val="es-ES"/>
        </w:rPr>
        <w:t>sahelo</w:t>
      </w:r>
      <w:proofErr w:type="spellEnd"/>
      <w:r w:rsidRPr="00C36DD0">
        <w:rPr>
          <w:rFonts w:cs="Arial"/>
          <w:sz w:val="22"/>
          <w:szCs w:val="22"/>
          <w:u w:val="single"/>
          <w:lang w:val="es-ES"/>
        </w:rPr>
        <w:t xml:space="preserve">-sahariana, especialmente, en el contexto de la Década de las Naciones Unidas para la Restauración de los Ecosistemas (2021-2030). </w:t>
      </w:r>
    </w:p>
    <w:p w:rsidR="00C36DD0" w:rsidRPr="00C36DD0" w:rsidRDefault="00C36DD0" w:rsidP="00543406">
      <w:pPr>
        <w:pStyle w:val="Default"/>
        <w:ind w:left="567" w:hanging="567"/>
        <w:jc w:val="both"/>
        <w:rPr>
          <w:rFonts w:cs="Arial"/>
          <w:strike/>
          <w:sz w:val="22"/>
          <w:szCs w:val="22"/>
          <w:u w:val="single"/>
          <w:lang w:val="es-ES"/>
        </w:rPr>
      </w:pPr>
    </w:p>
    <w:p w:rsidR="00C36DD0" w:rsidRPr="00C36DD0" w:rsidRDefault="00C36DD0" w:rsidP="00543406">
      <w:pPr>
        <w:pStyle w:val="Default"/>
        <w:numPr>
          <w:ilvl w:val="0"/>
          <w:numId w:val="8"/>
        </w:numPr>
        <w:ind w:left="567" w:hanging="567"/>
        <w:jc w:val="both"/>
        <w:rPr>
          <w:rFonts w:cs="Arial"/>
          <w:sz w:val="22"/>
          <w:szCs w:val="22"/>
          <w:u w:val="single"/>
          <w:lang w:val="es-ES"/>
        </w:rPr>
      </w:pPr>
      <w:r w:rsidRPr="00C36DD0">
        <w:rPr>
          <w:rFonts w:eastAsia="Times New Roman" w:cs="Arial"/>
          <w:i/>
          <w:sz w:val="22"/>
          <w:szCs w:val="22"/>
          <w:lang w:val="es-ES"/>
        </w:rPr>
        <w:t>Urge</w:t>
      </w:r>
      <w:r w:rsidRPr="00C36DD0">
        <w:rPr>
          <w:rFonts w:eastAsia="Times New Roman" w:cs="Arial"/>
          <w:sz w:val="22"/>
          <w:szCs w:val="22"/>
          <w:lang w:val="es-ES"/>
        </w:rPr>
        <w:t xml:space="preserve"> a los Estados del área de distribución que no sean Partes a que apoyen la Acción </w:t>
      </w:r>
      <w:r w:rsidRPr="00C36DD0">
        <w:rPr>
          <w:rFonts w:eastAsia="Times New Roman" w:cs="Arial"/>
          <w:sz w:val="22"/>
          <w:szCs w:val="22"/>
          <w:u w:val="single"/>
          <w:lang w:val="es-ES"/>
        </w:rPr>
        <w:t xml:space="preserve">Concertada </w:t>
      </w:r>
      <w:r w:rsidRPr="00C36DD0">
        <w:rPr>
          <w:rFonts w:eastAsia="Times New Roman" w:cs="Arial"/>
          <w:sz w:val="22"/>
          <w:szCs w:val="22"/>
          <w:lang w:val="es-ES"/>
        </w:rPr>
        <w:t xml:space="preserve">como </w:t>
      </w:r>
      <w:r w:rsidRPr="00C36DD0">
        <w:rPr>
          <w:rFonts w:cs="Arial"/>
          <w:sz w:val="22"/>
          <w:szCs w:val="22"/>
          <w:lang w:val="es-ES"/>
        </w:rPr>
        <w:t>reconocimiento de su significado global</w:t>
      </w:r>
      <w:r w:rsidRPr="00C36DD0">
        <w:rPr>
          <w:rFonts w:cs="Arial"/>
          <w:strike/>
          <w:sz w:val="22"/>
          <w:szCs w:val="22"/>
          <w:lang w:val="es-ES"/>
        </w:rPr>
        <w:t>; y</w:t>
      </w:r>
    </w:p>
    <w:p w:rsidR="00C36DD0" w:rsidRPr="00C36DD0" w:rsidRDefault="00C36DD0" w:rsidP="00543406">
      <w:pPr>
        <w:pStyle w:val="p1"/>
        <w:ind w:left="567" w:hanging="567"/>
        <w:jc w:val="both"/>
        <w:rPr>
          <w:rFonts w:ascii="Arial" w:hAnsi="Arial" w:cs="Arial"/>
          <w:sz w:val="22"/>
          <w:szCs w:val="22"/>
          <w:lang w:val="es-ES"/>
        </w:rPr>
      </w:pPr>
    </w:p>
    <w:p w:rsidR="00C36DD0" w:rsidRPr="00E35213" w:rsidRDefault="00C36DD0" w:rsidP="00543406">
      <w:pPr>
        <w:ind w:left="567" w:hanging="567"/>
        <w:jc w:val="both"/>
        <w:rPr>
          <w:rFonts w:cs="Arial"/>
          <w:strike/>
          <w:color w:val="000000"/>
          <w:lang w:val="es-ES"/>
        </w:rPr>
      </w:pPr>
      <w:r w:rsidRPr="00E35213">
        <w:rPr>
          <w:rFonts w:cs="Arial"/>
          <w:i/>
          <w:iCs/>
          <w:color w:val="000000"/>
          <w:lang w:val="es-ES"/>
        </w:rPr>
        <w:t>4</w:t>
      </w:r>
      <w:r w:rsidRPr="00E35213">
        <w:rPr>
          <w:rFonts w:cs="Arial"/>
          <w:i/>
          <w:iCs/>
          <w:strike/>
          <w:color w:val="000000"/>
          <w:lang w:val="es-ES"/>
        </w:rPr>
        <w:t xml:space="preserve">. </w:t>
      </w:r>
      <w:r w:rsidRPr="00E35213">
        <w:rPr>
          <w:rFonts w:cs="Arial"/>
          <w:i/>
          <w:iCs/>
          <w:strike/>
          <w:color w:val="000000"/>
          <w:lang w:val="es-ES"/>
        </w:rPr>
        <w:tab/>
        <w:t xml:space="preserve">Anima </w:t>
      </w:r>
      <w:r w:rsidRPr="00E35213">
        <w:rPr>
          <w:rFonts w:cs="Arial"/>
          <w:strike/>
          <w:color w:val="000000"/>
          <w:lang w:val="es-ES"/>
        </w:rPr>
        <w:t xml:space="preserve">al Consejo Científico y a la Secretaría a que prevean, en colaboración con los Estados del área de distribución afectados, una ampliación del área de acción </w:t>
      </w:r>
      <w:r w:rsidRPr="00E35213">
        <w:rPr>
          <w:rFonts w:cs="Arial"/>
          <w:strike/>
          <w:color w:val="000000"/>
          <w:u w:val="single"/>
          <w:lang w:val="es-ES"/>
        </w:rPr>
        <w:t xml:space="preserve">de la acción concertada </w:t>
      </w:r>
      <w:r w:rsidRPr="00E35213">
        <w:rPr>
          <w:rFonts w:cs="Arial"/>
          <w:strike/>
          <w:color w:val="000000"/>
          <w:lang w:val="es-ES"/>
        </w:rPr>
        <w:t xml:space="preserve">a los desiertos del Cuerno de África y los biomas asociados. </w:t>
      </w:r>
    </w:p>
    <w:p w:rsidR="00C36DD0" w:rsidRDefault="00C36DD0" w:rsidP="00C36DD0">
      <w:pPr>
        <w:pStyle w:val="Secondnumberinga"/>
        <w:numPr>
          <w:ilvl w:val="0"/>
          <w:numId w:val="0"/>
        </w:numPr>
        <w:ind w:left="360" w:hanging="360"/>
        <w:jc w:val="both"/>
        <w:sectPr w:rsidR="00C36DD0" w:rsidSect="00B104EC">
          <w:headerReference w:type="first" r:id="rId16"/>
          <w:footerReference w:type="first" r:id="rId17"/>
          <w:pgSz w:w="11906" w:h="16838" w:code="9"/>
          <w:pgMar w:top="1134" w:right="1134" w:bottom="1134" w:left="1134" w:header="720" w:footer="720" w:gutter="0"/>
          <w:cols w:space="720"/>
          <w:titlePg/>
          <w:docGrid w:linePitch="360"/>
        </w:sectPr>
      </w:pPr>
    </w:p>
    <w:p w:rsidR="00B75890" w:rsidRDefault="00B75890" w:rsidP="00543406">
      <w:pPr>
        <w:spacing w:after="0" w:line="240" w:lineRule="auto"/>
        <w:jc w:val="right"/>
        <w:rPr>
          <w:rFonts w:cs="Arial"/>
          <w:b/>
          <w:caps/>
          <w:lang w:val="es-ES"/>
        </w:rPr>
      </w:pPr>
    </w:p>
    <w:p w:rsidR="00C36DD0" w:rsidRPr="00E35213" w:rsidRDefault="00C36DD0" w:rsidP="00543406">
      <w:pPr>
        <w:spacing w:after="0" w:line="240" w:lineRule="auto"/>
        <w:jc w:val="right"/>
        <w:rPr>
          <w:rFonts w:cs="Arial"/>
          <w:b/>
          <w:bCs/>
          <w:caps/>
          <w:lang w:val="es-ES"/>
        </w:rPr>
      </w:pPr>
      <w:r w:rsidRPr="00CD0FE9">
        <w:rPr>
          <w:rFonts w:cs="Arial"/>
          <w:b/>
          <w:caps/>
          <w:lang w:val="es-ES"/>
        </w:rPr>
        <w:t>Anexo 2</w:t>
      </w:r>
    </w:p>
    <w:p w:rsidR="00C36DD0" w:rsidRDefault="00C36DD0" w:rsidP="00543406">
      <w:pPr>
        <w:spacing w:after="0" w:line="240" w:lineRule="auto"/>
        <w:jc w:val="center"/>
        <w:rPr>
          <w:rFonts w:cs="Arial"/>
          <w:i/>
          <w:lang w:val="es-ES"/>
        </w:rPr>
      </w:pPr>
    </w:p>
    <w:p w:rsidR="003349AD" w:rsidRPr="00B75890" w:rsidRDefault="003349AD" w:rsidP="00543406">
      <w:pPr>
        <w:spacing w:after="0" w:line="240" w:lineRule="auto"/>
        <w:jc w:val="center"/>
        <w:rPr>
          <w:rFonts w:cs="Arial"/>
          <w:i/>
          <w:lang w:val="es-ES"/>
        </w:rPr>
      </w:pPr>
      <w:bookmarkStart w:id="5" w:name="_GoBack"/>
      <w:bookmarkEnd w:id="5"/>
    </w:p>
    <w:p w:rsidR="00C36DD0" w:rsidRPr="00E35213" w:rsidRDefault="00C36DD0" w:rsidP="00543406">
      <w:pPr>
        <w:spacing w:after="0" w:line="240" w:lineRule="auto"/>
        <w:jc w:val="center"/>
        <w:rPr>
          <w:rFonts w:cs="Arial"/>
          <w:lang w:val="es-ES"/>
        </w:rPr>
      </w:pPr>
      <w:r>
        <w:rPr>
          <w:rFonts w:cs="Arial"/>
          <w:lang w:val="es-ES"/>
        </w:rPr>
        <w:t>PROYECTOS DE DECISIÓN</w:t>
      </w:r>
    </w:p>
    <w:p w:rsidR="00C36DD0" w:rsidRPr="00E35213" w:rsidRDefault="00C36DD0" w:rsidP="00543406">
      <w:pPr>
        <w:spacing w:after="0" w:line="240" w:lineRule="auto"/>
        <w:jc w:val="center"/>
        <w:rPr>
          <w:rFonts w:cs="Arial"/>
          <w:lang w:val="es-ES"/>
        </w:rPr>
      </w:pPr>
    </w:p>
    <w:p w:rsidR="00C36DD0" w:rsidRPr="00E35213" w:rsidRDefault="00C36DD0" w:rsidP="00543406">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r w:rsidRPr="00E35213">
        <w:rPr>
          <w:rFonts w:cs="Arial"/>
          <w:b/>
          <w:bCs/>
          <w:color w:val="000000"/>
          <w:lang w:val="es-ES"/>
        </w:rPr>
        <w:t xml:space="preserve">MEGAFAUNA SAHELO-SAHARIANA </w:t>
      </w:r>
    </w:p>
    <w:p w:rsidR="00C36DD0" w:rsidRPr="00E35213" w:rsidRDefault="00C36DD0" w:rsidP="00543406">
      <w:pPr>
        <w:spacing w:after="0" w:line="240" w:lineRule="auto"/>
        <w:jc w:val="both"/>
        <w:rPr>
          <w:rFonts w:cs="Arial"/>
          <w:lang w:val="es-ES"/>
        </w:rPr>
      </w:pPr>
    </w:p>
    <w:p w:rsidR="00C36DD0" w:rsidRPr="00E35213" w:rsidRDefault="00C36DD0" w:rsidP="00543406">
      <w:pPr>
        <w:spacing w:after="0" w:line="240" w:lineRule="auto"/>
        <w:jc w:val="both"/>
        <w:rPr>
          <w:rFonts w:cs="Arial"/>
          <w:lang w:val="es-ES"/>
        </w:rPr>
      </w:pPr>
    </w:p>
    <w:p w:rsidR="00C36DD0" w:rsidRPr="00E35213" w:rsidRDefault="00C36DD0" w:rsidP="00543406">
      <w:pPr>
        <w:spacing w:after="0" w:line="240" w:lineRule="auto"/>
        <w:jc w:val="both"/>
        <w:rPr>
          <w:rFonts w:cs="Arial"/>
          <w:b/>
          <w:i/>
          <w:lang w:val="es-ES"/>
        </w:rPr>
      </w:pPr>
      <w:r w:rsidRPr="00877BA7">
        <w:rPr>
          <w:rFonts w:cs="Arial"/>
          <w:b/>
          <w:i/>
          <w:lang w:val="es-ES"/>
        </w:rPr>
        <w:t xml:space="preserve">Dirigido al Consejo Científico y la Secretaría </w:t>
      </w:r>
    </w:p>
    <w:p w:rsidR="00C36DD0" w:rsidRPr="00E35213" w:rsidRDefault="00C36DD0" w:rsidP="00543406">
      <w:pPr>
        <w:spacing w:after="0" w:line="240" w:lineRule="auto"/>
        <w:jc w:val="both"/>
        <w:rPr>
          <w:rFonts w:cs="Arial"/>
          <w:lang w:val="es-ES"/>
        </w:rPr>
      </w:pPr>
    </w:p>
    <w:p w:rsidR="00C36DD0" w:rsidRPr="00E35213" w:rsidRDefault="00C36DD0" w:rsidP="00CA0326">
      <w:pPr>
        <w:spacing w:after="0" w:line="240" w:lineRule="auto"/>
        <w:ind w:left="851" w:hanging="851"/>
        <w:jc w:val="both"/>
        <w:rPr>
          <w:rFonts w:cs="Arial"/>
          <w:lang w:val="es-ES"/>
        </w:rPr>
      </w:pPr>
      <w:r>
        <w:rPr>
          <w:rFonts w:cs="Arial"/>
          <w:lang w:val="es-ES"/>
        </w:rPr>
        <w:t>13.AA</w:t>
      </w:r>
      <w:r>
        <w:rPr>
          <w:rFonts w:cs="Arial"/>
          <w:lang w:val="es-ES"/>
        </w:rPr>
        <w:tab/>
        <w:t xml:space="preserve">El Consejo Científico y la Secretaría examinarán la posibilidad de </w:t>
      </w:r>
      <w:r w:rsidRPr="00B75890">
        <w:rPr>
          <w:rFonts w:cs="Arial"/>
          <w:lang w:val="es-ES"/>
        </w:rPr>
        <w:t>una ampliación del área de acción a los desiertos del Cuerno de África y los biomas asociados y</w:t>
      </w:r>
      <w:r>
        <w:rPr>
          <w:rFonts w:cs="Arial"/>
          <w:lang w:val="es-ES"/>
        </w:rPr>
        <w:t xml:space="preserve"> formular sus recomendaciones en la 14</w:t>
      </w:r>
      <w:r w:rsidRPr="0035465E">
        <w:rPr>
          <w:rFonts w:cs="Arial"/>
          <w:vertAlign w:val="superscript"/>
          <w:lang w:val="es-ES"/>
        </w:rPr>
        <w:t>ª</w:t>
      </w:r>
      <w:r>
        <w:rPr>
          <w:rFonts w:cs="Arial"/>
          <w:lang w:val="es-ES"/>
        </w:rPr>
        <w:t xml:space="preserve"> Reunión de la Conferencia de las Partes. </w:t>
      </w:r>
    </w:p>
    <w:p w:rsidR="00C36DD0" w:rsidRPr="00002A97" w:rsidRDefault="00C36DD0" w:rsidP="00543406">
      <w:pPr>
        <w:pStyle w:val="Secondnumberinga"/>
        <w:numPr>
          <w:ilvl w:val="0"/>
          <w:numId w:val="0"/>
        </w:numPr>
        <w:ind w:hanging="360"/>
        <w:jc w:val="both"/>
      </w:pPr>
    </w:p>
    <w:sectPr w:rsidR="00C36DD0" w:rsidRPr="00002A97" w:rsidSect="00B104EC">
      <w:headerReference w:type="first" r:id="rId18"/>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7" w:rsidRDefault="00002A97" w:rsidP="00002A97">
      <w:pPr>
        <w:spacing w:after="0" w:line="240" w:lineRule="auto"/>
      </w:pPr>
      <w:r>
        <w:separator/>
      </w:r>
    </w:p>
  </w:endnote>
  <w:endnote w:type="continuationSeparator" w:id="0">
    <w:p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628821"/>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Pr="00002A97">
          <w:rPr>
            <w:noProof/>
            <w:sz w:val="18"/>
            <w:szCs w:val="18"/>
          </w:rPr>
          <w:t>2</w:t>
        </w:r>
        <w:r w:rsidRPr="00002A97">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515420"/>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Pr="00002A97">
          <w:rPr>
            <w:noProof/>
            <w:sz w:val="18"/>
            <w:szCs w:val="18"/>
          </w:rPr>
          <w:t>2</w:t>
        </w:r>
        <w:r w:rsidRPr="00002A9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184752"/>
      <w:docPartObj>
        <w:docPartGallery w:val="Page Numbers (Bottom of Page)"/>
        <w:docPartUnique/>
      </w:docPartObj>
    </w:sdtPr>
    <w:sdtEndPr>
      <w:rPr>
        <w:noProof/>
        <w:sz w:val="18"/>
        <w:szCs w:val="18"/>
      </w:rPr>
    </w:sdtEndPr>
    <w:sdtContent>
      <w:p w:rsidR="00B75890" w:rsidRPr="00B75890" w:rsidRDefault="00B75890">
        <w:pPr>
          <w:pStyle w:val="Footer"/>
          <w:jc w:val="center"/>
          <w:rPr>
            <w:sz w:val="18"/>
            <w:szCs w:val="18"/>
          </w:rPr>
        </w:pPr>
        <w:r w:rsidRPr="00B75890">
          <w:rPr>
            <w:sz w:val="18"/>
            <w:szCs w:val="18"/>
          </w:rPr>
          <w:fldChar w:fldCharType="begin"/>
        </w:r>
        <w:r w:rsidRPr="00B75890">
          <w:rPr>
            <w:sz w:val="18"/>
            <w:szCs w:val="18"/>
          </w:rPr>
          <w:instrText xml:space="preserve"> PAGE   \* MERGEFORMAT </w:instrText>
        </w:r>
        <w:r w:rsidRPr="00B75890">
          <w:rPr>
            <w:sz w:val="18"/>
            <w:szCs w:val="18"/>
          </w:rPr>
          <w:fldChar w:fldCharType="separate"/>
        </w:r>
        <w:r w:rsidRPr="00B75890">
          <w:rPr>
            <w:noProof/>
            <w:sz w:val="18"/>
            <w:szCs w:val="18"/>
          </w:rPr>
          <w:t>2</w:t>
        </w:r>
        <w:r w:rsidRPr="00B75890">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7" w:rsidRDefault="00002A97" w:rsidP="00002A97">
      <w:pPr>
        <w:spacing w:after="0" w:line="240" w:lineRule="auto"/>
      </w:pPr>
      <w:r>
        <w:separator/>
      </w:r>
    </w:p>
  </w:footnote>
  <w:footnote w:type="continuationSeparator" w:id="0">
    <w:p w:rsidR="00002A97" w:rsidRDefault="00002A97" w:rsidP="00002A97">
      <w:pPr>
        <w:spacing w:after="0" w:line="240" w:lineRule="auto"/>
      </w:pPr>
      <w:r>
        <w:continuationSeparator/>
      </w:r>
    </w:p>
  </w:footnote>
  <w:footnote w:id="1">
    <w:p w:rsidR="009C749A" w:rsidRPr="00801C6E" w:rsidRDefault="009C749A" w:rsidP="009C749A">
      <w:pPr>
        <w:pStyle w:val="FootnoteText"/>
        <w:rPr>
          <w:sz w:val="16"/>
          <w:szCs w:val="16"/>
          <w:lang w:val="es-ES"/>
        </w:rPr>
      </w:pPr>
      <w:r w:rsidRPr="00A8357B">
        <w:rPr>
          <w:rStyle w:val="FootnoteReference"/>
          <w:lang w:val="es-ES"/>
        </w:rPr>
        <w:footnoteRef/>
      </w:r>
      <w:r w:rsidRPr="00A8357B">
        <w:rPr>
          <w:lang w:val="es-ES"/>
        </w:rPr>
        <w:t xml:space="preserve"> </w:t>
      </w:r>
      <w:r w:rsidRPr="00801C6E">
        <w:rPr>
          <w:sz w:val="16"/>
          <w:szCs w:val="16"/>
          <w:lang w:val="es-ES"/>
        </w:rPr>
        <w:t xml:space="preserve">También se hace referencia a la acción concertada como la acción concertada para el antílope </w:t>
      </w:r>
      <w:proofErr w:type="spellStart"/>
      <w:r w:rsidRPr="00801C6E">
        <w:rPr>
          <w:sz w:val="16"/>
          <w:szCs w:val="16"/>
          <w:lang w:val="es-ES"/>
        </w:rPr>
        <w:t>sahelo</w:t>
      </w:r>
      <w:proofErr w:type="spellEnd"/>
      <w:r w:rsidRPr="00801C6E">
        <w:rPr>
          <w:sz w:val="16"/>
          <w:szCs w:val="16"/>
          <w:lang w:val="es-ES"/>
        </w:rPr>
        <w:t>-sahariano</w:t>
      </w:r>
    </w:p>
  </w:footnote>
  <w:footnote w:id="2">
    <w:p w:rsidR="009C749A" w:rsidRPr="00801C6E" w:rsidRDefault="009C749A" w:rsidP="009C749A">
      <w:pPr>
        <w:pStyle w:val="FootnoteText"/>
        <w:rPr>
          <w:sz w:val="16"/>
          <w:szCs w:val="16"/>
          <w:lang w:val="es-ES" w:eastAsia="ja-JP"/>
        </w:rPr>
      </w:pPr>
      <w:r w:rsidRPr="00801C6E">
        <w:rPr>
          <w:rStyle w:val="FootnoteReference"/>
          <w:sz w:val="16"/>
          <w:szCs w:val="16"/>
          <w:lang w:val="es-ES"/>
        </w:rPr>
        <w:footnoteRef/>
      </w:r>
      <w:r w:rsidRPr="00801C6E">
        <w:rPr>
          <w:sz w:val="16"/>
          <w:szCs w:val="16"/>
          <w:lang w:val="es-ES"/>
        </w:rPr>
        <w:t xml:space="preserve"> Recomendación 4.5 (Nairobi, 1994)</w:t>
      </w:r>
    </w:p>
  </w:footnote>
  <w:footnote w:id="3">
    <w:p w:rsidR="009C749A" w:rsidRPr="00801C6E" w:rsidRDefault="009C749A" w:rsidP="009C749A">
      <w:pPr>
        <w:pStyle w:val="FootnoteText"/>
        <w:rPr>
          <w:sz w:val="16"/>
          <w:szCs w:val="16"/>
          <w:lang w:val="es-ES"/>
        </w:rPr>
      </w:pPr>
      <w:r w:rsidRPr="00801C6E">
        <w:rPr>
          <w:rStyle w:val="FootnoteReference"/>
          <w:sz w:val="16"/>
          <w:szCs w:val="16"/>
          <w:lang w:val="es-ES"/>
        </w:rPr>
        <w:footnoteRef/>
      </w:r>
      <w:r w:rsidRPr="00801C6E">
        <w:rPr>
          <w:sz w:val="16"/>
          <w:szCs w:val="16"/>
          <w:lang w:val="es-ES"/>
        </w:rPr>
        <w:t xml:space="preserve"> Resolución 12.28, párrafo 6</w:t>
      </w:r>
    </w:p>
  </w:footnote>
  <w:footnote w:id="4">
    <w:p w:rsidR="009C749A" w:rsidRPr="00801C6E" w:rsidRDefault="009C749A" w:rsidP="009C749A">
      <w:pPr>
        <w:pStyle w:val="FootnoteText"/>
        <w:rPr>
          <w:sz w:val="16"/>
          <w:szCs w:val="16"/>
          <w:lang w:val="es-ES" w:eastAsia="ja-JP"/>
        </w:rPr>
      </w:pPr>
      <w:r w:rsidRPr="00801C6E">
        <w:rPr>
          <w:rStyle w:val="FootnoteReference"/>
          <w:sz w:val="16"/>
          <w:szCs w:val="16"/>
          <w:lang w:val="es-ES"/>
        </w:rPr>
        <w:footnoteRef/>
      </w:r>
      <w:r w:rsidRPr="00801C6E">
        <w:rPr>
          <w:sz w:val="16"/>
          <w:szCs w:val="16"/>
          <w:lang w:val="es-ES"/>
        </w:rPr>
        <w:t xml:space="preserve"> UNEP/CMS/Conf.9.14/Rev.1</w:t>
      </w:r>
    </w:p>
  </w:footnote>
  <w:footnote w:id="5">
    <w:p w:rsidR="009C749A" w:rsidRPr="00801C6E" w:rsidRDefault="009C749A" w:rsidP="009C749A">
      <w:pPr>
        <w:pStyle w:val="FootnoteText"/>
        <w:rPr>
          <w:sz w:val="16"/>
          <w:szCs w:val="16"/>
          <w:lang w:val="it-IT" w:eastAsia="ja-JP"/>
        </w:rPr>
      </w:pPr>
      <w:r w:rsidRPr="00801C6E">
        <w:rPr>
          <w:rStyle w:val="FootnoteReference"/>
          <w:sz w:val="16"/>
          <w:szCs w:val="16"/>
          <w:lang w:val="es-ES"/>
        </w:rPr>
        <w:footnoteRef/>
      </w:r>
      <w:r w:rsidRPr="00801C6E">
        <w:rPr>
          <w:sz w:val="16"/>
          <w:szCs w:val="16"/>
          <w:lang w:val="it-IT"/>
        </w:rPr>
        <w:t xml:space="preserve"> Párrafo operativo 7</w:t>
      </w:r>
    </w:p>
  </w:footnote>
  <w:footnote w:id="6">
    <w:p w:rsidR="009C749A" w:rsidRPr="00801C6E" w:rsidRDefault="009C749A" w:rsidP="00801C6E">
      <w:pPr>
        <w:pStyle w:val="FootnoteText"/>
        <w:ind w:left="142" w:hanging="142"/>
        <w:jc w:val="both"/>
        <w:rPr>
          <w:sz w:val="16"/>
          <w:szCs w:val="16"/>
        </w:rPr>
      </w:pPr>
      <w:r w:rsidRPr="00801C6E">
        <w:rPr>
          <w:rStyle w:val="FootnoteReference"/>
          <w:sz w:val="16"/>
          <w:szCs w:val="16"/>
        </w:rPr>
        <w:footnoteRef/>
      </w:r>
      <w:r w:rsidRPr="00801C6E">
        <w:rPr>
          <w:sz w:val="16"/>
          <w:szCs w:val="16"/>
          <w:lang w:val="it-IT"/>
        </w:rPr>
        <w:t xml:space="preserve"> Brito, J. C., Durant, S. M., Pettorelli, N., Newby, J., Canney, S., Algadafi, W… y de Smet, K. (2018). Armed conflicts and wildlife decline: Challenges and recommendations for effective conservation policy in the Sahara‐Sahel. Conservation Letters, 11(5), e12446.</w:t>
      </w:r>
    </w:p>
  </w:footnote>
  <w:footnote w:id="7">
    <w:p w:rsidR="009C749A" w:rsidRPr="00801C6E" w:rsidRDefault="009C749A" w:rsidP="00801C6E">
      <w:pPr>
        <w:pStyle w:val="FootnoteText"/>
        <w:ind w:left="142" w:hanging="142"/>
        <w:jc w:val="both"/>
        <w:rPr>
          <w:sz w:val="16"/>
          <w:szCs w:val="16"/>
        </w:rPr>
      </w:pPr>
      <w:r w:rsidRPr="00801C6E">
        <w:rPr>
          <w:rStyle w:val="FootnoteReference"/>
          <w:sz w:val="16"/>
          <w:szCs w:val="16"/>
        </w:rPr>
        <w:footnoteRef/>
      </w:r>
      <w:r w:rsidRPr="00801C6E">
        <w:rPr>
          <w:sz w:val="16"/>
          <w:szCs w:val="16"/>
        </w:rPr>
        <w:t xml:space="preserve"> </w:t>
      </w:r>
      <w:proofErr w:type="spellStart"/>
      <w:r w:rsidRPr="00801C6E">
        <w:rPr>
          <w:sz w:val="16"/>
          <w:szCs w:val="16"/>
        </w:rPr>
        <w:t>Brashares</w:t>
      </w:r>
      <w:proofErr w:type="spellEnd"/>
      <w:r w:rsidRPr="00801C6E">
        <w:rPr>
          <w:sz w:val="16"/>
          <w:szCs w:val="16"/>
        </w:rPr>
        <w:t xml:space="preserve">, J. S., </w:t>
      </w:r>
      <w:proofErr w:type="spellStart"/>
      <w:r w:rsidRPr="00801C6E">
        <w:rPr>
          <w:sz w:val="16"/>
          <w:szCs w:val="16"/>
        </w:rPr>
        <w:t>Abrahms</w:t>
      </w:r>
      <w:proofErr w:type="spellEnd"/>
      <w:r w:rsidRPr="00801C6E">
        <w:rPr>
          <w:sz w:val="16"/>
          <w:szCs w:val="16"/>
        </w:rPr>
        <w:t xml:space="preserve">, B., Fiorella, K. J., Golden, C. D., </w:t>
      </w:r>
      <w:proofErr w:type="spellStart"/>
      <w:r w:rsidRPr="00801C6E">
        <w:rPr>
          <w:sz w:val="16"/>
          <w:szCs w:val="16"/>
        </w:rPr>
        <w:t>Hojnowski</w:t>
      </w:r>
      <w:proofErr w:type="spellEnd"/>
      <w:r w:rsidRPr="00801C6E">
        <w:rPr>
          <w:sz w:val="16"/>
          <w:szCs w:val="16"/>
        </w:rPr>
        <w:t xml:space="preserve">, C. E., Marsh, R. A… y </w:t>
      </w:r>
      <w:proofErr w:type="spellStart"/>
      <w:r w:rsidRPr="00801C6E">
        <w:rPr>
          <w:sz w:val="16"/>
          <w:szCs w:val="16"/>
        </w:rPr>
        <w:t>Withey</w:t>
      </w:r>
      <w:proofErr w:type="spellEnd"/>
      <w:r w:rsidRPr="00801C6E">
        <w:rPr>
          <w:sz w:val="16"/>
          <w:szCs w:val="16"/>
        </w:rPr>
        <w:t>, L. (2014). Wildlife decline and social conflict. Science, 345(6195), 376-378.</w:t>
      </w:r>
    </w:p>
  </w:footnote>
  <w:footnote w:id="8">
    <w:p w:rsidR="009C749A" w:rsidRPr="00801C6E" w:rsidRDefault="009C749A" w:rsidP="00801C6E">
      <w:pPr>
        <w:pStyle w:val="FootnoteText"/>
        <w:ind w:left="142" w:hanging="142"/>
        <w:jc w:val="both"/>
        <w:rPr>
          <w:sz w:val="16"/>
          <w:szCs w:val="16"/>
        </w:rPr>
      </w:pPr>
      <w:r w:rsidRPr="00801C6E">
        <w:rPr>
          <w:rStyle w:val="FootnoteReference"/>
          <w:sz w:val="16"/>
          <w:szCs w:val="16"/>
        </w:rPr>
        <w:footnoteRef/>
      </w:r>
      <w:r w:rsidRPr="00B75890">
        <w:rPr>
          <w:sz w:val="16"/>
          <w:szCs w:val="16"/>
        </w:rPr>
        <w:t xml:space="preserve"> Brito, J. C., </w:t>
      </w:r>
      <w:proofErr w:type="spellStart"/>
      <w:r w:rsidRPr="00B75890">
        <w:rPr>
          <w:sz w:val="16"/>
          <w:szCs w:val="16"/>
        </w:rPr>
        <w:t>Godinho</w:t>
      </w:r>
      <w:proofErr w:type="spellEnd"/>
      <w:r w:rsidRPr="00B75890">
        <w:rPr>
          <w:sz w:val="16"/>
          <w:szCs w:val="16"/>
        </w:rPr>
        <w:t>, R., Martínez‐</w:t>
      </w:r>
      <w:proofErr w:type="spellStart"/>
      <w:r w:rsidRPr="00B75890">
        <w:rPr>
          <w:sz w:val="16"/>
          <w:szCs w:val="16"/>
        </w:rPr>
        <w:t>Freiría</w:t>
      </w:r>
      <w:proofErr w:type="spellEnd"/>
      <w:r w:rsidRPr="00B75890">
        <w:rPr>
          <w:sz w:val="16"/>
          <w:szCs w:val="16"/>
        </w:rPr>
        <w:t xml:space="preserve">, F., </w:t>
      </w:r>
      <w:proofErr w:type="spellStart"/>
      <w:r w:rsidRPr="00B75890">
        <w:rPr>
          <w:sz w:val="16"/>
          <w:szCs w:val="16"/>
        </w:rPr>
        <w:t>Pleguezuelos</w:t>
      </w:r>
      <w:proofErr w:type="spellEnd"/>
      <w:r w:rsidRPr="00B75890">
        <w:rPr>
          <w:sz w:val="16"/>
          <w:szCs w:val="16"/>
        </w:rPr>
        <w:t xml:space="preserve">, J. M., </w:t>
      </w:r>
      <w:proofErr w:type="spellStart"/>
      <w:r w:rsidRPr="00B75890">
        <w:rPr>
          <w:sz w:val="16"/>
          <w:szCs w:val="16"/>
        </w:rPr>
        <w:t>Rebelo</w:t>
      </w:r>
      <w:proofErr w:type="spellEnd"/>
      <w:r w:rsidRPr="00B75890">
        <w:rPr>
          <w:sz w:val="16"/>
          <w:szCs w:val="16"/>
        </w:rPr>
        <w:t xml:space="preserve">, H., Santos, X… y Ferreira, S. (2014). </w:t>
      </w:r>
      <w:r w:rsidRPr="00801C6E">
        <w:rPr>
          <w:sz w:val="16"/>
          <w:szCs w:val="16"/>
        </w:rPr>
        <w:t>Unravelling biodiversity, evolution and threats to conservation in the Sahara‐Sahel. Biological Reviews, 89(1), 215-231.</w:t>
      </w:r>
    </w:p>
  </w:footnote>
  <w:footnote w:id="9">
    <w:p w:rsidR="009C749A" w:rsidRPr="00801C6E" w:rsidRDefault="009C749A" w:rsidP="00801C6E">
      <w:pPr>
        <w:pStyle w:val="FootnoteText"/>
        <w:ind w:left="142" w:hanging="142"/>
        <w:jc w:val="both"/>
        <w:rPr>
          <w:sz w:val="16"/>
          <w:szCs w:val="16"/>
          <w:lang w:val="pt-BR"/>
        </w:rPr>
      </w:pPr>
      <w:r w:rsidRPr="00801C6E">
        <w:rPr>
          <w:rStyle w:val="FootnoteReference"/>
          <w:sz w:val="16"/>
          <w:szCs w:val="16"/>
        </w:rPr>
        <w:footnoteRef/>
      </w:r>
      <w:r w:rsidRPr="00801C6E">
        <w:rPr>
          <w:sz w:val="16"/>
          <w:szCs w:val="16"/>
        </w:rPr>
        <w:t xml:space="preserve"> </w:t>
      </w:r>
      <w:proofErr w:type="spellStart"/>
      <w:r w:rsidRPr="00801C6E">
        <w:rPr>
          <w:sz w:val="16"/>
          <w:szCs w:val="16"/>
        </w:rPr>
        <w:t>Soultan</w:t>
      </w:r>
      <w:proofErr w:type="spellEnd"/>
      <w:r w:rsidRPr="00801C6E">
        <w:rPr>
          <w:sz w:val="16"/>
          <w:szCs w:val="16"/>
        </w:rPr>
        <w:t xml:space="preserve">, A., </w:t>
      </w:r>
      <w:proofErr w:type="spellStart"/>
      <w:r w:rsidRPr="00801C6E">
        <w:rPr>
          <w:sz w:val="16"/>
          <w:szCs w:val="16"/>
        </w:rPr>
        <w:t>Wikelski</w:t>
      </w:r>
      <w:proofErr w:type="spellEnd"/>
      <w:r w:rsidRPr="00801C6E">
        <w:rPr>
          <w:sz w:val="16"/>
          <w:szCs w:val="16"/>
        </w:rPr>
        <w:t xml:space="preserve">, M., y Safi, K. (2019). Risk of biodiversity collapse under climate change in the Afro-Arabian region. </w:t>
      </w:r>
      <w:proofErr w:type="spellStart"/>
      <w:r w:rsidRPr="00801C6E">
        <w:rPr>
          <w:sz w:val="16"/>
          <w:szCs w:val="16"/>
          <w:lang w:val="es-ES"/>
        </w:rPr>
        <w:t>Scientific</w:t>
      </w:r>
      <w:proofErr w:type="spellEnd"/>
      <w:r w:rsidRPr="00801C6E">
        <w:rPr>
          <w:sz w:val="16"/>
          <w:szCs w:val="16"/>
          <w:lang w:val="es-ES"/>
        </w:rPr>
        <w:t xml:space="preserve"> </w:t>
      </w:r>
      <w:proofErr w:type="spellStart"/>
      <w:r w:rsidRPr="00801C6E">
        <w:rPr>
          <w:sz w:val="16"/>
          <w:szCs w:val="16"/>
          <w:lang w:val="es-ES"/>
        </w:rPr>
        <w:t>reports</w:t>
      </w:r>
      <w:proofErr w:type="spellEnd"/>
      <w:r w:rsidRPr="00801C6E">
        <w:rPr>
          <w:sz w:val="16"/>
          <w:szCs w:val="16"/>
          <w:lang w:val="es-ES"/>
        </w:rPr>
        <w:t>, 9(1), 955.</w:t>
      </w:r>
    </w:p>
  </w:footnote>
  <w:footnote w:id="10">
    <w:p w:rsidR="009C749A" w:rsidRPr="00801C6E" w:rsidRDefault="009C749A" w:rsidP="00801C6E">
      <w:pPr>
        <w:pStyle w:val="FootnoteText"/>
        <w:ind w:left="284" w:hanging="284"/>
        <w:jc w:val="both"/>
        <w:rPr>
          <w:sz w:val="16"/>
          <w:szCs w:val="16"/>
          <w:lang w:val="es-ES"/>
        </w:rPr>
      </w:pPr>
      <w:r w:rsidRPr="00801C6E">
        <w:rPr>
          <w:rStyle w:val="FootnoteReference"/>
          <w:sz w:val="16"/>
          <w:szCs w:val="16"/>
        </w:rPr>
        <w:footnoteRef/>
      </w:r>
      <w:r w:rsidRPr="00801C6E">
        <w:rPr>
          <w:sz w:val="16"/>
          <w:szCs w:val="16"/>
          <w:lang w:val="pt-BR"/>
        </w:rPr>
        <w:t xml:space="preserve"> Brito, J. C., Godinho, R., Martínez‐Freiría, F., Pleguezuelos, J. M., Rebelo, H., Santos, X… y Ferreira, S. (2014). Unravelling biodiversity, evolution and threats to conservation in the Sahara‐Sahel. Biological Reviews, 89(1), 215-231.</w:t>
      </w:r>
    </w:p>
  </w:footnote>
  <w:footnote w:id="11">
    <w:p w:rsidR="009C749A" w:rsidRPr="00801C6E" w:rsidRDefault="009C749A" w:rsidP="00801C6E">
      <w:pPr>
        <w:pStyle w:val="FootnoteText"/>
        <w:ind w:left="284" w:hanging="284"/>
        <w:jc w:val="both"/>
        <w:rPr>
          <w:sz w:val="16"/>
          <w:szCs w:val="16"/>
          <w:lang w:val="es-ES"/>
        </w:rPr>
      </w:pPr>
      <w:r w:rsidRPr="00801C6E">
        <w:rPr>
          <w:rStyle w:val="FootnoteReference"/>
          <w:sz w:val="16"/>
          <w:szCs w:val="16"/>
        </w:rPr>
        <w:footnoteRef/>
      </w:r>
      <w:r w:rsidRPr="00801C6E">
        <w:rPr>
          <w:sz w:val="16"/>
          <w:szCs w:val="16"/>
        </w:rPr>
        <w:t xml:space="preserve"> COP Decision V/6 on Ecosystem Approach (2002), </w:t>
      </w:r>
      <w:proofErr w:type="spellStart"/>
      <w:r w:rsidRPr="00801C6E">
        <w:rPr>
          <w:sz w:val="16"/>
          <w:szCs w:val="16"/>
        </w:rPr>
        <w:t>párr</w:t>
      </w:r>
      <w:proofErr w:type="spellEnd"/>
      <w:r w:rsidRPr="00801C6E">
        <w:rPr>
          <w:sz w:val="16"/>
          <w:szCs w:val="16"/>
        </w:rPr>
        <w:t xml:space="preserve">. </w:t>
      </w:r>
      <w:proofErr w:type="gramStart"/>
      <w:r w:rsidRPr="00801C6E">
        <w:rPr>
          <w:sz w:val="16"/>
          <w:szCs w:val="16"/>
          <w:lang w:val="es-ES"/>
        </w:rPr>
        <w:t>A(</w:t>
      </w:r>
      <w:proofErr w:type="gramEnd"/>
      <w:r w:rsidRPr="00801C6E">
        <w:rPr>
          <w:sz w:val="16"/>
          <w:szCs w:val="16"/>
          <w:lang w:val="es-ES"/>
        </w:rPr>
        <w:t>1) define un enfoque ecosistémico como una estrategia para la gestión integrada del terreno, el agua y los recursos vivos que promueve la conservación y el uso sostenible de forma equitativa</w:t>
      </w:r>
    </w:p>
  </w:footnote>
  <w:footnote w:id="12">
    <w:p w:rsidR="009C749A" w:rsidRPr="00801C6E" w:rsidRDefault="009C749A" w:rsidP="00801C6E">
      <w:pPr>
        <w:pStyle w:val="FootnoteText"/>
        <w:ind w:left="284" w:hanging="284"/>
        <w:jc w:val="both"/>
        <w:rPr>
          <w:sz w:val="16"/>
          <w:szCs w:val="16"/>
          <w:lang w:val="es-ES" w:eastAsia="ja-JP"/>
        </w:rPr>
      </w:pPr>
      <w:r w:rsidRPr="00801C6E">
        <w:rPr>
          <w:rStyle w:val="FootnoteReference"/>
          <w:sz w:val="16"/>
          <w:szCs w:val="16"/>
        </w:rPr>
        <w:footnoteRef/>
      </w:r>
      <w:r w:rsidRPr="00801C6E">
        <w:rPr>
          <w:sz w:val="16"/>
          <w:szCs w:val="16"/>
          <w:lang w:val="es-ES"/>
        </w:rPr>
        <w:t xml:space="preserve"> A/RES/73/284</w:t>
      </w:r>
    </w:p>
  </w:footnote>
  <w:footnote w:id="13">
    <w:p w:rsidR="009C749A" w:rsidRPr="00801C6E" w:rsidRDefault="009C749A" w:rsidP="00801C6E">
      <w:pPr>
        <w:pStyle w:val="FootnoteText"/>
        <w:ind w:left="284" w:hanging="284"/>
        <w:jc w:val="both"/>
        <w:rPr>
          <w:sz w:val="16"/>
          <w:szCs w:val="16"/>
          <w:lang w:val="es-ES"/>
        </w:rPr>
      </w:pPr>
      <w:r w:rsidRPr="00801C6E">
        <w:rPr>
          <w:rStyle w:val="FootnoteReference"/>
          <w:sz w:val="16"/>
          <w:szCs w:val="16"/>
        </w:rPr>
        <w:footnoteRef/>
      </w:r>
      <w:r w:rsidRPr="00801C6E">
        <w:rPr>
          <w:sz w:val="16"/>
          <w:szCs w:val="16"/>
          <w:lang w:val="es-ES"/>
        </w:rPr>
        <w:t xml:space="preserve"> Resolución 11.2 (Rev. COP12)</w:t>
      </w:r>
    </w:p>
  </w:footnote>
  <w:footnote w:id="14">
    <w:p w:rsidR="009C749A" w:rsidRPr="00801C6E" w:rsidRDefault="009C749A" w:rsidP="00801C6E">
      <w:pPr>
        <w:pStyle w:val="FootnoteText"/>
        <w:ind w:left="284" w:hanging="284"/>
        <w:jc w:val="both"/>
        <w:rPr>
          <w:sz w:val="16"/>
          <w:szCs w:val="16"/>
          <w:lang w:val="es-ES"/>
        </w:rPr>
      </w:pPr>
      <w:r w:rsidRPr="00801C6E">
        <w:rPr>
          <w:rStyle w:val="FootnoteReference"/>
          <w:sz w:val="16"/>
          <w:szCs w:val="16"/>
        </w:rPr>
        <w:footnoteRef/>
      </w:r>
      <w:r w:rsidRPr="00801C6E">
        <w:rPr>
          <w:sz w:val="16"/>
          <w:szCs w:val="16"/>
          <w:lang w:val="es-ES"/>
        </w:rPr>
        <w:t xml:space="preserve"> Meta 11: se habrán salvaguardado o restablecido a un estado de conservación favorable las especies migratorias y sus hábitats que aseguran servicios de los ecosistemas importantes, tomando en cuenta las necesidades de las mujeres, las comunidades indígenas y locales, y los pobres y vulnerables.</w:t>
      </w:r>
    </w:p>
  </w:footnote>
  <w:footnote w:id="15">
    <w:p w:rsidR="00AE2E84" w:rsidRPr="00AE2E84" w:rsidRDefault="00AE2E84" w:rsidP="00AE2E84">
      <w:pPr>
        <w:pStyle w:val="FootnoteText"/>
        <w:rPr>
          <w:sz w:val="16"/>
          <w:szCs w:val="16"/>
        </w:rPr>
      </w:pPr>
      <w:r w:rsidRPr="00AE2E84">
        <w:rPr>
          <w:rStyle w:val="FootnoteReference"/>
          <w:sz w:val="16"/>
          <w:szCs w:val="16"/>
        </w:rPr>
        <w:footnoteRef/>
      </w:r>
      <w:r w:rsidRPr="00AE2E84">
        <w:rPr>
          <w:sz w:val="16"/>
          <w:szCs w:val="16"/>
        </w:rPr>
        <w:t xml:space="preserve"> See </w:t>
      </w:r>
      <w:hyperlink r:id="rId1" w:history="1">
        <w:r w:rsidRPr="00AE2E84">
          <w:rPr>
            <w:rStyle w:val="Hyperlink"/>
            <w:sz w:val="16"/>
            <w:szCs w:val="16"/>
          </w:rPr>
          <w:t>https://www.cms.int/en/publication/sahelo-saharan-antelopes-–-status-and-perspectives-ts-no-11</w:t>
        </w:r>
      </w:hyperlink>
      <w:r w:rsidRPr="00AE2E84">
        <w:rPr>
          <w:sz w:val="16"/>
          <w:szCs w:val="16"/>
        </w:rPr>
        <w:t xml:space="preserve"> </w:t>
      </w:r>
    </w:p>
  </w:footnote>
  <w:footnote w:id="16">
    <w:p w:rsidR="009C749A" w:rsidRPr="00AE2E84" w:rsidRDefault="009C749A" w:rsidP="009C749A">
      <w:pPr>
        <w:pStyle w:val="FootnoteText"/>
        <w:rPr>
          <w:sz w:val="16"/>
          <w:szCs w:val="16"/>
          <w:lang w:val="fr-FR"/>
        </w:rPr>
      </w:pPr>
      <w:r w:rsidRPr="00AE2E84">
        <w:rPr>
          <w:sz w:val="16"/>
          <w:szCs w:val="16"/>
          <w:lang w:val="fr-FR"/>
        </w:rPr>
        <w:t>1</w:t>
      </w:r>
      <w:r w:rsidR="00AE2E84" w:rsidRPr="00AE2E84">
        <w:rPr>
          <w:sz w:val="16"/>
          <w:szCs w:val="16"/>
          <w:lang w:val="fr-FR"/>
        </w:rPr>
        <w:t>6</w:t>
      </w:r>
      <w:r w:rsidRPr="00AE2E84">
        <w:rPr>
          <w:sz w:val="16"/>
          <w:szCs w:val="16"/>
          <w:lang w:val="fr-FR"/>
        </w:rPr>
        <w:t xml:space="preserve"> UNEP/CMS/COP11/Inf.8 de </w:t>
      </w:r>
      <w:proofErr w:type="gramStart"/>
      <w:r w:rsidRPr="00AE2E84">
        <w:rPr>
          <w:sz w:val="16"/>
          <w:szCs w:val="16"/>
          <w:lang w:val="fr-FR"/>
        </w:rPr>
        <w:t>2014;</w:t>
      </w:r>
      <w:proofErr w:type="gramEnd"/>
      <w:r w:rsidRPr="00AE2E84">
        <w:rPr>
          <w:sz w:val="16"/>
          <w:szCs w:val="16"/>
          <w:lang w:val="fr-FR"/>
        </w:rPr>
        <w:t xml:space="preserve"> UNEP/CMS/ScC17/Informe </w:t>
      </w:r>
      <w:proofErr w:type="spellStart"/>
      <w:r w:rsidRPr="00AE2E84">
        <w:rPr>
          <w:sz w:val="16"/>
          <w:szCs w:val="16"/>
          <w:lang w:val="fr-FR"/>
        </w:rPr>
        <w:t>Anexo</w:t>
      </w:r>
      <w:proofErr w:type="spellEnd"/>
      <w:r w:rsidRPr="00AE2E84">
        <w:rPr>
          <w:sz w:val="16"/>
          <w:szCs w:val="16"/>
          <w:lang w:val="fr-FR"/>
        </w:rPr>
        <w:t xml:space="preserve"> II de 2011</w:t>
      </w:r>
    </w:p>
  </w:footnote>
  <w:footnote w:id="17">
    <w:p w:rsidR="009C749A" w:rsidRPr="00C36DD0" w:rsidRDefault="009C749A" w:rsidP="009C749A">
      <w:pPr>
        <w:pStyle w:val="FootnoteText"/>
        <w:rPr>
          <w:sz w:val="16"/>
          <w:szCs w:val="16"/>
          <w:lang w:val="es-ES" w:eastAsia="ja-JP"/>
        </w:rPr>
      </w:pPr>
      <w:r w:rsidRPr="00C36DD0">
        <w:rPr>
          <w:rStyle w:val="FootnoteReference"/>
          <w:sz w:val="16"/>
          <w:szCs w:val="16"/>
        </w:rPr>
        <w:footnoteRef/>
      </w:r>
      <w:r w:rsidRPr="00C36DD0">
        <w:rPr>
          <w:sz w:val="16"/>
          <w:szCs w:val="16"/>
          <w:lang w:val="es-ES"/>
        </w:rPr>
        <w:t xml:space="preserve"> Propuesta I / 6/Rev.1 presentada a la COP9 de la CMS (Roma, 2008)</w:t>
      </w:r>
    </w:p>
  </w:footnote>
  <w:footnote w:id="18">
    <w:p w:rsidR="009C749A" w:rsidRPr="00C36DD0" w:rsidRDefault="009C749A" w:rsidP="00C36DD0">
      <w:pPr>
        <w:pStyle w:val="FootnoteText"/>
        <w:ind w:left="284" w:hanging="284"/>
        <w:jc w:val="both"/>
        <w:rPr>
          <w:sz w:val="16"/>
          <w:szCs w:val="16"/>
          <w:lang w:val="es-ES" w:eastAsia="ja-JP"/>
        </w:rPr>
      </w:pPr>
      <w:r w:rsidRPr="00C36DD0">
        <w:rPr>
          <w:rStyle w:val="FootnoteReference"/>
          <w:sz w:val="16"/>
          <w:szCs w:val="16"/>
        </w:rPr>
        <w:footnoteRef/>
      </w:r>
      <w:r w:rsidRPr="00C36DD0">
        <w:rPr>
          <w:sz w:val="16"/>
          <w:szCs w:val="16"/>
          <w:lang w:val="it-IT"/>
        </w:rPr>
        <w:t xml:space="preserve"> Cassinello, J., Cuzin, F., Jdeidi, T., Masseti, M., Nader, I. y de Smet, K. 2008. Ammotragus lervia. La Lista Roja de especies amenazadas de la UICN de 2008.</w:t>
      </w:r>
    </w:p>
  </w:footnote>
  <w:footnote w:id="19">
    <w:p w:rsidR="009C749A" w:rsidRPr="00C36DD0" w:rsidRDefault="009C749A" w:rsidP="00C36DD0">
      <w:pPr>
        <w:pStyle w:val="FootnoteText"/>
        <w:ind w:left="284" w:hanging="284"/>
        <w:jc w:val="both"/>
        <w:rPr>
          <w:sz w:val="16"/>
          <w:szCs w:val="16"/>
          <w:lang w:val="es-ES" w:eastAsia="ja-JP"/>
        </w:rPr>
      </w:pPr>
      <w:r w:rsidRPr="00C36DD0">
        <w:rPr>
          <w:rStyle w:val="FootnoteReference"/>
          <w:sz w:val="16"/>
          <w:szCs w:val="16"/>
        </w:rPr>
        <w:footnoteRef/>
      </w:r>
      <w:r w:rsidRPr="00C36DD0">
        <w:rPr>
          <w:sz w:val="16"/>
          <w:szCs w:val="16"/>
          <w:lang w:val="es-ES"/>
        </w:rPr>
        <w:t xml:space="preserve"> Propuesta I / 6/Rev.1 presentada a la COP9 de la CMS (Roma, 2008)</w:t>
      </w:r>
    </w:p>
  </w:footnote>
  <w:footnote w:id="20">
    <w:p w:rsidR="009C749A" w:rsidRPr="00C36DD0" w:rsidRDefault="009C749A" w:rsidP="00C36DD0">
      <w:pPr>
        <w:pStyle w:val="FootnoteText"/>
        <w:ind w:left="284" w:hanging="284"/>
        <w:jc w:val="both"/>
        <w:rPr>
          <w:sz w:val="16"/>
          <w:szCs w:val="16"/>
          <w:lang w:val="es-ES"/>
        </w:rPr>
      </w:pPr>
      <w:r w:rsidRPr="00C36DD0">
        <w:rPr>
          <w:rStyle w:val="FootnoteReference"/>
          <w:sz w:val="16"/>
          <w:szCs w:val="16"/>
        </w:rPr>
        <w:footnoteRef/>
      </w:r>
      <w:r w:rsidRPr="00C36DD0">
        <w:rPr>
          <w:sz w:val="16"/>
          <w:szCs w:val="16"/>
          <w:lang w:val="es-ES"/>
        </w:rPr>
        <w:t xml:space="preserve"> UNEP/CMS/COP11/Doc.24.1.3: Propuesta I/3</w:t>
      </w:r>
    </w:p>
  </w:footnote>
  <w:footnote w:id="21">
    <w:p w:rsidR="009C749A" w:rsidRPr="00C36DD0" w:rsidRDefault="009C749A" w:rsidP="00C36DD0">
      <w:pPr>
        <w:pStyle w:val="FootnoteText"/>
        <w:ind w:left="284" w:hanging="284"/>
        <w:jc w:val="both"/>
        <w:rPr>
          <w:sz w:val="16"/>
          <w:szCs w:val="16"/>
          <w:lang w:val="es-ES"/>
        </w:rPr>
      </w:pPr>
      <w:r w:rsidRPr="00C36DD0">
        <w:rPr>
          <w:rStyle w:val="FootnoteReference"/>
          <w:sz w:val="16"/>
          <w:szCs w:val="16"/>
        </w:rPr>
        <w:footnoteRef/>
      </w:r>
      <w:r w:rsidRPr="00C36DD0">
        <w:rPr>
          <w:sz w:val="16"/>
          <w:szCs w:val="16"/>
          <w:lang w:val="es-ES"/>
        </w:rPr>
        <w:t xml:space="preserve"> Grupo de Expertos sobre el antílope de la Comisión de Supervivencia de Especies de la UICN. 2017. </w:t>
      </w:r>
      <w:proofErr w:type="spellStart"/>
      <w:r w:rsidRPr="00C36DD0">
        <w:rPr>
          <w:i/>
          <w:sz w:val="16"/>
          <w:szCs w:val="16"/>
          <w:lang w:val="es-ES"/>
        </w:rPr>
        <w:t>Eudorcas</w:t>
      </w:r>
      <w:proofErr w:type="spellEnd"/>
      <w:r w:rsidRPr="00C36DD0">
        <w:rPr>
          <w:i/>
          <w:sz w:val="16"/>
          <w:szCs w:val="16"/>
          <w:lang w:val="es-ES"/>
        </w:rPr>
        <w:t xml:space="preserve"> </w:t>
      </w:r>
      <w:proofErr w:type="spellStart"/>
      <w:r w:rsidRPr="00C36DD0">
        <w:rPr>
          <w:i/>
          <w:sz w:val="16"/>
          <w:szCs w:val="16"/>
          <w:lang w:val="es-ES"/>
        </w:rPr>
        <w:t>rufifrons</w:t>
      </w:r>
      <w:proofErr w:type="spellEnd"/>
      <w:r w:rsidRPr="00C36DD0">
        <w:rPr>
          <w:sz w:val="16"/>
          <w:szCs w:val="16"/>
          <w:lang w:val="es-ES"/>
        </w:rPr>
        <w:t>. La Lista Roja de especies amenazadas de la UICN de 2017</w:t>
      </w:r>
    </w:p>
  </w:footnote>
  <w:footnote w:id="22">
    <w:p w:rsidR="009C749A" w:rsidRPr="00C36DD0" w:rsidRDefault="009C749A" w:rsidP="00C36DD0">
      <w:pPr>
        <w:pStyle w:val="FootnoteText"/>
        <w:ind w:left="284" w:hanging="284"/>
        <w:jc w:val="both"/>
        <w:rPr>
          <w:sz w:val="16"/>
          <w:szCs w:val="16"/>
          <w:lang w:val="es-ES"/>
        </w:rPr>
      </w:pPr>
      <w:r w:rsidRPr="00C36DD0">
        <w:rPr>
          <w:rStyle w:val="FootnoteReference"/>
          <w:sz w:val="16"/>
          <w:szCs w:val="16"/>
        </w:rPr>
        <w:footnoteRef/>
      </w:r>
      <w:r w:rsidRPr="00C36DD0">
        <w:rPr>
          <w:sz w:val="16"/>
          <w:szCs w:val="16"/>
          <w:lang w:val="es-ES"/>
        </w:rPr>
        <w:t xml:space="preserve"> UNEP/CMS/COP11/Doc.24.1.3: Propuesta I/3</w:t>
      </w:r>
    </w:p>
  </w:footnote>
  <w:footnote w:id="23">
    <w:p w:rsidR="009C749A" w:rsidRPr="00C36DD0" w:rsidRDefault="009C749A" w:rsidP="009C749A">
      <w:pPr>
        <w:pStyle w:val="FootnoteText"/>
        <w:rPr>
          <w:sz w:val="16"/>
          <w:szCs w:val="16"/>
          <w:lang w:val="es-ES" w:eastAsia="ja-JP"/>
        </w:rPr>
      </w:pPr>
      <w:r w:rsidRPr="00C36DD0">
        <w:rPr>
          <w:rStyle w:val="FootnoteReference"/>
          <w:sz w:val="16"/>
          <w:szCs w:val="16"/>
        </w:rPr>
        <w:footnoteRef/>
      </w:r>
      <w:r w:rsidRPr="00C36DD0">
        <w:rPr>
          <w:sz w:val="16"/>
          <w:szCs w:val="16"/>
          <w:lang w:val="es-ES"/>
        </w:rPr>
        <w:t xml:space="preserve"> Recomendación 9.2 (Roma,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sidR="00C36DD0">
      <w:rPr>
        <w:rFonts w:eastAsia="Times New Roman" w:cs="Arial"/>
        <w:i/>
        <w:sz w:val="18"/>
        <w:szCs w:val="18"/>
        <w:lang w:val="fr-FR" w:eastAsia="es-ES"/>
      </w:rPr>
      <w:t>26.3.4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sidR="00C36DD0">
      <w:rPr>
        <w:rFonts w:eastAsia="Times New Roman" w:cs="Arial"/>
        <w:i/>
        <w:sz w:val="18"/>
        <w:szCs w:val="18"/>
        <w:lang w:val="fr-FR" w:eastAsia="es-ES"/>
      </w:rPr>
      <w:t>26.3.4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419E1E1" wp14:editId="5FFB4E2A">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60288" behindDoc="0" locked="0" layoutInCell="1" allowOverlap="1" wp14:anchorId="46F28626" wp14:editId="61113CB7">
          <wp:simplePos x="0" y="0"/>
          <wp:positionH relativeFrom="column">
            <wp:posOffset>-175263</wp:posOffset>
          </wp:positionH>
          <wp:positionV relativeFrom="paragraph">
            <wp:posOffset>-64766</wp:posOffset>
          </wp:positionV>
          <wp:extent cx="939161" cy="506733"/>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39161" cy="506733"/>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6D531B4F" wp14:editId="284B95F2">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002A97" w:rsidRDefault="00002A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DD0" w:rsidRPr="00C36DD0" w:rsidRDefault="00C36DD0" w:rsidP="00C36DD0">
    <w:pPr>
      <w:pStyle w:val="Header"/>
      <w:pBdr>
        <w:bottom w:val="single" w:sz="4" w:space="1" w:color="auto"/>
      </w:pBdr>
      <w:jc w:val="right"/>
      <w:rPr>
        <w:i/>
        <w:sz w:val="18"/>
        <w:szCs w:val="18"/>
      </w:rPr>
    </w:pPr>
    <w:r w:rsidRPr="00C36DD0">
      <w:rPr>
        <w:rFonts w:eastAsia="Times New Roman" w:cs="Arial"/>
        <w:i/>
        <w:sz w:val="18"/>
        <w:szCs w:val="18"/>
        <w:lang w:eastAsia="es-ES"/>
      </w:rPr>
      <w:t>UNEP/CMS/COP13/Doc.26.3.4/An</w:t>
    </w:r>
    <w:r>
      <w:rPr>
        <w:rFonts w:eastAsia="Times New Roman" w:cs="Arial"/>
        <w:i/>
        <w:sz w:val="18"/>
        <w:szCs w:val="18"/>
        <w:lang w:eastAsia="es-ES"/>
      </w:rPr>
      <w:t>exo 1</w:t>
    </w:r>
  </w:p>
  <w:p w:rsidR="00C36DD0" w:rsidRPr="00C36DD0" w:rsidRDefault="00C36DD0" w:rsidP="00C36D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890" w:rsidRPr="00C36DD0" w:rsidRDefault="00B75890" w:rsidP="00B75890">
    <w:pPr>
      <w:pStyle w:val="Header"/>
      <w:pBdr>
        <w:bottom w:val="single" w:sz="4" w:space="1" w:color="auto"/>
      </w:pBdr>
      <w:rPr>
        <w:i/>
        <w:sz w:val="18"/>
        <w:szCs w:val="18"/>
      </w:rPr>
    </w:pPr>
    <w:r w:rsidRPr="00C36DD0">
      <w:rPr>
        <w:rFonts w:eastAsia="Times New Roman" w:cs="Arial"/>
        <w:i/>
        <w:sz w:val="18"/>
        <w:szCs w:val="18"/>
        <w:lang w:eastAsia="es-ES"/>
      </w:rPr>
      <w:t>UNEP/CMS/COP13/Doc.26.3.4/An</w:t>
    </w:r>
    <w:r>
      <w:rPr>
        <w:rFonts w:eastAsia="Times New Roman" w:cs="Arial"/>
        <w:i/>
        <w:sz w:val="18"/>
        <w:szCs w:val="18"/>
        <w:lang w:eastAsia="es-ES"/>
      </w:rPr>
      <w:t>exo 2</w:t>
    </w:r>
  </w:p>
  <w:p w:rsidR="00B75890" w:rsidRPr="00C36DD0" w:rsidRDefault="00B75890" w:rsidP="00C36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2506409"/>
    <w:multiLevelType w:val="hybridMultilevel"/>
    <w:tmpl w:val="899EDABC"/>
    <w:lvl w:ilvl="0" w:tplc="1ED2A0CC">
      <w:start w:val="1"/>
      <w:numFmt w:val="decimal"/>
      <w:pStyle w:val="Firstnumbering1"/>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F22C7"/>
    <w:multiLevelType w:val="hybridMultilevel"/>
    <w:tmpl w:val="CB9E2212"/>
    <w:lvl w:ilvl="0" w:tplc="B04C054E">
      <w:start w:val="1"/>
      <w:numFmt w:val="lowerLetter"/>
      <w:pStyle w:val="Secondnumberinga"/>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245BE"/>
    <w:multiLevelType w:val="hybridMultilevel"/>
    <w:tmpl w:val="591A9FE8"/>
    <w:lvl w:ilvl="0" w:tplc="1F463DA8">
      <w:start w:val="1"/>
      <w:numFmt w:val="upperLetter"/>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 w15:restartNumberingAfterBreak="0">
    <w:nsid w:val="1B635414"/>
    <w:multiLevelType w:val="hybridMultilevel"/>
    <w:tmpl w:val="53E86AF2"/>
    <w:lvl w:ilvl="0" w:tplc="944457C4">
      <w:start w:val="1"/>
      <w:numFmt w:val="decimal"/>
      <w:lvlText w:val="%1."/>
      <w:lvlJc w:val="left"/>
      <w:pPr>
        <w:ind w:left="1080" w:hanging="720"/>
      </w:pPr>
      <w:rPr>
        <w:rFonts w:eastAsia="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num>
  <w:num w:numId="2">
    <w:abstractNumId w:val="2"/>
  </w:num>
  <w:num w:numId="3">
    <w:abstractNumId w:val="3"/>
  </w:num>
  <w:num w:numId="4">
    <w:abstractNumId w:val="6"/>
  </w:num>
  <w:num w:numId="5">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2F7EC2"/>
    <w:rsid w:val="003349AD"/>
    <w:rsid w:val="004C7808"/>
    <w:rsid w:val="005330F7"/>
    <w:rsid w:val="00543406"/>
    <w:rsid w:val="00563598"/>
    <w:rsid w:val="00716402"/>
    <w:rsid w:val="00801C6E"/>
    <w:rsid w:val="00930FB8"/>
    <w:rsid w:val="00943D15"/>
    <w:rsid w:val="009C749A"/>
    <w:rsid w:val="00AE2E84"/>
    <w:rsid w:val="00B104EC"/>
    <w:rsid w:val="00B75890"/>
    <w:rsid w:val="00BC5707"/>
    <w:rsid w:val="00BF7838"/>
    <w:rsid w:val="00C36DD0"/>
    <w:rsid w:val="00CA0326"/>
    <w:rsid w:val="00E77A9F"/>
    <w:rsid w:val="00E81B4A"/>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978D"/>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716402"/>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eastAsiaTheme="minorEastAsia"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99"/>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9C749A"/>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F147ED"/>
    <w:pPr>
      <w:numPr>
        <w:numId w:val="2"/>
      </w:numPr>
      <w:spacing w:after="0" w:line="240" w:lineRule="auto"/>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9C749A"/>
    <w:rPr>
      <w:rFonts w:eastAsia="Times New Roman" w:cs="Arial"/>
      <w:lang w:val="es-ES" w:eastAsia="es-ES"/>
    </w:rPr>
  </w:style>
  <w:style w:type="character" w:customStyle="1" w:styleId="SecondnumberingaChar">
    <w:name w:val="Second numbering a). Char"/>
    <w:basedOn w:val="ListParagraphChar"/>
    <w:link w:val="Secondnumberinga"/>
    <w:rsid w:val="00F147ED"/>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customStyle="1" w:styleId="Heading2Char">
    <w:name w:val="Heading 2 Char"/>
    <w:basedOn w:val="DefaultParagraphFont"/>
    <w:link w:val="Heading2"/>
    <w:uiPriority w:val="9"/>
    <w:rsid w:val="00716402"/>
    <w:rPr>
      <w:rFonts w:eastAsiaTheme="minorEastAsia" w:cs="Times New Roman"/>
      <w:b/>
      <w:bCs/>
      <w:sz w:val="36"/>
      <w:szCs w:val="24"/>
    </w:rPr>
  </w:style>
  <w:style w:type="character" w:styleId="FootnoteReference">
    <w:name w:val="footnote reference"/>
    <w:uiPriority w:val="99"/>
    <w:semiHidden/>
    <w:rsid w:val="009C749A"/>
    <w:rPr>
      <w:rFonts w:cs="Times New Roman"/>
    </w:rPr>
  </w:style>
  <w:style w:type="paragraph" w:customStyle="1" w:styleId="Level1">
    <w:name w:val="Level 1"/>
    <w:basedOn w:val="Normal"/>
    <w:uiPriority w:val="99"/>
    <w:rsid w:val="009C749A"/>
    <w:pPr>
      <w:widowControl w:val="0"/>
      <w:numPr>
        <w:numId w:val="5"/>
      </w:numPr>
      <w:autoSpaceDE w:val="0"/>
      <w:autoSpaceDN w:val="0"/>
      <w:adjustRightInd w:val="0"/>
      <w:spacing w:after="0" w:line="240" w:lineRule="auto"/>
      <w:ind w:left="566" w:hanging="566"/>
      <w:outlineLvl w:val="0"/>
    </w:pPr>
    <w:rPr>
      <w:rFonts w:eastAsiaTheme="minorEastAsia" w:cs="Times New Roman"/>
      <w:sz w:val="18"/>
      <w:szCs w:val="24"/>
    </w:rPr>
  </w:style>
  <w:style w:type="paragraph" w:customStyle="1" w:styleId="Level2">
    <w:name w:val="Level 2"/>
    <w:basedOn w:val="Normal"/>
    <w:uiPriority w:val="99"/>
    <w:rsid w:val="009C749A"/>
    <w:pPr>
      <w:widowControl w:val="0"/>
      <w:numPr>
        <w:ilvl w:val="1"/>
        <w:numId w:val="5"/>
      </w:numPr>
      <w:autoSpaceDE w:val="0"/>
      <w:autoSpaceDN w:val="0"/>
      <w:adjustRightInd w:val="0"/>
      <w:spacing w:after="0" w:line="240" w:lineRule="auto"/>
      <w:ind w:left="1132" w:hanging="566"/>
      <w:outlineLvl w:val="1"/>
    </w:pPr>
    <w:rPr>
      <w:rFonts w:eastAsiaTheme="minorEastAsia" w:cs="Times New Roman"/>
      <w:sz w:val="18"/>
      <w:szCs w:val="24"/>
    </w:rPr>
  </w:style>
  <w:style w:type="paragraph" w:customStyle="1" w:styleId="Level3">
    <w:name w:val="Level 3"/>
    <w:basedOn w:val="Normal"/>
    <w:uiPriority w:val="99"/>
    <w:rsid w:val="009C749A"/>
    <w:pPr>
      <w:widowControl w:val="0"/>
      <w:numPr>
        <w:ilvl w:val="2"/>
        <w:numId w:val="5"/>
      </w:numPr>
      <w:autoSpaceDE w:val="0"/>
      <w:autoSpaceDN w:val="0"/>
      <w:adjustRightInd w:val="0"/>
      <w:spacing w:after="0" w:line="240" w:lineRule="auto"/>
      <w:ind w:left="1700" w:hanging="568"/>
      <w:outlineLvl w:val="2"/>
    </w:pPr>
    <w:rPr>
      <w:rFonts w:eastAsiaTheme="minorEastAsia" w:cs="Times New Roman"/>
      <w:sz w:val="18"/>
      <w:szCs w:val="24"/>
    </w:rPr>
  </w:style>
  <w:style w:type="character" w:styleId="Hyperlink">
    <w:name w:val="Hyperlink"/>
    <w:uiPriority w:val="99"/>
    <w:rsid w:val="009C749A"/>
    <w:rPr>
      <w:rFonts w:cs="Times New Roman"/>
      <w:color w:val="0000FF"/>
      <w:u w:val="single"/>
    </w:rPr>
  </w:style>
  <w:style w:type="paragraph" w:styleId="FootnoteText">
    <w:name w:val="footnote text"/>
    <w:basedOn w:val="Normal"/>
    <w:link w:val="FootnoteTextChar"/>
    <w:uiPriority w:val="99"/>
    <w:semiHidden/>
    <w:rsid w:val="009C749A"/>
    <w:pPr>
      <w:widowControl w:val="0"/>
      <w:autoSpaceDE w:val="0"/>
      <w:autoSpaceDN w:val="0"/>
      <w:adjustRightInd w:val="0"/>
      <w:spacing w:after="0" w:line="240" w:lineRule="auto"/>
    </w:pPr>
    <w:rPr>
      <w:rFonts w:eastAsiaTheme="minorEastAsia" w:cs="Times New Roman"/>
      <w:sz w:val="18"/>
      <w:szCs w:val="20"/>
    </w:rPr>
  </w:style>
  <w:style w:type="character" w:customStyle="1" w:styleId="FootnoteTextChar">
    <w:name w:val="Footnote Text Char"/>
    <w:basedOn w:val="DefaultParagraphFont"/>
    <w:link w:val="FootnoteText"/>
    <w:uiPriority w:val="99"/>
    <w:semiHidden/>
    <w:rsid w:val="009C749A"/>
    <w:rPr>
      <w:rFonts w:eastAsiaTheme="minorEastAsia" w:cs="Times New Roman"/>
      <w:sz w:val="18"/>
      <w:szCs w:val="20"/>
    </w:rPr>
  </w:style>
  <w:style w:type="paragraph" w:customStyle="1" w:styleId="Default">
    <w:name w:val="Default"/>
    <w:basedOn w:val="Normal"/>
    <w:rsid w:val="00C36DD0"/>
    <w:pPr>
      <w:autoSpaceDE w:val="0"/>
      <w:autoSpaceDN w:val="0"/>
      <w:spacing w:after="0" w:line="240" w:lineRule="auto"/>
    </w:pPr>
    <w:rPr>
      <w:rFonts w:eastAsiaTheme="minorEastAsia" w:cs="Times New Roman"/>
      <w:color w:val="000000"/>
      <w:sz w:val="24"/>
      <w:szCs w:val="24"/>
      <w:lang w:val="en-GB" w:eastAsia="en-GB"/>
    </w:rPr>
  </w:style>
  <w:style w:type="paragraph" w:customStyle="1" w:styleId="p1">
    <w:name w:val="p1"/>
    <w:basedOn w:val="Normal"/>
    <w:rsid w:val="00C36DD0"/>
    <w:pPr>
      <w:spacing w:after="0" w:line="240" w:lineRule="auto"/>
    </w:pPr>
    <w:rPr>
      <w:rFonts w:ascii="Times" w:eastAsia="MS Mincho" w:hAnsi="Times" w:cs="Times New Roman"/>
      <w:sz w:val="17"/>
      <w:szCs w:val="17"/>
    </w:rPr>
  </w:style>
  <w:style w:type="character" w:customStyle="1" w:styleId="QuickFormat1">
    <w:name w:val="QuickFormat1"/>
    <w:rsid w:val="00C36DD0"/>
    <w:rPr>
      <w:sz w:val="23"/>
      <w:szCs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sites/default/files/publication/SSA_tech_serie_eng_3_0_0.pdf"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ms.int/sites/default/files/document/ssa_agadir_declaration_e_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ms.int/sites/default/files/document/ssa_djerba_declaration_e_0.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ms.int/en/publication/sahelo-saharan-antelopes-&#8211;-status-and-perspectives-ts-no-11"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2019-10-02T07:38:00Z</dcterms:created>
  <dcterms:modified xsi:type="dcterms:W3CDTF">2019-10-02T07:38:00Z</dcterms:modified>
</cp:coreProperties>
</file>