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A63" w:rsidRPr="00295685" w:rsidRDefault="006808D4">
      <w:pPr>
        <w:jc w:val="right"/>
        <w:rPr>
          <w:b/>
        </w:rPr>
      </w:pPr>
      <w:bookmarkStart w:id="0" w:name="_GoBack"/>
      <w:bookmarkEnd w:id="0"/>
      <w:r w:rsidRPr="00295685">
        <w:rPr>
          <w:b/>
        </w:rPr>
        <w:t>ANNEXE </w:t>
      </w:r>
      <w:r w:rsidR="00735F53">
        <w:rPr>
          <w:b/>
        </w:rPr>
        <w:t>4</w:t>
      </w:r>
    </w:p>
    <w:p w:rsidR="00555A63" w:rsidRPr="00295685" w:rsidRDefault="00555A63">
      <w:pPr>
        <w:jc w:val="center"/>
        <w:rPr>
          <w:b/>
        </w:rPr>
      </w:pPr>
    </w:p>
    <w:p w:rsidR="00555A63" w:rsidRPr="00295685" w:rsidRDefault="006808D4">
      <w:pPr>
        <w:jc w:val="center"/>
      </w:pPr>
      <w:r w:rsidRPr="00295685">
        <w:rPr>
          <w:b/>
        </w:rPr>
        <w:t>INDICATEURS POUR LES ESPÈCES INSCRITES DANS LA LISTE DE LA CMS ET LES ESPÈCES MIGRATRICES.</w:t>
      </w:r>
      <w:r w:rsidRPr="00295685">
        <w:rPr>
          <w:b/>
        </w:rPr>
        <w:br/>
      </w:r>
    </w:p>
    <w:p w:rsidR="00555A63" w:rsidRPr="00295685" w:rsidRDefault="003B108F">
      <w:pPr>
        <w:jc w:val="center"/>
        <w:rPr>
          <w:b/>
        </w:rPr>
      </w:pPr>
      <w:r>
        <w:t xml:space="preserve">Compilé para le Secrétariat en utilisant des information et analyses fournies par </w:t>
      </w:r>
      <w:proofErr w:type="spellStart"/>
      <w:r w:rsidR="006808D4" w:rsidRPr="00295685">
        <w:t>BirdLife</w:t>
      </w:r>
      <w:proofErr w:type="spellEnd"/>
      <w:r w:rsidR="006808D4" w:rsidRPr="00295685">
        <w:t xml:space="preserve"> International, octobre 2019</w:t>
      </w:r>
    </w:p>
    <w:p w:rsidR="00555A63" w:rsidRPr="00295685" w:rsidRDefault="00555A63">
      <w:pPr>
        <w:jc w:val="center"/>
        <w:rPr>
          <w:b/>
        </w:rPr>
      </w:pPr>
    </w:p>
    <w:p w:rsidR="00555A63" w:rsidRPr="00295685" w:rsidRDefault="00555A63"/>
    <w:p w:rsidR="00555A63" w:rsidRPr="00295685" w:rsidRDefault="006808D4">
      <w:pPr>
        <w:numPr>
          <w:ilvl w:val="0"/>
          <w:numId w:val="36"/>
        </w:numPr>
        <w:ind w:left="284"/>
        <w:rPr>
          <w:b/>
          <w:sz w:val="22"/>
        </w:rPr>
      </w:pPr>
      <w:r w:rsidRPr="00295685">
        <w:rPr>
          <w:b/>
          <w:sz w:val="22"/>
        </w:rPr>
        <w:t>Introduction</w:t>
      </w:r>
    </w:p>
    <w:p w:rsidR="00555A63" w:rsidRPr="00295685" w:rsidRDefault="00555A63">
      <w:pPr>
        <w:ind w:left="284"/>
        <w:rPr>
          <w:b/>
          <w:sz w:val="22"/>
        </w:rPr>
      </w:pPr>
    </w:p>
    <w:p w:rsidR="00555A63" w:rsidRPr="00295685" w:rsidRDefault="006808D4">
      <w:pPr>
        <w:jc w:val="both"/>
        <w:rPr>
          <w:sz w:val="22"/>
        </w:rPr>
      </w:pPr>
      <w:r w:rsidRPr="00295685">
        <w:rPr>
          <w:sz w:val="22"/>
        </w:rPr>
        <w:t xml:space="preserve">Cette annexe a été élaborée sous cette forme par le Secrétariat, en utilisant l’analyse fournie par </w:t>
      </w:r>
      <w:proofErr w:type="spellStart"/>
      <w:r w:rsidRPr="00295685">
        <w:rPr>
          <w:sz w:val="22"/>
        </w:rPr>
        <w:t>BirdLife</w:t>
      </w:r>
      <w:proofErr w:type="spellEnd"/>
      <w:r w:rsidRPr="00295685">
        <w:rPr>
          <w:sz w:val="22"/>
        </w:rPr>
        <w:t xml:space="preserve"> International dans le cadre de l’évaluation des progrès accomplis dans la mise en œuvre du Plan stratégique pour les espèces migratrices 2015-2023. </w:t>
      </w:r>
    </w:p>
    <w:p w:rsidR="00555A63" w:rsidRPr="00295685" w:rsidRDefault="00555A63">
      <w:pPr>
        <w:rPr>
          <w:sz w:val="22"/>
        </w:rPr>
      </w:pPr>
    </w:p>
    <w:p w:rsidR="00555A63" w:rsidRPr="00295685" w:rsidRDefault="006808D4">
      <w:pPr>
        <w:numPr>
          <w:ilvl w:val="0"/>
          <w:numId w:val="36"/>
        </w:numPr>
        <w:ind w:left="284"/>
        <w:rPr>
          <w:b/>
          <w:sz w:val="22"/>
        </w:rPr>
      </w:pPr>
      <w:r w:rsidRPr="00295685">
        <w:rPr>
          <w:b/>
          <w:sz w:val="22"/>
        </w:rPr>
        <w:t xml:space="preserve">Couverture des aires protégées des Zones clés pour la biodiversité (KBA, « Key </w:t>
      </w:r>
      <w:proofErr w:type="spellStart"/>
      <w:r w:rsidRPr="00295685">
        <w:rPr>
          <w:b/>
          <w:sz w:val="22"/>
        </w:rPr>
        <w:t>Biodiversity</w:t>
      </w:r>
      <w:proofErr w:type="spellEnd"/>
      <w:r w:rsidRPr="00295685">
        <w:rPr>
          <w:b/>
          <w:sz w:val="22"/>
        </w:rPr>
        <w:t xml:space="preserve"> Areas »)</w:t>
      </w:r>
    </w:p>
    <w:p w:rsidR="00555A63" w:rsidRPr="00295685" w:rsidRDefault="00555A63">
      <w:pPr>
        <w:rPr>
          <w:sz w:val="22"/>
        </w:rPr>
      </w:pPr>
    </w:p>
    <w:p w:rsidR="00555A63" w:rsidRPr="00295685" w:rsidRDefault="006808D4">
      <w:pPr>
        <w:jc w:val="both"/>
        <w:rPr>
          <w:sz w:val="22"/>
        </w:rPr>
      </w:pPr>
      <w:r w:rsidRPr="00295685">
        <w:rPr>
          <w:sz w:val="22"/>
        </w:rPr>
        <w:t xml:space="preserve">Les KBA sont des « sites qui contribuent de manière significative à la persistance mondiale de la biodiversité ». Le Standard mondial pour l’identification des Zones clés pour la biodiversité (UICN, 2016) définit les critères permettant d’identifier les KBA. Les données des KBA comprennent tous les Sites importants pour les oiseaux et la biodiversité et les sites identifiés par « Alliance for </w:t>
      </w:r>
      <w:proofErr w:type="spellStart"/>
      <w:r w:rsidRPr="00295685">
        <w:rPr>
          <w:sz w:val="22"/>
        </w:rPr>
        <w:t>Zero</w:t>
      </w:r>
      <w:proofErr w:type="spellEnd"/>
      <w:r w:rsidRPr="00295685">
        <w:rPr>
          <w:sz w:val="22"/>
        </w:rPr>
        <w:t xml:space="preserve"> Extinction ». Les KBA sont identifiées pour des espèces particulières qui répondent à un ou plusieurs des critères d’identification des KBA.</w:t>
      </w:r>
    </w:p>
    <w:p w:rsidR="00555A63" w:rsidRPr="00295685" w:rsidRDefault="00555A63">
      <w:pPr>
        <w:rPr>
          <w:sz w:val="22"/>
        </w:rPr>
      </w:pPr>
    </w:p>
    <w:p w:rsidR="00555A63" w:rsidRPr="00295685" w:rsidRDefault="006808D4">
      <w:pPr>
        <w:jc w:val="both"/>
        <w:rPr>
          <w:sz w:val="22"/>
        </w:rPr>
      </w:pPr>
      <w:r w:rsidRPr="00295685">
        <w:rPr>
          <w:sz w:val="22"/>
        </w:rPr>
        <w:t xml:space="preserve">Ces graphiques montrent l’évolution des tendances du degré de couverture des KBA par les aires protégées, en se basant sur les chevauchements entre les limites numériques des KBA de la Base de données mondiale des KBA et les limites numériques des aires protégées de la Base de données mondiale des Aires protégées. Les méthodes sont décrites dans le document </w:t>
      </w:r>
      <w:hyperlink r:id="rId8" w:history="1">
        <w:r w:rsidRPr="00295685">
          <w:rPr>
            <w:rStyle w:val="Hyperlink"/>
            <w:sz w:val="22"/>
          </w:rPr>
          <w:t>https://unstats.un.org/sdgs/metadata/files/Metadata-15-01-02.pdf</w:t>
        </w:r>
      </w:hyperlink>
      <w:r w:rsidRPr="00295685">
        <w:rPr>
          <w:sz w:val="22"/>
        </w:rPr>
        <w:t xml:space="preserve"> (veuillez noter que la division en KBA terrestres et KBA d’eaux douces n’est pas pertinente dans ce contexte). </w:t>
      </w:r>
    </w:p>
    <w:p w:rsidR="00555A63" w:rsidRPr="00295685" w:rsidRDefault="00555A63">
      <w:pPr>
        <w:rPr>
          <w:sz w:val="22"/>
        </w:rPr>
      </w:pPr>
    </w:p>
    <w:p w:rsidR="00555A63" w:rsidRPr="00295685" w:rsidRDefault="006808D4">
      <w:pPr>
        <w:jc w:val="both"/>
        <w:rPr>
          <w:sz w:val="22"/>
        </w:rPr>
      </w:pPr>
      <w:r w:rsidRPr="00295685">
        <w:rPr>
          <w:sz w:val="22"/>
        </w:rPr>
        <w:t xml:space="preserve">Chaque graphique (Fig. 1 à 7) montre le Pourcentage moyen de chaque KBA couvert par les aires protégées, ainsi que les tendances pour les KBA identifiées pour les espèces migratrices (c.-à-d. classés comme des « espèces complètement migratrices » dans la Liste rouge de l’UICN) et, séparément, pour les KBA identifiées pour les espèces listées par la Convention sur les espèces migratrices (CMS, « Convention on </w:t>
      </w:r>
      <w:proofErr w:type="spellStart"/>
      <w:r w:rsidRPr="00295685">
        <w:rPr>
          <w:sz w:val="22"/>
        </w:rPr>
        <w:t>Migratory</w:t>
      </w:r>
      <w:proofErr w:type="spellEnd"/>
      <w:r w:rsidRPr="00295685">
        <w:rPr>
          <w:sz w:val="22"/>
        </w:rPr>
        <w:t xml:space="preserve"> </w:t>
      </w:r>
      <w:proofErr w:type="spellStart"/>
      <w:r w:rsidRPr="00295685">
        <w:rPr>
          <w:sz w:val="22"/>
        </w:rPr>
        <w:t>Species</w:t>
      </w:r>
      <w:proofErr w:type="spellEnd"/>
      <w:r w:rsidRPr="00295685">
        <w:rPr>
          <w:sz w:val="22"/>
        </w:rPr>
        <w:t> »). Les KBA générées par les rassemblements « d’oiseaux aquatiques », « d’oiseaux marins » ou « d’oiseaux planeurs » comptant plus de 20 000 individus (répondant au critère A4 de l’IBA) ont été inclues dans l’indicateur des « espèces migratrices », étant donné que la majorité des espèces grégaires de ces groupes sont migratrices. Les intervalles de confiance sont représentés par un effet d’ombre (voir les Méthodes ci-dessus).</w:t>
      </w:r>
    </w:p>
    <w:p w:rsidR="00555A63" w:rsidRPr="00295685" w:rsidRDefault="00D70DC9">
      <w:pPr>
        <w:rPr>
          <w:sz w:val="22"/>
        </w:rPr>
      </w:pPr>
      <w:r w:rsidRPr="00074092">
        <w:rPr>
          <w:noProof/>
          <w:lang w:eastAsia="fr-FR"/>
        </w:rPr>
        <w:lastRenderedPageBreak/>
        <w:drawing>
          <wp:inline distT="0" distB="0" distL="0" distR="0">
            <wp:extent cx="5949315" cy="3764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315" cy="3764280"/>
                    </a:xfrm>
                    <a:prstGeom prst="rect">
                      <a:avLst/>
                    </a:prstGeom>
                    <a:noFill/>
                    <a:ln>
                      <a:noFill/>
                    </a:ln>
                  </pic:spPr>
                </pic:pic>
              </a:graphicData>
            </a:graphic>
          </wp:inline>
        </w:drawing>
      </w:r>
    </w:p>
    <w:p w:rsidR="00555A63" w:rsidRPr="00295685" w:rsidRDefault="006808D4">
      <w:pPr>
        <w:jc w:val="both"/>
        <w:rPr>
          <w:sz w:val="22"/>
        </w:rPr>
      </w:pPr>
      <w:r w:rsidRPr="00295685">
        <w:rPr>
          <w:sz w:val="22"/>
        </w:rPr>
        <w:t>Fig. 1. Tendances de la couverture par les aires protégées de chaque Zone clé pour la biodiversité identifiée pour les espèces d’oiseaux et de mammifères migrateurs et inscrits dans la liste de la CMS en Afrique. L’effet d’ombre représente les intervalles de confiance.</w:t>
      </w:r>
    </w:p>
    <w:p w:rsidR="00555A63" w:rsidRPr="00295685" w:rsidRDefault="00D70DC9">
      <w:pPr>
        <w:jc w:val="both"/>
        <w:rPr>
          <w:sz w:val="22"/>
        </w:rPr>
      </w:pPr>
      <w:r w:rsidRPr="00074092">
        <w:rPr>
          <w:noProof/>
          <w:lang w:eastAsia="fr-FR"/>
        </w:rPr>
        <w:drawing>
          <wp:inline distT="0" distB="0" distL="0" distR="0">
            <wp:extent cx="5949315" cy="376428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315" cy="3764280"/>
                    </a:xfrm>
                    <a:prstGeom prst="rect">
                      <a:avLst/>
                    </a:prstGeom>
                    <a:noFill/>
                    <a:ln>
                      <a:noFill/>
                    </a:ln>
                  </pic:spPr>
                </pic:pic>
              </a:graphicData>
            </a:graphic>
          </wp:inline>
        </w:drawing>
      </w:r>
    </w:p>
    <w:p w:rsidR="00555A63" w:rsidRPr="00295685" w:rsidRDefault="006808D4">
      <w:pPr>
        <w:jc w:val="both"/>
        <w:rPr>
          <w:sz w:val="22"/>
        </w:rPr>
      </w:pPr>
      <w:r w:rsidRPr="00295685">
        <w:rPr>
          <w:sz w:val="22"/>
        </w:rPr>
        <w:t>Fig. 2. Tendances de la couverture par les aires protégées de chaque Zone clé pour la biodiversité identifiée pour les espèces d’oiseaux et de mammifères migrateurs et inscrits dans la liste de la CMS en Asie. L’effet d’ombre représente les intervalles de confiance.</w:t>
      </w:r>
    </w:p>
    <w:p w:rsidR="00555A63" w:rsidRPr="00295685" w:rsidRDefault="00555A63">
      <w:pPr>
        <w:jc w:val="both"/>
        <w:rPr>
          <w:sz w:val="22"/>
        </w:rPr>
      </w:pPr>
    </w:p>
    <w:p w:rsidR="00555A63" w:rsidRPr="00295685" w:rsidRDefault="00555A63">
      <w:pPr>
        <w:jc w:val="both"/>
      </w:pPr>
    </w:p>
    <w:p w:rsidR="00555A63" w:rsidRPr="00295685" w:rsidRDefault="00D70DC9">
      <w:pPr>
        <w:rPr>
          <w:sz w:val="22"/>
        </w:rPr>
      </w:pPr>
      <w:r w:rsidRPr="00074092">
        <w:rPr>
          <w:noProof/>
          <w:lang w:eastAsia="fr-FR"/>
        </w:rPr>
        <w:lastRenderedPageBreak/>
        <w:drawing>
          <wp:inline distT="0" distB="0" distL="0" distR="0">
            <wp:extent cx="5949315" cy="376428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315" cy="3764280"/>
                    </a:xfrm>
                    <a:prstGeom prst="rect">
                      <a:avLst/>
                    </a:prstGeom>
                    <a:noFill/>
                    <a:ln>
                      <a:noFill/>
                    </a:ln>
                  </pic:spPr>
                </pic:pic>
              </a:graphicData>
            </a:graphic>
          </wp:inline>
        </w:drawing>
      </w:r>
    </w:p>
    <w:p w:rsidR="00555A63" w:rsidRPr="00295685" w:rsidRDefault="006808D4">
      <w:pPr>
        <w:jc w:val="both"/>
        <w:rPr>
          <w:sz w:val="22"/>
        </w:rPr>
      </w:pPr>
      <w:r w:rsidRPr="00295685">
        <w:rPr>
          <w:sz w:val="22"/>
        </w:rPr>
        <w:t>Fig. 3. Tendances de la couverture des aires protégées de chaque Zone clé pour la biodiversité identifiée pour les espèces d’oiseaux et de mammifères migrateurs et inscrits dans la liste de la CMS en Europe. L’effet d’ombre représente les intervalles de confiance.</w:t>
      </w:r>
    </w:p>
    <w:p w:rsidR="00555A63" w:rsidRPr="00295685" w:rsidRDefault="00555A63"/>
    <w:p w:rsidR="00555A63" w:rsidRPr="00295685" w:rsidRDefault="00D70DC9">
      <w:r w:rsidRPr="00074092">
        <w:rPr>
          <w:noProof/>
          <w:lang w:eastAsia="fr-FR"/>
        </w:rPr>
        <w:drawing>
          <wp:inline distT="0" distB="0" distL="0" distR="0">
            <wp:extent cx="5949315" cy="376428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315" cy="3764280"/>
                    </a:xfrm>
                    <a:prstGeom prst="rect">
                      <a:avLst/>
                    </a:prstGeom>
                    <a:noFill/>
                    <a:ln>
                      <a:noFill/>
                    </a:ln>
                  </pic:spPr>
                </pic:pic>
              </a:graphicData>
            </a:graphic>
          </wp:inline>
        </w:drawing>
      </w:r>
    </w:p>
    <w:p w:rsidR="00555A63" w:rsidRPr="00295685" w:rsidRDefault="006808D4">
      <w:pPr>
        <w:jc w:val="both"/>
        <w:rPr>
          <w:sz w:val="22"/>
        </w:rPr>
      </w:pPr>
      <w:r w:rsidRPr="00295685">
        <w:rPr>
          <w:sz w:val="22"/>
        </w:rPr>
        <w:t>Fig. 4. Tendances de la couverture par les aires protégées de chaque Zone clé pour la biodiversité identifiée pour les espèces d’oiseaux et de mammifères migrateurs et inscrits dans la liste de la CMS en Amérique du Nord. L’effet d’ombre représente les intervalles de confiance.</w:t>
      </w:r>
    </w:p>
    <w:p w:rsidR="00555A63" w:rsidRPr="00295685" w:rsidRDefault="00555A63">
      <w:pPr>
        <w:rPr>
          <w:sz w:val="22"/>
        </w:rPr>
      </w:pPr>
    </w:p>
    <w:p w:rsidR="00555A63" w:rsidRPr="00295685" w:rsidRDefault="00555A63"/>
    <w:p w:rsidR="00555A63" w:rsidRPr="00295685" w:rsidRDefault="00D70DC9">
      <w:r w:rsidRPr="00074092">
        <w:rPr>
          <w:noProof/>
          <w:lang w:eastAsia="fr-FR"/>
        </w:rPr>
        <w:lastRenderedPageBreak/>
        <w:drawing>
          <wp:inline distT="0" distB="0" distL="0" distR="0">
            <wp:extent cx="5949315" cy="376428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315" cy="3764280"/>
                    </a:xfrm>
                    <a:prstGeom prst="rect">
                      <a:avLst/>
                    </a:prstGeom>
                    <a:noFill/>
                    <a:ln>
                      <a:noFill/>
                    </a:ln>
                  </pic:spPr>
                </pic:pic>
              </a:graphicData>
            </a:graphic>
          </wp:inline>
        </w:drawing>
      </w:r>
    </w:p>
    <w:p w:rsidR="00555A63" w:rsidRPr="00295685" w:rsidRDefault="006808D4">
      <w:pPr>
        <w:jc w:val="both"/>
        <w:rPr>
          <w:sz w:val="22"/>
        </w:rPr>
      </w:pPr>
      <w:r w:rsidRPr="00295685">
        <w:rPr>
          <w:sz w:val="22"/>
        </w:rPr>
        <w:t>Fig. 5. Tendances de la couverture des aires protégées de chaque Zone clé pour la biodiversité identifiée pour les espèces d’oiseaux et de mammifères migrateurs et inscrits dans la liste de la CMS en Océanie. L’effet d’ombre représente les intervalles de confiance.</w:t>
      </w:r>
    </w:p>
    <w:p w:rsidR="00555A63" w:rsidRPr="00295685" w:rsidRDefault="00555A63"/>
    <w:p w:rsidR="00555A63" w:rsidRDefault="00555A63">
      <w:pPr>
        <w:rPr>
          <w:noProof/>
        </w:rPr>
      </w:pPr>
    </w:p>
    <w:p w:rsidR="0047588B" w:rsidRPr="00295685" w:rsidRDefault="00D70DC9">
      <w:r w:rsidRPr="00074092">
        <w:rPr>
          <w:noProof/>
          <w:lang w:eastAsia="fr-FR"/>
        </w:rPr>
        <w:drawing>
          <wp:inline distT="0" distB="0" distL="0" distR="0">
            <wp:extent cx="5949315" cy="376428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315" cy="3764280"/>
                    </a:xfrm>
                    <a:prstGeom prst="rect">
                      <a:avLst/>
                    </a:prstGeom>
                    <a:noFill/>
                    <a:ln>
                      <a:noFill/>
                    </a:ln>
                  </pic:spPr>
                </pic:pic>
              </a:graphicData>
            </a:graphic>
          </wp:inline>
        </w:drawing>
      </w:r>
    </w:p>
    <w:p w:rsidR="00555A63" w:rsidRPr="00295685" w:rsidRDefault="006808D4">
      <w:pPr>
        <w:jc w:val="both"/>
        <w:rPr>
          <w:sz w:val="22"/>
        </w:rPr>
      </w:pPr>
      <w:r w:rsidRPr="00295685">
        <w:rPr>
          <w:sz w:val="22"/>
        </w:rPr>
        <w:t>Fig. 6. Tendances de la couverture des aires protégées de chaque Zone clé pour la biodiversité identifiée pour les espèces d’oiseaux et de mammifères migrateurs et inscrits dans la liste de la CMS en Amérique du Sud, en Amérique Centrale et dans les Caraïbes. L’effet d’ombre représente les intervalles de confiance.</w:t>
      </w:r>
    </w:p>
    <w:p w:rsidR="00555A63" w:rsidRPr="00295685" w:rsidRDefault="00555A63">
      <w:pPr>
        <w:jc w:val="both"/>
      </w:pPr>
    </w:p>
    <w:p w:rsidR="00555A63" w:rsidRPr="00295685" w:rsidRDefault="00555A63"/>
    <w:p w:rsidR="00555A63" w:rsidRDefault="00555A63">
      <w:pPr>
        <w:rPr>
          <w:noProof/>
        </w:rPr>
      </w:pPr>
    </w:p>
    <w:p w:rsidR="0047588B" w:rsidRPr="00295685" w:rsidRDefault="00D70DC9">
      <w:r w:rsidRPr="00074092">
        <w:rPr>
          <w:noProof/>
          <w:lang w:eastAsia="fr-FR"/>
        </w:rPr>
        <w:drawing>
          <wp:inline distT="0" distB="0" distL="0" distR="0">
            <wp:extent cx="5949315" cy="376428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315" cy="3764280"/>
                    </a:xfrm>
                    <a:prstGeom prst="rect">
                      <a:avLst/>
                    </a:prstGeom>
                    <a:noFill/>
                    <a:ln>
                      <a:noFill/>
                    </a:ln>
                  </pic:spPr>
                </pic:pic>
              </a:graphicData>
            </a:graphic>
          </wp:inline>
        </w:drawing>
      </w:r>
    </w:p>
    <w:p w:rsidR="00555A63" w:rsidRPr="00295685" w:rsidRDefault="006808D4">
      <w:pPr>
        <w:jc w:val="both"/>
        <w:rPr>
          <w:sz w:val="22"/>
        </w:rPr>
      </w:pPr>
      <w:r w:rsidRPr="00295685">
        <w:rPr>
          <w:sz w:val="22"/>
        </w:rPr>
        <w:t>Fig. 7. Tendances de la couverture des aires protégées de chaque Zone clé pour la biodiversité identifiée pour les espèces d’oiseaux et de mammifères migrateurs et inscrits dans la liste CMS pour le monde entier. L’effet d’ombre représente les intervalles de confiance.</w:t>
      </w:r>
    </w:p>
    <w:p w:rsidR="00555A63" w:rsidRPr="00295685" w:rsidRDefault="00555A63">
      <w:pPr>
        <w:jc w:val="both"/>
        <w:rPr>
          <w:sz w:val="22"/>
        </w:rPr>
      </w:pPr>
    </w:p>
    <w:p w:rsidR="00555A63" w:rsidRPr="00295685" w:rsidRDefault="00555A63">
      <w:pPr>
        <w:rPr>
          <w:sz w:val="22"/>
        </w:rPr>
      </w:pPr>
    </w:p>
    <w:p w:rsidR="00555A63" w:rsidRPr="00295685" w:rsidRDefault="006808D4">
      <w:pPr>
        <w:jc w:val="both"/>
        <w:rPr>
          <w:sz w:val="22"/>
        </w:rPr>
      </w:pPr>
      <w:r w:rsidRPr="00295685">
        <w:rPr>
          <w:sz w:val="22"/>
        </w:rPr>
        <w:t xml:space="preserve">Les données sur la Haute mer et l’Antarctique sont intégrées dans le graphique global, mais il ne s’agit pas de régions CMS. C’est pourquoi aucun graphique spécifique n’est présenté. </w:t>
      </w:r>
    </w:p>
    <w:p w:rsidR="00555A63" w:rsidRPr="00295685" w:rsidRDefault="00555A63">
      <w:pPr>
        <w:rPr>
          <w:sz w:val="22"/>
        </w:rPr>
      </w:pPr>
    </w:p>
    <w:p w:rsidR="00555A63" w:rsidRPr="00295685" w:rsidRDefault="00555A63"/>
    <w:p w:rsidR="00555A63" w:rsidRPr="00295685" w:rsidRDefault="00D70DC9">
      <w:r w:rsidRPr="00074092">
        <w:rPr>
          <w:noProof/>
          <w:lang w:eastAsia="fr-FR"/>
        </w:rPr>
        <w:drawing>
          <wp:inline distT="0" distB="0" distL="0" distR="0">
            <wp:extent cx="5949315" cy="337248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rPr>
          <w:sz w:val="22"/>
        </w:rPr>
      </w:pPr>
      <w:r w:rsidRPr="00295685">
        <w:rPr>
          <w:sz w:val="22"/>
        </w:rPr>
        <w:lastRenderedPageBreak/>
        <w:t>Fig. 8. Nombre de KBA pour chaque graphique.</w:t>
      </w:r>
    </w:p>
    <w:p w:rsidR="00555A63" w:rsidRPr="00295685" w:rsidRDefault="00555A63">
      <w:pPr>
        <w:rPr>
          <w:sz w:val="22"/>
        </w:rPr>
      </w:pPr>
    </w:p>
    <w:p w:rsidR="00555A63" w:rsidRPr="00295685" w:rsidRDefault="00555A63">
      <w:pPr>
        <w:rPr>
          <w:sz w:val="22"/>
        </w:rPr>
      </w:pPr>
    </w:p>
    <w:p w:rsidR="00555A63" w:rsidRPr="00295685" w:rsidRDefault="006808D4">
      <w:pPr>
        <w:rPr>
          <w:b/>
          <w:iCs/>
          <w:sz w:val="22"/>
        </w:rPr>
      </w:pPr>
      <w:r w:rsidRPr="00295685">
        <w:rPr>
          <w:b/>
          <w:iCs/>
          <w:sz w:val="22"/>
        </w:rPr>
        <w:t>Description des résultats</w:t>
      </w:r>
    </w:p>
    <w:p w:rsidR="00555A63" w:rsidRPr="00295685" w:rsidRDefault="00555A63">
      <w:pPr>
        <w:rPr>
          <w:iCs/>
          <w:sz w:val="22"/>
        </w:rPr>
      </w:pPr>
    </w:p>
    <w:p w:rsidR="00555A63" w:rsidRPr="00295685" w:rsidRDefault="006808D4">
      <w:pPr>
        <w:jc w:val="both"/>
        <w:rPr>
          <w:sz w:val="22"/>
        </w:rPr>
      </w:pPr>
      <w:r w:rsidRPr="00295685">
        <w:rPr>
          <w:sz w:val="22"/>
        </w:rPr>
        <w:t xml:space="preserve">Les Zones clés pour la biodiversité (KBA) sont des « sites qui contribuent de manière significative à la persistance mondiale de la biodiversité », et elles englobent les Zones importantes pour les oiseaux et la biodiversité et les sites identifiés par « Alliance for </w:t>
      </w:r>
      <w:proofErr w:type="spellStart"/>
      <w:r w:rsidRPr="00295685">
        <w:rPr>
          <w:sz w:val="22"/>
        </w:rPr>
        <w:t>Zero</w:t>
      </w:r>
      <w:proofErr w:type="spellEnd"/>
      <w:r w:rsidRPr="00295685">
        <w:rPr>
          <w:sz w:val="22"/>
        </w:rPr>
        <w:t xml:space="preserve"> Extinction ». De nombreux KBA ont été identifiées en raison de leur importance pour les rassemblements des espèces migratrices ou pour les populations des espèces migratrices menacées d’extinction. La couverture de ce sous-ensemble de sites par les aires protégées officielles a considérablement augmenté au fil du temps, avec un pourcentage moyen de chaque KBA couverte par les aires protégées atteignant 49 % en 2018. La couverture varie selon les régions. Elle est la plus faible en Asie (31 %), en Amérique du Sud, en Amérique Centrale et dans les Caraïbes (39 %). Elle est la plus élevée en Afrique (51 %) et en Europe (69 %).</w:t>
      </w:r>
    </w:p>
    <w:p w:rsidR="00555A63" w:rsidRPr="00295685" w:rsidRDefault="00555A63">
      <w:pPr>
        <w:rPr>
          <w:sz w:val="22"/>
        </w:rPr>
      </w:pPr>
    </w:p>
    <w:p w:rsidR="00555A63" w:rsidRPr="00295685" w:rsidRDefault="006808D4">
      <w:pPr>
        <w:jc w:val="both"/>
        <w:rPr>
          <w:sz w:val="22"/>
        </w:rPr>
      </w:pPr>
      <w:r w:rsidRPr="00295685">
        <w:rPr>
          <w:sz w:val="22"/>
        </w:rPr>
        <w:t xml:space="preserve"> La couverture des aires protégées des KBA identifiées pour les espèces inscrites dans la liste de la Convention sur les espèces migratrices (CMS) s’élève en moyenne à 49 % au niveau mondial. Elle est la plus faible en Asie (31 %), en Amérique du Sud, en Amérique Centrale et dans les Caraïbes (39 %). Elle est la plus élevée en Afrique (51 %) et en Europe (69 %).</w:t>
      </w:r>
    </w:p>
    <w:p w:rsidR="00555A63" w:rsidRPr="00295685" w:rsidRDefault="00555A63">
      <w:pPr>
        <w:rPr>
          <w:sz w:val="22"/>
        </w:rPr>
      </w:pPr>
    </w:p>
    <w:p w:rsidR="00555A63" w:rsidRPr="00295685" w:rsidRDefault="006808D4">
      <w:pPr>
        <w:jc w:val="both"/>
        <w:rPr>
          <w:sz w:val="22"/>
        </w:rPr>
      </w:pPr>
      <w:r w:rsidRPr="00295685">
        <w:rPr>
          <w:sz w:val="22"/>
        </w:rPr>
        <w:t>Étant donné les données prouvant que les niveaux plus élevés de couverture des aires protégées des sites clés sont associés à une amélioration des tendances de risque d’extinction (</w:t>
      </w:r>
      <w:proofErr w:type="spellStart"/>
      <w:r w:rsidRPr="00295685">
        <w:rPr>
          <w:sz w:val="22"/>
        </w:rPr>
        <w:t>Butchart</w:t>
      </w:r>
      <w:proofErr w:type="spellEnd"/>
      <w:r w:rsidRPr="00295685">
        <w:rPr>
          <w:sz w:val="22"/>
        </w:rPr>
        <w:t xml:space="preserve"> et al. 2012 ; </w:t>
      </w:r>
      <w:proofErr w:type="spellStart"/>
      <w:r w:rsidRPr="00295685">
        <w:rPr>
          <w:sz w:val="22"/>
        </w:rPr>
        <w:t>PloS</w:t>
      </w:r>
      <w:proofErr w:type="spellEnd"/>
      <w:r w:rsidRPr="00295685">
        <w:rPr>
          <w:sz w:val="22"/>
        </w:rPr>
        <w:t xml:space="preserve"> ONE), l’augmentation de la couverture de ces sites importants pour les espèces migratrices contribuerait substantiellement à leur conservation et aiderait à réaliser les objectifs de la CMS. </w:t>
      </w:r>
    </w:p>
    <w:p w:rsidR="00555A63" w:rsidRPr="00295685" w:rsidRDefault="00555A63">
      <w:pPr>
        <w:rPr>
          <w:sz w:val="22"/>
        </w:rPr>
      </w:pPr>
    </w:p>
    <w:p w:rsidR="00555A63" w:rsidRPr="00295685" w:rsidRDefault="00D70DC9">
      <w:pPr>
        <w:rPr>
          <w:i/>
          <w:iCs/>
          <w:sz w:val="22"/>
        </w:rPr>
      </w:pPr>
      <w:r w:rsidRPr="00074092">
        <w:rPr>
          <w:noProof/>
          <w:lang w:eastAsia="fr-FR"/>
        </w:rPr>
        <w:drawing>
          <wp:inline distT="0" distB="0" distL="0" distR="0">
            <wp:extent cx="5949315" cy="337248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rPr>
          <w:iCs/>
          <w:sz w:val="22"/>
        </w:rPr>
      </w:pPr>
      <w:r w:rsidRPr="00295685">
        <w:rPr>
          <w:iCs/>
          <w:sz w:val="22"/>
        </w:rPr>
        <w:t xml:space="preserve">Fig. 9 </w:t>
      </w:r>
      <w:r w:rsidRPr="00295685">
        <w:rPr>
          <w:sz w:val="22"/>
        </w:rPr>
        <w:t>Couverture des aires protégées des KBA identifiées pour les espèces inscrites dans la liste de la Convention sur les espèces migratoires (CMS). UE : Europe, AF : Afrique, AN : Amérique du Nord, OC : Océanie, AS : Amérique du sud, AC : Amérique centrale, CAR : Caraïbes et AS : Asie.</w:t>
      </w:r>
    </w:p>
    <w:p w:rsidR="00555A63" w:rsidRPr="00295685" w:rsidRDefault="00555A63">
      <w:pPr>
        <w:rPr>
          <w:i/>
          <w:iCs/>
          <w:sz w:val="22"/>
        </w:rPr>
      </w:pPr>
    </w:p>
    <w:p w:rsidR="00555A63" w:rsidRPr="00295685" w:rsidRDefault="00555A63">
      <w:pPr>
        <w:rPr>
          <w:i/>
          <w:iCs/>
          <w:sz w:val="22"/>
        </w:rPr>
      </w:pPr>
    </w:p>
    <w:p w:rsidR="00555A63" w:rsidRPr="00295685" w:rsidRDefault="00555A63"/>
    <w:p w:rsidR="00555A63" w:rsidRPr="00295685" w:rsidRDefault="006808D4">
      <w:pPr>
        <w:numPr>
          <w:ilvl w:val="0"/>
          <w:numId w:val="36"/>
        </w:numPr>
        <w:ind w:left="284"/>
        <w:rPr>
          <w:b/>
          <w:sz w:val="22"/>
        </w:rPr>
      </w:pPr>
      <w:r w:rsidRPr="00295685">
        <w:rPr>
          <w:b/>
          <w:sz w:val="22"/>
        </w:rPr>
        <w:t>Index de la Liste rouge (ILR)</w:t>
      </w:r>
    </w:p>
    <w:p w:rsidR="00555A63" w:rsidRPr="00295685" w:rsidRDefault="00555A63">
      <w:pPr>
        <w:rPr>
          <w:sz w:val="22"/>
        </w:rPr>
      </w:pPr>
    </w:p>
    <w:p w:rsidR="00555A63" w:rsidRPr="00295685" w:rsidRDefault="006808D4">
      <w:pPr>
        <w:jc w:val="both"/>
        <w:rPr>
          <w:sz w:val="22"/>
        </w:rPr>
      </w:pPr>
      <w:r w:rsidRPr="00295685">
        <w:rPr>
          <w:sz w:val="22"/>
        </w:rPr>
        <w:t xml:space="preserve">L’Index de la Liste rouge (ILR) indique la probabilité de survie globale (l’inverse du risque d’extinction) des ensembles d’espèces. Elle repose sur les véritables variations du nombre d’espèces dans chaque catégorie de risque d’extinction dans la Liste rouge des espèces menacées de l’UICN, en ne tenant pas compte des changements résultant d’une meilleure connaissance ou de la révision de la taxonomie. La valeur de l’indice va de 1 (toutes les espèces sont classées dans la catégorie « Préoccupation mineure ») à 0 (toutes les espèces sont classées dans la catégorie « Espèce disparue ») et indique donc jusqu’à quel point l’ensemble des espèces s’est déplacé vers l’extinction. </w:t>
      </w:r>
    </w:p>
    <w:p w:rsidR="00555A63" w:rsidRPr="00295685" w:rsidRDefault="00555A63">
      <w:pPr>
        <w:rPr>
          <w:sz w:val="22"/>
        </w:rPr>
      </w:pPr>
    </w:p>
    <w:p w:rsidR="00555A63" w:rsidRPr="00295685" w:rsidRDefault="006808D4">
      <w:pPr>
        <w:rPr>
          <w:sz w:val="22"/>
        </w:rPr>
      </w:pPr>
      <w:r w:rsidRPr="00295685">
        <w:rPr>
          <w:sz w:val="22"/>
        </w:rPr>
        <w:t xml:space="preserve">Ces graphiques montrent les Index de la Liste rouge de la survie des espèces d’oiseaux et de mammifères qui sont migrateurs (c.-à-d. classés comme « espèce complètement migratrice » dans la Liste rouge de l’UICN) ou (séparément) inscrits dans la liste de la CMS. Les méthodes sont décrites sur document </w:t>
      </w:r>
      <w:hyperlink r:id="rId18" w:history="1">
        <w:r w:rsidRPr="00295685">
          <w:rPr>
            <w:rStyle w:val="Hyperlink"/>
            <w:sz w:val="22"/>
          </w:rPr>
          <w:t>https://unstats.un.org/sdgs/metadata/files/Metadata-15-05-01.pdf</w:t>
        </w:r>
      </w:hyperlink>
      <w:r w:rsidRPr="00295685">
        <w:rPr>
          <w:sz w:val="22"/>
        </w:rPr>
        <w:t xml:space="preserve">. </w:t>
      </w:r>
    </w:p>
    <w:p w:rsidR="00555A63" w:rsidRPr="00295685" w:rsidRDefault="00555A63">
      <w:pPr>
        <w:rPr>
          <w:sz w:val="22"/>
        </w:rPr>
      </w:pPr>
    </w:p>
    <w:p w:rsidR="00555A63" w:rsidRPr="00295685" w:rsidRDefault="006808D4">
      <w:pPr>
        <w:jc w:val="both"/>
        <w:rPr>
          <w:sz w:val="22"/>
        </w:rPr>
      </w:pPr>
      <w:r w:rsidRPr="00295685">
        <w:rPr>
          <w:sz w:val="22"/>
        </w:rPr>
        <w:t>Les Index de la Liste rouge régionaux (Fig. 10 à 15) sont pondérés par la fraction de la distribution de chaque espèce présente dans la région. Ils montrent à quel point les espèces sont bien conservées dans chaque région par rapport à leur contribution potentielle à la conservation globale des espèces. Ils varient de 1 si la région a contribué le minimum possible à l’ILR global (c.-à-d. parce que toutes les espèces de la région sont dans la catégorie « Préoccupation mineure ») à 0 si la région a contribué le maximum possible à l’ILR global (c.-à-d. si toutes les espèces de la région sont des « Espèces disparues »).</w:t>
      </w:r>
    </w:p>
    <w:p w:rsidR="00555A63" w:rsidRPr="00295685" w:rsidRDefault="00555A63">
      <w:pPr>
        <w:rPr>
          <w:sz w:val="22"/>
        </w:rPr>
      </w:pPr>
    </w:p>
    <w:p w:rsidR="00555A63" w:rsidRPr="00295685" w:rsidRDefault="00555A63"/>
    <w:p w:rsidR="00555A63" w:rsidRPr="00295685" w:rsidRDefault="00D70DC9">
      <w:r w:rsidRPr="00074092">
        <w:rPr>
          <w:noProof/>
          <w:lang w:eastAsia="fr-FR"/>
        </w:rPr>
        <w:drawing>
          <wp:inline distT="0" distB="0" distL="0" distR="0">
            <wp:extent cx="5949315" cy="337248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 xml:space="preserve">Fig. 10. Index de la Liste rouge de la survie des espèces d’oiseaux migrateurs et inscrits à la liste de la CMS en Afrique, chaque espèce étant pondérée par la proportion de sa distribution mondiale dans la région. L’effet d’ombre représente les intervalles de confiance. Un index égal à 1 équivaut signifie que toutes les espèces sont classées dans la catégorie « Préoccupation mineure » ; un index égal à 0 équivaut à ce que toutes les espèces soient classées comme des « Espèces disparues ». </w:t>
      </w:r>
    </w:p>
    <w:p w:rsidR="00555A63" w:rsidRPr="00295685" w:rsidRDefault="00555A63"/>
    <w:p w:rsidR="00555A63" w:rsidRPr="00295685" w:rsidRDefault="00555A63"/>
    <w:p w:rsidR="00555A63" w:rsidRPr="00295685" w:rsidRDefault="00D70DC9">
      <w:pPr>
        <w:rPr>
          <w:sz w:val="22"/>
        </w:rPr>
      </w:pPr>
      <w:r w:rsidRPr="00074092">
        <w:rPr>
          <w:noProof/>
          <w:lang w:eastAsia="fr-FR"/>
        </w:rPr>
        <w:lastRenderedPageBreak/>
        <w:drawing>
          <wp:inline distT="0" distB="0" distL="0" distR="0">
            <wp:extent cx="5949315" cy="337248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 xml:space="preserve">Fig. 11 Index de la Liste rouge de la survie des espèces d’oiseaux migrateurs et inscrits à la liste de la CMS en Asie, chaque espèce étant pondérée par la proportion de sa distribution mondiale dans la région. L’effet d’ombre représente les intervalles de confiance. Un index égal à 1 équivaut signifie que toutes les espèces sont classées dans la catégorie « Préoccupation mineure » ; un index égal à 0 équivaut à ce que toutes les espèces soient classées comme des « Espèces disparues ». </w:t>
      </w:r>
    </w:p>
    <w:p w:rsidR="00555A63" w:rsidRPr="00295685" w:rsidRDefault="00555A63">
      <w:pPr>
        <w:rPr>
          <w:sz w:val="22"/>
        </w:rPr>
      </w:pPr>
    </w:p>
    <w:p w:rsidR="00555A63" w:rsidRPr="00295685" w:rsidRDefault="00555A63"/>
    <w:p w:rsidR="00555A63" w:rsidRPr="00295685" w:rsidRDefault="00555A63"/>
    <w:p w:rsidR="00555A63" w:rsidRPr="00295685" w:rsidRDefault="00555A63"/>
    <w:p w:rsidR="00555A63" w:rsidRPr="00295685" w:rsidRDefault="00D70DC9">
      <w:r w:rsidRPr="00074092">
        <w:rPr>
          <w:noProof/>
          <w:lang w:eastAsia="fr-FR"/>
        </w:rPr>
        <w:drawing>
          <wp:inline distT="0" distB="0" distL="0" distR="0">
            <wp:extent cx="5949315" cy="337248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 xml:space="preserve">Fig. 12 Index de la Liste rouge de la survie des espèces d’oiseaux migrateurs et inscrits à la liste de la CMS en Europe, chaque espèce étant pondérée par la proportion de sa distribution mondiale dans la région. L’effet d’ombre représente les intervalles de confiance. Un index égal à 1 équivaut signifie que toutes les espèces sont classées dans la catégorie « Préoccupation </w:t>
      </w:r>
      <w:r w:rsidRPr="00295685">
        <w:rPr>
          <w:sz w:val="22"/>
        </w:rPr>
        <w:lastRenderedPageBreak/>
        <w:t xml:space="preserve">mineure » ; un index égal à 0 équivaut à ce que toutes les espèces soient classées comme des « Espèces disparues ». </w:t>
      </w:r>
    </w:p>
    <w:p w:rsidR="00555A63" w:rsidRPr="00295685" w:rsidRDefault="00555A63">
      <w:pPr>
        <w:rPr>
          <w:sz w:val="22"/>
        </w:rPr>
      </w:pPr>
    </w:p>
    <w:p w:rsidR="00555A63" w:rsidRPr="00295685" w:rsidRDefault="00555A63"/>
    <w:p w:rsidR="00555A63" w:rsidRPr="00295685" w:rsidRDefault="00D70DC9">
      <w:r w:rsidRPr="00074092">
        <w:rPr>
          <w:noProof/>
          <w:lang w:eastAsia="fr-FR"/>
        </w:rPr>
        <w:drawing>
          <wp:inline distT="0" distB="0" distL="0" distR="0">
            <wp:extent cx="5949315" cy="337248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 xml:space="preserve">Fig. 13. Index de la Liste rouge de la survie des espèces d’oiseaux migrateurs et inscrits à la liste de la CMS en Amérique du Nord, chaque espèce étant pondérée par la proportion de sa distribution mondiale dans la région. L’effet d’ombre représente les intervalles de confiance. Un index égal à 1 équivaut signifie que toutes les espèces sont classées dans la catégorie « Préoccupation mineure » ; un index égal à 0 équivaut à ce que toutes les espèces soient classées comme des « Espèces disparues ». </w:t>
      </w:r>
    </w:p>
    <w:p w:rsidR="00555A63" w:rsidRPr="00295685" w:rsidRDefault="00555A63">
      <w:pPr>
        <w:rPr>
          <w:sz w:val="22"/>
        </w:rPr>
      </w:pPr>
    </w:p>
    <w:p w:rsidR="00555A63" w:rsidRPr="00295685" w:rsidRDefault="00555A63">
      <w:pPr>
        <w:rPr>
          <w:sz w:val="22"/>
        </w:rPr>
      </w:pPr>
    </w:p>
    <w:p w:rsidR="00555A63" w:rsidRPr="00295685" w:rsidRDefault="00555A63"/>
    <w:p w:rsidR="00555A63" w:rsidRPr="00295685" w:rsidRDefault="00555A63"/>
    <w:p w:rsidR="00555A63" w:rsidRPr="00295685" w:rsidRDefault="00555A63"/>
    <w:p w:rsidR="00555A63" w:rsidRPr="00295685" w:rsidRDefault="00555A63"/>
    <w:p w:rsidR="00555A63" w:rsidRPr="00295685" w:rsidRDefault="00555A63"/>
    <w:p w:rsidR="00555A63" w:rsidRPr="00295685" w:rsidRDefault="00555A63"/>
    <w:p w:rsidR="00555A63" w:rsidRPr="00295685" w:rsidRDefault="00555A63"/>
    <w:p w:rsidR="00555A63" w:rsidRPr="00295685" w:rsidRDefault="00555A63"/>
    <w:p w:rsidR="00555A63" w:rsidRPr="00295685" w:rsidRDefault="00D70DC9">
      <w:pPr>
        <w:jc w:val="both"/>
      </w:pPr>
      <w:r w:rsidRPr="00074092">
        <w:rPr>
          <w:noProof/>
          <w:lang w:eastAsia="fr-FR"/>
        </w:rPr>
        <w:lastRenderedPageBreak/>
        <w:drawing>
          <wp:inline distT="0" distB="0" distL="0" distR="0">
            <wp:extent cx="5949315" cy="337248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 xml:space="preserve">Fig. 14. Index de la Liste rouge de la survie des espèces d’oiseaux migrateurs et inscrits à la liste de la CMS en Océanie, chaque espèce étant pondérée par la proportion de sa distribution mondiale dans la région. L’effet d’ombre représente les intervalles de confiance. Un index égal à 1 équivaut signifie que toutes les espèces sont classées dans la catégorie « Préoccupation mineure » ; un index égal à 0 équivaut à ce que toutes les espèces soient classées comme des « Espèces disparues ». </w:t>
      </w:r>
    </w:p>
    <w:p w:rsidR="00555A63" w:rsidRPr="00295685" w:rsidRDefault="00555A63"/>
    <w:p w:rsidR="00555A63" w:rsidRPr="00295685" w:rsidRDefault="00555A63"/>
    <w:p w:rsidR="00555A63" w:rsidRDefault="00555A63">
      <w:pPr>
        <w:rPr>
          <w:noProof/>
        </w:rPr>
      </w:pPr>
    </w:p>
    <w:p w:rsidR="004C06F0" w:rsidRPr="00295685" w:rsidRDefault="00D70DC9">
      <w:r w:rsidRPr="00074092">
        <w:rPr>
          <w:noProof/>
          <w:lang w:eastAsia="fr-FR"/>
        </w:rPr>
        <w:drawing>
          <wp:inline distT="0" distB="0" distL="0" distR="0">
            <wp:extent cx="5949315" cy="3372485"/>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 xml:space="preserve">Fig. 15. Index de la Liste rouge de la survie des espèces d’oiseaux migrateurs et inscrits à la liste de la CMS en Amérique du Sud, en Amérique Centrale et dans les Caraïbes, chaque espèce étant pondérée par la proportion de sa distribution mondiale dans la région. L’effet d’ombre représente les intervalles de confiance. Un index égal à 1 équivaut signifie que toutes les espèces sont classées dans la catégorie « Préoccupation mineure » ; un index égal à 0 équivaut à ce que </w:t>
      </w:r>
      <w:r w:rsidRPr="00295685">
        <w:rPr>
          <w:sz w:val="22"/>
        </w:rPr>
        <w:lastRenderedPageBreak/>
        <w:t xml:space="preserve">toutes les espèces soient classées comme des « Espèces disparues ». </w:t>
      </w:r>
    </w:p>
    <w:p w:rsidR="00555A63" w:rsidRPr="00295685" w:rsidRDefault="00555A63"/>
    <w:p w:rsidR="004C06F0" w:rsidRPr="00295685" w:rsidRDefault="00D70DC9">
      <w:r w:rsidRPr="00074092">
        <w:rPr>
          <w:noProof/>
          <w:lang w:eastAsia="fr-FR"/>
        </w:rPr>
        <w:drawing>
          <wp:inline distT="0" distB="0" distL="0" distR="0">
            <wp:extent cx="5949315" cy="337248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 xml:space="preserve">Fig. 16. Index de la Liste rouge de la survie des espèces d’oiseaux migrateurs et inscrits à la liste de la CMS dans le monde entier, chaque espèce étant pondérée par la proportion de sa distribution mondiale dans la région. L’effet d’ombre représente les intervalles de confiance. Un index égal à 1 équivaut signifie que toutes les espèces sont classées dans la catégorie « Préoccupation mineure » ; un index égal à 0 équivaut à ce que toutes les espèces soient classées comme des « Espèces disparues ». </w:t>
      </w:r>
    </w:p>
    <w:p w:rsidR="00555A63" w:rsidRPr="00295685" w:rsidRDefault="00555A63"/>
    <w:p w:rsidR="00555A63" w:rsidRPr="00295685" w:rsidRDefault="00555A63"/>
    <w:p w:rsidR="00555A63" w:rsidRPr="00295685" w:rsidRDefault="006808D4">
      <w:pPr>
        <w:jc w:val="both"/>
        <w:rPr>
          <w:sz w:val="22"/>
        </w:rPr>
      </w:pPr>
      <w:r w:rsidRPr="00295685">
        <w:rPr>
          <w:sz w:val="22"/>
        </w:rPr>
        <w:t>Une ventilation de l’ILR globale montrant les tendances induites par l’utilisation (fig. 17) et les pêcheries (séparément) a été réalisée. Les deux tendances reposaient sur les données pour toutes les espèces d’oiseaux et de mammifères migrateurs/inscrits dans la liste de la CMS. Mais les tendances induites par l’utilisation étaient basées uniquement sur des variations du risque d’extinction (catégorie de la Liste rouge) générées par l’un des facteurs suivants : chasse et piégeage des animaux terrestres (que l’espèce soit la cible ou non), cueillette de plantes terrestres, exploitation forestière et collecte du bois, pêche et exploitation des ressources aquatiques (que l’espèce soit la cible ou non) [c.-à-d. toutes les menaces relevant de « l’utilisation des ressources biologiques » dans le Système de classification des menaces de l’UICN].</w:t>
      </w:r>
    </w:p>
    <w:p w:rsidR="00555A63" w:rsidRPr="00295685" w:rsidRDefault="00555A63">
      <w:pPr>
        <w:jc w:val="both"/>
        <w:rPr>
          <w:sz w:val="22"/>
        </w:rPr>
      </w:pPr>
    </w:p>
    <w:p w:rsidR="00555A63" w:rsidRPr="00295685" w:rsidRDefault="006808D4">
      <w:pPr>
        <w:jc w:val="both"/>
        <w:rPr>
          <w:sz w:val="22"/>
        </w:rPr>
      </w:pPr>
      <w:r w:rsidRPr="00295685">
        <w:rPr>
          <w:sz w:val="22"/>
        </w:rPr>
        <w:t>Les tendances induites par les pêcheries reposaient uniquement sur les variations du risque d’extinction (catégorie de la Liste rouge) générées par la pêche et l’exploitation des ressources aquatiques (que l’espèce soit la cible ou non). Dans les deux cas, les facteurs classés comme primaires (causant plus de 50 % du changement de statut) ou secondaires très importants [causant moins de 50 % du changement de statut] ont été inclus ; toutes les autres variations du risque d’extinction (catégorie de la Liste rouge) sont exclues.</w:t>
      </w:r>
      <w:r w:rsidRPr="00295685">
        <w:rPr>
          <w:b/>
          <w:sz w:val="22"/>
        </w:rPr>
        <w:t xml:space="preserve"> </w:t>
      </w:r>
      <w:r w:rsidRPr="00295685">
        <w:rPr>
          <w:sz w:val="22"/>
        </w:rPr>
        <w:t>La ventilation de l’ILR pour les pêcheries était basée sur un nombre trop limité d’espèces pour être fiable, et elle n’est donc pas présentée dans le présent rapport. Les Index de la Liste rouge agrégés (indiqués en rouge) ont été calculés comme étant la moyenne arithmétique des indices pour les oiseaux et les mammifères. L’effet d’ombre grise représente les intervalles de confiance (voir les Méthodes).</w:t>
      </w:r>
    </w:p>
    <w:p w:rsidR="00555A63" w:rsidRPr="00295685" w:rsidRDefault="00555A63"/>
    <w:p w:rsidR="00555A63" w:rsidRPr="00295685" w:rsidRDefault="00555A63"/>
    <w:p w:rsidR="00555A63" w:rsidRPr="00295685" w:rsidRDefault="00555A63"/>
    <w:p w:rsidR="00D565C0" w:rsidRPr="00295685" w:rsidRDefault="00D70DC9">
      <w:r w:rsidRPr="00074092">
        <w:rPr>
          <w:noProof/>
          <w:lang w:eastAsia="fr-FR"/>
        </w:rPr>
        <w:lastRenderedPageBreak/>
        <w:drawing>
          <wp:inline distT="0" distB="0" distL="0" distR="0">
            <wp:extent cx="5949315" cy="3372485"/>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Fig. 17. Index de la Liste rouge de la survie des espèces d'oiseaux et de mammifères inscrits dans la liste de la CMS, qui montre les tendances induites par l'utilisation, y compris la chasse/le piégeage, les pêcheries, l'exploitation forestière et la collecte du bois. L’effet d’ombre représente les intervalles de confiance. Un index égal à 1 équivaut à classer toutes les espèces dans la catégorie « Préoccupation mineure » ; un index égal à 0 équivaut à ce que toutes les espèces soient classées comme des « Espèces disparues ».</w:t>
      </w:r>
    </w:p>
    <w:p w:rsidR="00555A63" w:rsidRPr="00295685" w:rsidRDefault="00555A63"/>
    <w:p w:rsidR="00555A63" w:rsidRPr="00295685" w:rsidRDefault="00555A63"/>
    <w:p w:rsidR="00555A63" w:rsidRPr="00295685" w:rsidRDefault="00555A63"/>
    <w:p w:rsidR="00D565C0" w:rsidRDefault="00D565C0">
      <w:pPr>
        <w:rPr>
          <w:noProof/>
        </w:rPr>
      </w:pPr>
    </w:p>
    <w:p w:rsidR="00D565C0" w:rsidRPr="00295685" w:rsidRDefault="00D70DC9">
      <w:r w:rsidRPr="00074092">
        <w:rPr>
          <w:noProof/>
          <w:lang w:eastAsia="fr-FR"/>
        </w:rPr>
        <w:drawing>
          <wp:inline distT="0" distB="0" distL="0" distR="0">
            <wp:extent cx="5949315" cy="3372485"/>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jc w:val="both"/>
        <w:rPr>
          <w:sz w:val="22"/>
        </w:rPr>
      </w:pPr>
      <w:r w:rsidRPr="00295685">
        <w:rPr>
          <w:sz w:val="22"/>
        </w:rPr>
        <w:t xml:space="preserve">Fig. 18. Index de la Liste rouge de la survie des espèces d'oiseaux dans le monde entier, qui montre les tendances induites par l'utilisation, y compris la chasse/le piégeage, les pêcheries, l'exploitation forestière et la collecte du bois. L’effet d’ombre représente les intervalles de confiance. Un index égal à 1 équivaut à classer toutes les espèces dans la catégorie </w:t>
      </w:r>
      <w:r w:rsidRPr="00295685">
        <w:rPr>
          <w:sz w:val="22"/>
        </w:rPr>
        <w:lastRenderedPageBreak/>
        <w:t>« Préoccupation mineure » ; un index égal à 0 équivaut à ce que toutes les espèces soient classées comme des « Espèces disparues ».</w:t>
      </w:r>
    </w:p>
    <w:p w:rsidR="00555A63" w:rsidRPr="00295685" w:rsidRDefault="00555A63">
      <w:pPr>
        <w:jc w:val="both"/>
        <w:rPr>
          <w:sz w:val="22"/>
        </w:rPr>
      </w:pPr>
    </w:p>
    <w:p w:rsidR="00555A63" w:rsidRPr="00735F53" w:rsidRDefault="006808D4" w:rsidP="00735F53">
      <w:pPr>
        <w:jc w:val="both"/>
      </w:pPr>
      <w:r w:rsidRPr="00295685">
        <w:rPr>
          <w:sz w:val="22"/>
        </w:rPr>
        <w:t xml:space="preserve">Il convient également de noter qu’il existe des différences frappantes entre les ensembles d’espèces inscrites dans la liste de la CMS et les ensembles d’espèces classées comme des « Espèces complètement migratrices » dans la Liste rouge de l’UICN.  Par exemple, de nombreux mammifères inscrits dans la liste de la CMS sont exclus des indicateurs « migrateurs » ci-dessus car ils sont classés comme des animaux nomades (p. ex. </w:t>
      </w:r>
      <w:r w:rsidRPr="00295685">
        <w:rPr>
          <w:i/>
          <w:iCs/>
          <w:sz w:val="22"/>
        </w:rPr>
        <w:t xml:space="preserve">Addax </w:t>
      </w:r>
      <w:proofErr w:type="spellStart"/>
      <w:r w:rsidRPr="00295685">
        <w:rPr>
          <w:i/>
          <w:iCs/>
          <w:sz w:val="22"/>
        </w:rPr>
        <w:t>nasomaculatus</w:t>
      </w:r>
      <w:proofErr w:type="spellEnd"/>
      <w:r w:rsidRPr="00295685">
        <w:rPr>
          <w:i/>
          <w:iCs/>
          <w:sz w:val="22"/>
        </w:rPr>
        <w:t xml:space="preserve">, </w:t>
      </w:r>
      <w:proofErr w:type="spellStart"/>
      <w:r w:rsidRPr="00295685">
        <w:rPr>
          <w:i/>
          <w:iCs/>
          <w:sz w:val="22"/>
        </w:rPr>
        <w:t>Ursus</w:t>
      </w:r>
      <w:proofErr w:type="spellEnd"/>
      <w:r w:rsidRPr="00295685">
        <w:rPr>
          <w:i/>
          <w:iCs/>
          <w:sz w:val="22"/>
        </w:rPr>
        <w:t xml:space="preserve"> </w:t>
      </w:r>
      <w:proofErr w:type="spellStart"/>
      <w:r w:rsidRPr="00295685">
        <w:rPr>
          <w:i/>
          <w:iCs/>
          <w:sz w:val="22"/>
        </w:rPr>
        <w:t>maritimus</w:t>
      </w:r>
      <w:proofErr w:type="spellEnd"/>
      <w:r w:rsidRPr="00295685">
        <w:rPr>
          <w:sz w:val="22"/>
        </w:rPr>
        <w:t xml:space="preserve">, etc.) et non comme des animaux migrateurs (p. ex. </w:t>
      </w:r>
      <w:proofErr w:type="spellStart"/>
      <w:r w:rsidRPr="00295685">
        <w:rPr>
          <w:i/>
          <w:iCs/>
          <w:sz w:val="22"/>
        </w:rPr>
        <w:t>Vicugna</w:t>
      </w:r>
      <w:proofErr w:type="spellEnd"/>
      <w:r w:rsidRPr="00295685">
        <w:rPr>
          <w:i/>
          <w:iCs/>
          <w:sz w:val="22"/>
        </w:rPr>
        <w:t xml:space="preserve"> </w:t>
      </w:r>
      <w:proofErr w:type="spellStart"/>
      <w:r w:rsidRPr="00295685">
        <w:rPr>
          <w:i/>
          <w:iCs/>
          <w:sz w:val="22"/>
        </w:rPr>
        <w:t>vicugna</w:t>
      </w:r>
      <w:proofErr w:type="spellEnd"/>
      <w:r w:rsidRPr="00295685">
        <w:rPr>
          <w:i/>
          <w:iCs/>
          <w:sz w:val="22"/>
        </w:rPr>
        <w:t xml:space="preserve">, </w:t>
      </w:r>
      <w:proofErr w:type="spellStart"/>
      <w:r w:rsidRPr="00295685">
        <w:rPr>
          <w:i/>
          <w:iCs/>
          <w:sz w:val="22"/>
        </w:rPr>
        <w:t>Lontra</w:t>
      </w:r>
      <w:proofErr w:type="spellEnd"/>
      <w:r w:rsidRPr="00295685">
        <w:rPr>
          <w:i/>
          <w:iCs/>
          <w:sz w:val="22"/>
        </w:rPr>
        <w:t xml:space="preserve"> </w:t>
      </w:r>
      <w:proofErr w:type="spellStart"/>
      <w:r w:rsidRPr="00295685">
        <w:rPr>
          <w:i/>
          <w:iCs/>
          <w:sz w:val="22"/>
        </w:rPr>
        <w:t>provocax</w:t>
      </w:r>
      <w:proofErr w:type="spellEnd"/>
      <w:r w:rsidRPr="00295685">
        <w:rPr>
          <w:sz w:val="22"/>
        </w:rPr>
        <w:t>), ou parce que leur statut de migration n’est pas codé dans la Liste</w:t>
      </w:r>
      <w:r w:rsidRPr="00295685">
        <w:t xml:space="preserve"> rouge (p. ex. </w:t>
      </w:r>
      <w:proofErr w:type="spellStart"/>
      <w:r w:rsidRPr="00295685">
        <w:rPr>
          <w:i/>
          <w:iCs/>
        </w:rPr>
        <w:t>Balaenoptera</w:t>
      </w:r>
      <w:proofErr w:type="spellEnd"/>
      <w:r w:rsidRPr="00295685">
        <w:rPr>
          <w:i/>
          <w:iCs/>
        </w:rPr>
        <w:t xml:space="preserve"> </w:t>
      </w:r>
      <w:proofErr w:type="spellStart"/>
      <w:r w:rsidRPr="00295685">
        <w:rPr>
          <w:i/>
          <w:iCs/>
        </w:rPr>
        <w:t>musculus</w:t>
      </w:r>
      <w:proofErr w:type="spellEnd"/>
      <w:r w:rsidRPr="00295685">
        <w:t>).</w:t>
      </w:r>
    </w:p>
    <w:p w:rsidR="00555A63" w:rsidRPr="00295685" w:rsidRDefault="00D70DC9">
      <w:pPr>
        <w:rPr>
          <w:b/>
        </w:rPr>
      </w:pPr>
      <w:r w:rsidRPr="00074092">
        <w:rPr>
          <w:noProof/>
          <w:lang w:eastAsia="fr-FR"/>
        </w:rPr>
        <w:drawing>
          <wp:inline distT="0" distB="0" distL="0" distR="0">
            <wp:extent cx="5949315" cy="3372485"/>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Pr="00295685" w:rsidRDefault="006808D4">
      <w:pPr>
        <w:rPr>
          <w:sz w:val="22"/>
        </w:rPr>
      </w:pPr>
      <w:r w:rsidRPr="00295685">
        <w:rPr>
          <w:sz w:val="22"/>
        </w:rPr>
        <w:t>Fig. 19. Nombre d’espèces pour chaque graphique représentant l’ILR.</w:t>
      </w:r>
    </w:p>
    <w:p w:rsidR="00555A63" w:rsidRPr="00295685" w:rsidRDefault="00555A63">
      <w:pPr>
        <w:rPr>
          <w:b/>
          <w:iCs/>
        </w:rPr>
      </w:pPr>
    </w:p>
    <w:p w:rsidR="00555A63" w:rsidRPr="00295685" w:rsidRDefault="006808D4">
      <w:pPr>
        <w:rPr>
          <w:b/>
          <w:iCs/>
          <w:sz w:val="22"/>
        </w:rPr>
      </w:pPr>
      <w:r w:rsidRPr="00295685">
        <w:rPr>
          <w:b/>
          <w:iCs/>
          <w:sz w:val="22"/>
        </w:rPr>
        <w:t>Description des résultats</w:t>
      </w:r>
    </w:p>
    <w:p w:rsidR="00555A63" w:rsidRPr="00295685" w:rsidRDefault="00555A63">
      <w:pPr>
        <w:rPr>
          <w:b/>
          <w:iCs/>
          <w:sz w:val="22"/>
        </w:rPr>
      </w:pPr>
    </w:p>
    <w:p w:rsidR="00555A63" w:rsidRPr="00295685" w:rsidRDefault="006808D4">
      <w:pPr>
        <w:jc w:val="both"/>
        <w:rPr>
          <w:sz w:val="22"/>
        </w:rPr>
      </w:pPr>
      <w:r w:rsidRPr="00295685">
        <w:rPr>
          <w:sz w:val="22"/>
        </w:rPr>
        <w:t xml:space="preserve">Les Index de la Liste rouge (RLI) montrent les tendances de probabilité de survie des ensembles d’espèces. Les points suivants résument les résultats pour les ventilations pour lesquelles il existe suffisamment de données pour calculer des ILR significatives (p. ex. trop peu de données sont disponibles pour calculer des ILR significatifs pour des mammifères migrateurs ou inscrits dans la liste de la CMS par région, ou un ILR global pour les mammifères migrateurs). </w:t>
      </w:r>
    </w:p>
    <w:p w:rsidR="00555A63" w:rsidRPr="00295685" w:rsidRDefault="00555A63">
      <w:pPr>
        <w:rPr>
          <w:sz w:val="22"/>
        </w:rPr>
      </w:pPr>
    </w:p>
    <w:p w:rsidR="00555A63" w:rsidRPr="00295685" w:rsidRDefault="006808D4">
      <w:pPr>
        <w:rPr>
          <w:sz w:val="22"/>
        </w:rPr>
      </w:pPr>
      <w:r w:rsidRPr="00295685">
        <w:rPr>
          <w:sz w:val="22"/>
        </w:rPr>
        <w:t>Pour les espèces inscrites dans la liste de la CMS :</w:t>
      </w:r>
    </w:p>
    <w:p w:rsidR="00555A63" w:rsidRPr="00295685" w:rsidRDefault="006808D4">
      <w:pPr>
        <w:numPr>
          <w:ilvl w:val="0"/>
          <w:numId w:val="39"/>
        </w:numPr>
        <w:jc w:val="both"/>
        <w:rPr>
          <w:sz w:val="22"/>
        </w:rPr>
      </w:pPr>
      <w:r w:rsidRPr="00295685">
        <w:rPr>
          <w:sz w:val="22"/>
        </w:rPr>
        <w:t>Les tendances de l’ILR pour les oiseaux, les mammifères et le total des deux groupes montrent des déclins, ce qui indique que ces espèces sont en voie d’extinction de plus en plus rapidement. Les oiseaux inscrits dans la liste de la CMS sont généralement plus menacés d’extinction que les mammifères inscrits dans cette même liste (c.-à-d. que les ILR ont de valeurs inférieures), et leurs populations diminuent plus rapidement (c.-à-d. que la pente de l’ILR est plus accentuée).</w:t>
      </w:r>
    </w:p>
    <w:p w:rsidR="00555A63" w:rsidRPr="00295685" w:rsidRDefault="00555A63">
      <w:pPr>
        <w:ind w:left="720"/>
        <w:jc w:val="both"/>
        <w:rPr>
          <w:sz w:val="22"/>
        </w:rPr>
      </w:pPr>
    </w:p>
    <w:p w:rsidR="00555A63" w:rsidRPr="00295685" w:rsidRDefault="006808D4">
      <w:pPr>
        <w:numPr>
          <w:ilvl w:val="0"/>
          <w:numId w:val="39"/>
        </w:numPr>
        <w:jc w:val="both"/>
        <w:rPr>
          <w:sz w:val="22"/>
        </w:rPr>
      </w:pPr>
      <w:r w:rsidRPr="00295685">
        <w:rPr>
          <w:sz w:val="22"/>
        </w:rPr>
        <w:t>Les ILR pour les oiseaux inscrits dans la liste de la CMS montrent des tendances négat</w:t>
      </w:r>
      <w:r w:rsidR="003B6862">
        <w:rPr>
          <w:sz w:val="22"/>
        </w:rPr>
        <w:t>ives dans chaque région (Fig. 20</w:t>
      </w:r>
      <w:r w:rsidRPr="00295685">
        <w:rPr>
          <w:sz w:val="22"/>
        </w:rPr>
        <w:t>). Les oiseaux inscrits dans la liste de la CMS sont globalement les plus menacés d’extinction en Océanie et en Asie (c.-à-d. que les ILR ont les valeurs les plus faibles) et les moins menacés d’extinction en Europe et en Amérique du Nord. Les déclins suivent les même tendances (plus accentués en Océanie et en Asie, mais aussi en Afrique) et ils sont plus lents en Europe et en Amérique du Nord.</w:t>
      </w:r>
    </w:p>
    <w:p w:rsidR="00555A63" w:rsidRPr="00295685" w:rsidRDefault="00555A63">
      <w:pPr>
        <w:pStyle w:val="ListParagraph"/>
        <w:rPr>
          <w:sz w:val="22"/>
        </w:rPr>
      </w:pPr>
    </w:p>
    <w:p w:rsidR="00555A63" w:rsidRPr="00295685" w:rsidRDefault="006808D4">
      <w:pPr>
        <w:numPr>
          <w:ilvl w:val="0"/>
          <w:numId w:val="39"/>
        </w:numPr>
        <w:jc w:val="both"/>
        <w:rPr>
          <w:sz w:val="22"/>
        </w:rPr>
      </w:pPr>
      <w:r w:rsidRPr="00295685">
        <w:rPr>
          <w:sz w:val="22"/>
        </w:rPr>
        <w:t>Une version de l’ILR pour les espèces inscrites dans la liste de la CMS présentant des tendances générées uniquement par l’utilisation ou leur gestion (et en excluant les tendances induites par les autres facteurs tels que l’agriculture et les espèces exotiques envahissantes) montre un déclin. Cela montre que, dans l’ensemble, l’utilisation d’espèces inscrites dans la liste de la CMS (p. ex. par la chasse à des fins alimentaires et sportives, et la capture d’animaux sauvages pour les domestiquer) reste non durable, avec le nombre d’espèces passant dans les catégories de menaces les plus élevées en raison de l’intensification des menaces résultant d’une utilisation, qui excède largement le nombre des espèces classées dans les catégories de menaces inférieures en raison du contrôle ou de la gestion réussie de leur utilisation.</w:t>
      </w:r>
    </w:p>
    <w:p w:rsidR="00735F53" w:rsidRDefault="00735F53">
      <w:pPr>
        <w:rPr>
          <w:sz w:val="22"/>
        </w:rPr>
      </w:pPr>
    </w:p>
    <w:p w:rsidR="00555A63" w:rsidRPr="00295685" w:rsidRDefault="006808D4">
      <w:pPr>
        <w:rPr>
          <w:sz w:val="22"/>
        </w:rPr>
      </w:pPr>
      <w:r w:rsidRPr="00295685">
        <w:rPr>
          <w:sz w:val="22"/>
        </w:rPr>
        <w:t>Pour les espèces migratrices (oiseaux uniquement) :</w:t>
      </w:r>
    </w:p>
    <w:p w:rsidR="00555A63" w:rsidRPr="00295685" w:rsidRDefault="006808D4">
      <w:pPr>
        <w:numPr>
          <w:ilvl w:val="0"/>
          <w:numId w:val="40"/>
        </w:numPr>
        <w:rPr>
          <w:sz w:val="22"/>
        </w:rPr>
      </w:pPr>
      <w:r w:rsidRPr="00295685">
        <w:rPr>
          <w:sz w:val="22"/>
        </w:rPr>
        <w:t>L’ILR pour les oiseaux migrateurs est en déclin, ce qui indique que ces espèces sont en voie d’extinction de plus en plus rapidement.</w:t>
      </w:r>
    </w:p>
    <w:p w:rsidR="00555A63" w:rsidRPr="00295685" w:rsidRDefault="00555A63">
      <w:pPr>
        <w:ind w:left="720"/>
        <w:rPr>
          <w:sz w:val="22"/>
        </w:rPr>
      </w:pPr>
    </w:p>
    <w:p w:rsidR="00555A63" w:rsidRPr="00295685" w:rsidRDefault="006808D4">
      <w:pPr>
        <w:numPr>
          <w:ilvl w:val="0"/>
          <w:numId w:val="40"/>
        </w:numPr>
        <w:jc w:val="both"/>
        <w:rPr>
          <w:sz w:val="22"/>
        </w:rPr>
      </w:pPr>
      <w:r w:rsidRPr="00295685">
        <w:rPr>
          <w:sz w:val="22"/>
        </w:rPr>
        <w:t>Les ILR pour les oiseaux migrateurs montrent des tendances négatives dans presque toutes les régions ; les tendances sont légèrement positives en Amérique du Nord. Les oiseaux migrateurs sont généralement les plus menacés en Océanie (c.-à-d. que les ILR ont les valeurs les plus faibles) et les moins menacés en Amérique du Nord, en Amérique du Sud, en Amérique Centrale et dans les Caraïbes. Les déclins ont été les plus rapides en Europe.</w:t>
      </w:r>
    </w:p>
    <w:p w:rsidR="00555A63" w:rsidRPr="00295685" w:rsidRDefault="00555A63">
      <w:pPr>
        <w:ind w:left="720"/>
        <w:jc w:val="both"/>
        <w:rPr>
          <w:sz w:val="22"/>
        </w:rPr>
      </w:pPr>
    </w:p>
    <w:p w:rsidR="00555A63" w:rsidRPr="00295685" w:rsidRDefault="006808D4">
      <w:pPr>
        <w:numPr>
          <w:ilvl w:val="0"/>
          <w:numId w:val="40"/>
        </w:numPr>
        <w:jc w:val="both"/>
        <w:rPr>
          <w:sz w:val="22"/>
        </w:rPr>
      </w:pPr>
      <w:r w:rsidRPr="00295685">
        <w:rPr>
          <w:sz w:val="22"/>
        </w:rPr>
        <w:t>Une version de l’ILR pour les oiseaux migrateurs présentant des tendances générées uniquement par l’utilisation ou leur gestion (et en excluant les tendances induites par les autres facteurs tels que l’agriculture et les espèces exotiques envahissantes) montre un déclin. Cela montre que, dans l’ensemble, l’utilisation des espèces migratrices (p. ex. par la chasse à des fins alimentaires et sportives, et la capture d’animaux sauvages pour les domestiquer) reste non durable, avec le nombre d’espèces passant dans les catégories de menaces les plus élevées en raison de l’intensification des menaces résultant d’une utilisation, qui excède largement le nombre des espèces classées dans les catégories de menaces inférieures en raison du contrôle ou de la gestion réussie de leur utilisation.</w:t>
      </w:r>
    </w:p>
    <w:p w:rsidR="00555A63" w:rsidRPr="00295685" w:rsidRDefault="00D70DC9">
      <w:pPr>
        <w:ind w:left="360"/>
      </w:pPr>
      <w:r w:rsidRPr="00424C74">
        <w:rPr>
          <w:noProof/>
          <w:lang w:eastAsia="fr-FR"/>
        </w:rPr>
        <w:drawing>
          <wp:inline distT="0" distB="0" distL="0" distR="0">
            <wp:extent cx="5949315" cy="3372485"/>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315" cy="3372485"/>
                    </a:xfrm>
                    <a:prstGeom prst="rect">
                      <a:avLst/>
                    </a:prstGeom>
                    <a:noFill/>
                    <a:ln>
                      <a:noFill/>
                    </a:ln>
                  </pic:spPr>
                </pic:pic>
              </a:graphicData>
            </a:graphic>
          </wp:inline>
        </w:drawing>
      </w:r>
    </w:p>
    <w:p w:rsidR="00555A63" w:rsidRDefault="006808D4">
      <w:pPr>
        <w:ind w:left="360"/>
        <w:rPr>
          <w:sz w:val="22"/>
        </w:rPr>
      </w:pPr>
      <w:r w:rsidRPr="00295685">
        <w:rPr>
          <w:sz w:val="22"/>
        </w:rPr>
        <w:t>Fig. 20. Index de la Liste rouge de la sur</w:t>
      </w:r>
      <w:r w:rsidR="003A57CB">
        <w:rPr>
          <w:sz w:val="22"/>
        </w:rPr>
        <w:t xml:space="preserve">vie des espèces d’oiseaux </w:t>
      </w:r>
      <w:r w:rsidRPr="00295685">
        <w:rPr>
          <w:sz w:val="22"/>
        </w:rPr>
        <w:t>inscrits dans la liste de la CMS par région. UE : Europe, AF : Afrique, AN : Amérique du Nord, OC : Océanie, AS : Amérique du sud, AC : Amérique centrale, CAR : Caraïbes et AS : Asie</w:t>
      </w:r>
    </w:p>
    <w:sectPr w:rsidR="00555A63">
      <w:headerReference w:type="even" r:id="rId30"/>
      <w:headerReference w:type="default" r:id="rId31"/>
      <w:footerReference w:type="even" r:id="rId32"/>
      <w:footerReference w:type="default" r:id="rId33"/>
      <w:pgSz w:w="11900" w:h="16820"/>
      <w:pgMar w:top="1085" w:right="1268" w:bottom="1276" w:left="1276" w:header="720" w:footer="720" w:gutter="0"/>
      <w:paperSrc w:first="262" w:other="26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7711" w:rsidRPr="00295685" w:rsidRDefault="00E17711">
      <w:pPr>
        <w:widowControl/>
      </w:pPr>
      <w:r w:rsidRPr="00295685">
        <w:separator/>
      </w:r>
    </w:p>
    <w:p w:rsidR="00E17711" w:rsidRPr="00295685" w:rsidRDefault="00E17711">
      <w:pPr>
        <w:widowControl/>
      </w:pPr>
    </w:p>
  </w:endnote>
  <w:endnote w:type="continuationSeparator" w:id="0">
    <w:p w:rsidR="00E17711" w:rsidRPr="00295685" w:rsidRDefault="00E17711">
      <w:pPr>
        <w:widowControl/>
      </w:pPr>
      <w:r w:rsidRPr="00295685">
        <w:continuationSeparator/>
      </w:r>
    </w:p>
    <w:p w:rsidR="00E17711" w:rsidRPr="00295685" w:rsidRDefault="00E17711">
      <w:pPr>
        <w:widowContro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New York">
    <w:panose1 w:val="02040503060506020304"/>
    <w:charset w:val="00"/>
    <w:family w:val="roman"/>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mericanTypewriter 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A63" w:rsidRPr="00295685" w:rsidRDefault="006808D4">
    <w:pPr>
      <w:pStyle w:val="Footer"/>
      <w:jc w:val="center"/>
      <w:rPr>
        <w:sz w:val="18"/>
      </w:rPr>
    </w:pPr>
    <w:r w:rsidRPr="00295685">
      <w:rPr>
        <w:sz w:val="18"/>
      </w:rPr>
      <w:fldChar w:fldCharType="begin"/>
    </w:r>
    <w:r w:rsidRPr="00295685">
      <w:rPr>
        <w:sz w:val="18"/>
        <w:szCs w:val="18"/>
      </w:rPr>
      <w:instrText xml:space="preserve"> PAGE   \* MERGEFORMAT </w:instrText>
    </w:r>
    <w:r w:rsidRPr="00295685">
      <w:rPr>
        <w:sz w:val="18"/>
        <w:szCs w:val="18"/>
      </w:rPr>
      <w:fldChar w:fldCharType="separate"/>
    </w:r>
    <w:r w:rsidR="00D70DC9">
      <w:rPr>
        <w:noProof/>
        <w:sz w:val="18"/>
        <w:szCs w:val="18"/>
      </w:rPr>
      <w:t>2</w:t>
    </w:r>
    <w:r w:rsidRPr="00295685">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A63" w:rsidRPr="00295685" w:rsidRDefault="006808D4">
    <w:pPr>
      <w:pStyle w:val="Footer"/>
      <w:jc w:val="center"/>
      <w:rPr>
        <w:sz w:val="18"/>
      </w:rPr>
    </w:pPr>
    <w:r w:rsidRPr="00295685">
      <w:rPr>
        <w:sz w:val="18"/>
      </w:rPr>
      <w:fldChar w:fldCharType="begin"/>
    </w:r>
    <w:r w:rsidRPr="00295685">
      <w:rPr>
        <w:sz w:val="18"/>
        <w:szCs w:val="18"/>
      </w:rPr>
      <w:instrText xml:space="preserve"> PAGE   \* MERGEFORMAT </w:instrText>
    </w:r>
    <w:r w:rsidRPr="00295685">
      <w:rPr>
        <w:sz w:val="18"/>
        <w:szCs w:val="18"/>
      </w:rPr>
      <w:fldChar w:fldCharType="separate"/>
    </w:r>
    <w:r w:rsidR="00D70DC9">
      <w:rPr>
        <w:noProof/>
        <w:sz w:val="18"/>
        <w:szCs w:val="18"/>
      </w:rPr>
      <w:t>1</w:t>
    </w:r>
    <w:r w:rsidRPr="00295685">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7711" w:rsidRPr="00295685" w:rsidRDefault="00E17711">
      <w:pPr>
        <w:widowControl/>
      </w:pPr>
      <w:r w:rsidRPr="00295685">
        <w:separator/>
      </w:r>
    </w:p>
    <w:p w:rsidR="00E17711" w:rsidRPr="00295685" w:rsidRDefault="00E17711">
      <w:pPr>
        <w:widowControl/>
      </w:pPr>
    </w:p>
  </w:footnote>
  <w:footnote w:type="continuationSeparator" w:id="0">
    <w:p w:rsidR="00E17711" w:rsidRPr="00295685" w:rsidRDefault="00E17711">
      <w:pPr>
        <w:widowControl/>
      </w:pPr>
      <w:r w:rsidRPr="00295685">
        <w:continuationSeparator/>
      </w:r>
    </w:p>
    <w:p w:rsidR="00E17711" w:rsidRPr="00295685" w:rsidRDefault="00E17711">
      <w:pPr>
        <w:widowControl/>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F53" w:rsidRPr="00735F53" w:rsidRDefault="00735F53" w:rsidP="00735F53">
    <w:pPr>
      <w:widowControl/>
      <w:pBdr>
        <w:bottom w:val="single" w:sz="4" w:space="1" w:color="auto"/>
      </w:pBdr>
      <w:suppressAutoHyphens w:val="0"/>
      <w:rPr>
        <w:i/>
        <w:sz w:val="18"/>
        <w:lang w:val="en-GB"/>
      </w:rPr>
    </w:pPr>
    <w:r w:rsidRPr="00735F53">
      <w:rPr>
        <w:i/>
        <w:sz w:val="18"/>
        <w:lang w:val="en-GB"/>
      </w:rPr>
      <w:t>UNEP/CMS/</w:t>
    </w:r>
    <w:r>
      <w:rPr>
        <w:i/>
        <w:sz w:val="18"/>
        <w:lang w:val="en-GB"/>
      </w:rPr>
      <w:t>COP13/Doc.24/Annexe 4</w:t>
    </w:r>
  </w:p>
  <w:p w:rsidR="00555A63" w:rsidRPr="00735F53" w:rsidRDefault="00555A63">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A63" w:rsidRPr="00735F53" w:rsidRDefault="006808D4">
    <w:pPr>
      <w:widowControl/>
      <w:pBdr>
        <w:bottom w:val="single" w:sz="4" w:space="1" w:color="auto"/>
      </w:pBdr>
      <w:suppressAutoHyphens w:val="0"/>
      <w:jc w:val="right"/>
      <w:rPr>
        <w:i/>
        <w:sz w:val="18"/>
        <w:lang w:val="en-GB"/>
      </w:rPr>
    </w:pPr>
    <w:r w:rsidRPr="00735F53">
      <w:rPr>
        <w:i/>
        <w:sz w:val="18"/>
        <w:lang w:val="en-GB"/>
      </w:rPr>
      <w:t>UNEP/CMS/</w:t>
    </w:r>
    <w:r w:rsidR="00735F53">
      <w:rPr>
        <w:i/>
        <w:sz w:val="18"/>
        <w:lang w:val="en-GB"/>
      </w:rPr>
      <w:t>COP13/Doc.24/Annexe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CF8CB19A"/>
    <w:lvl w:ilvl="0">
      <w:start w:val="1"/>
      <w:numFmt w:val="bullet"/>
      <w:pStyle w:val="ListBullet3"/>
      <w:lvlText w:val=""/>
      <w:lvlJc w:val="left"/>
      <w:pPr>
        <w:widowControl w:val="0"/>
        <w:tabs>
          <w:tab w:val="num" w:pos="926"/>
        </w:tabs>
        <w:suppressAutoHyphens/>
        <w:autoSpaceDE w:val="0"/>
        <w:autoSpaceDN w:val="0"/>
        <w:adjustRightInd w:val="0"/>
        <w:ind w:left="926" w:hanging="360"/>
      </w:pPr>
      <w:rPr>
        <w:rFonts w:ascii="Symbol" w:hAnsi="Symbol" w:cs="Symbol"/>
        <w:sz w:val="24"/>
        <w:szCs w:val="24"/>
      </w:rPr>
    </w:lvl>
  </w:abstractNum>
  <w:abstractNum w:abstractNumId="1" w15:restartNumberingAfterBreak="0">
    <w:nsid w:val="00000009"/>
    <w:multiLevelType w:val="multilevel"/>
    <w:tmpl w:val="457040D8"/>
    <w:lvl w:ilvl="0">
      <w:start w:val="1"/>
      <w:numFmt w:val="decimal"/>
      <w:pStyle w:val="Level2"/>
      <w:lvlText w:val="%1"/>
      <w:lvlJc w:val="left"/>
      <w:pPr>
        <w:widowControl w:val="0"/>
        <w:tabs>
          <w:tab w:val="num" w:pos="720"/>
        </w:tabs>
        <w:suppressAutoHyphens/>
        <w:autoSpaceDE w:val="0"/>
        <w:autoSpaceDN w:val="0"/>
        <w:adjustRightInd w:val="0"/>
        <w:ind w:left="720" w:hanging="720"/>
      </w:pPr>
      <w:rPr>
        <w:rFonts w:ascii="Arial" w:hAnsi="Arial" w:cs="Arial"/>
        <w:b w:val="0"/>
        <w:bCs w:val="0"/>
        <w:sz w:val="24"/>
        <w:szCs w:val="24"/>
        <w:u w:val="none"/>
      </w:rPr>
    </w:lvl>
    <w:lvl w:ilvl="1">
      <w:start w:val="1"/>
      <w:numFmt w:val="decimal"/>
      <w:lvlText w:val="%1.%2"/>
      <w:lvlJc w:val="left"/>
      <w:pPr>
        <w:widowControl w:val="0"/>
        <w:tabs>
          <w:tab w:val="num" w:pos="1578"/>
        </w:tabs>
        <w:suppressAutoHyphens/>
        <w:autoSpaceDE w:val="0"/>
        <w:autoSpaceDN w:val="0"/>
        <w:adjustRightInd w:val="0"/>
        <w:ind w:left="1578" w:hanging="720"/>
      </w:pPr>
      <w:rPr>
        <w:rFonts w:ascii="Arial" w:hAnsi="Arial" w:cs="Arial"/>
        <w:b w:val="0"/>
        <w:bCs w:val="0"/>
        <w:sz w:val="24"/>
        <w:szCs w:val="24"/>
      </w:rPr>
    </w:lvl>
    <w:lvl w:ilvl="2">
      <w:start w:val="1"/>
      <w:numFmt w:val="decimal"/>
      <w:lvlText w:val="%1.%2.%3"/>
      <w:lvlJc w:val="left"/>
      <w:pPr>
        <w:widowControl w:val="0"/>
        <w:tabs>
          <w:tab w:val="num" w:pos="2796"/>
        </w:tabs>
        <w:suppressAutoHyphens/>
        <w:autoSpaceDE w:val="0"/>
        <w:autoSpaceDN w:val="0"/>
        <w:adjustRightInd w:val="0"/>
        <w:ind w:left="2796" w:hanging="1080"/>
      </w:pPr>
      <w:rPr>
        <w:rFonts w:ascii="Arial" w:hAnsi="Arial" w:cs="Arial"/>
        <w:b w:val="0"/>
        <w:bCs w:val="0"/>
        <w:sz w:val="24"/>
        <w:szCs w:val="24"/>
      </w:rPr>
    </w:lvl>
    <w:lvl w:ilvl="3">
      <w:start w:val="1"/>
      <w:numFmt w:val="lowerRoman"/>
      <w:lvlText w:val="(%4)"/>
      <w:lvlJc w:val="left"/>
      <w:pPr>
        <w:widowControl w:val="0"/>
        <w:tabs>
          <w:tab w:val="num" w:pos="3216"/>
        </w:tabs>
        <w:suppressAutoHyphens/>
        <w:autoSpaceDE w:val="0"/>
        <w:autoSpaceDN w:val="0"/>
        <w:adjustRightInd w:val="0"/>
        <w:ind w:left="3216" w:hanging="720"/>
      </w:pPr>
      <w:rPr>
        <w:rFonts w:ascii="Arial" w:hAnsi="Arial" w:cs="Arial"/>
        <w:b w:val="0"/>
        <w:bCs w:val="0"/>
        <w:i w:val="0"/>
        <w:iCs w:val="0"/>
        <w:caps/>
        <w:smallCaps w:val="0"/>
        <w: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OutlineIndPara"/>
      <w:lvlText w:val="(%5)"/>
      <w:lvlJc w:val="left"/>
      <w:pPr>
        <w:widowControl w:val="0"/>
        <w:tabs>
          <w:tab w:val="num" w:pos="3726"/>
        </w:tabs>
        <w:suppressAutoHyphens/>
        <w:autoSpaceDE w:val="0"/>
        <w:autoSpaceDN w:val="0"/>
        <w:adjustRightInd w:val="0"/>
        <w:ind w:left="3726" w:hanging="720"/>
      </w:pPr>
      <w:rPr>
        <w:rFonts w:ascii="Arial" w:hAnsi="Arial" w:cs="Arial"/>
        <w:b w:val="0"/>
        <w:bCs w:val="0"/>
        <w:i w:val="0"/>
        <w:iCs w:val="0"/>
        <w:sz w:val="24"/>
        <w:szCs w:val="24"/>
        <w:u w:val="none"/>
      </w:rPr>
    </w:lvl>
    <w:lvl w:ilvl="5">
      <w:start w:val="1"/>
      <w:numFmt w:val="decimal"/>
      <w:pStyle w:val="PCSchedule1"/>
      <w:lvlText w:val="%6)"/>
      <w:lvlJc w:val="left"/>
      <w:pPr>
        <w:widowControl w:val="0"/>
        <w:tabs>
          <w:tab w:val="num" w:pos="4446"/>
        </w:tabs>
        <w:suppressAutoHyphens/>
        <w:autoSpaceDE w:val="0"/>
        <w:autoSpaceDN w:val="0"/>
        <w:adjustRightInd w:val="0"/>
        <w:ind w:left="4446" w:hanging="720"/>
      </w:pPr>
      <w:rPr>
        <w:rFonts w:ascii="Arial" w:hAnsi="Arial" w:cs="Arial"/>
        <w:b w:val="0"/>
        <w:bCs w:val="0"/>
        <w:i w:val="0"/>
        <w:iCs w:val="0"/>
        <w:sz w:val="24"/>
        <w:szCs w:val="24"/>
        <w:u w:val="none"/>
      </w:rPr>
    </w:lvl>
    <w:lvl w:ilvl="6">
      <w:start w:val="1"/>
      <w:numFmt w:val="lowerLetter"/>
      <w:pStyle w:val="PCSchedule2"/>
      <w:lvlText w:val="%7)"/>
      <w:lvlJc w:val="left"/>
      <w:pPr>
        <w:widowControl w:val="0"/>
        <w:tabs>
          <w:tab w:val="num" w:pos="5166"/>
        </w:tabs>
        <w:suppressAutoHyphens/>
        <w:autoSpaceDE w:val="0"/>
        <w:autoSpaceDN w:val="0"/>
        <w:adjustRightInd w:val="0"/>
        <w:ind w:left="5166" w:hanging="720"/>
      </w:pPr>
      <w:rPr>
        <w:rFonts w:ascii="Arial" w:hAnsi="Arial" w:cs="Arial"/>
        <w:b w:val="0"/>
        <w:bCs w:val="0"/>
        <w:i w:val="0"/>
        <w:iCs w:val="0"/>
        <w:sz w:val="24"/>
        <w:szCs w:val="24"/>
        <w:u w:val="none"/>
      </w:rPr>
    </w:lvl>
    <w:lvl w:ilvl="7">
      <w:start w:val="1"/>
      <w:numFmt w:val="lowerRoman"/>
      <w:pStyle w:val="PCSchedule3"/>
      <w:lvlText w:val="%8)"/>
      <w:lvlJc w:val="left"/>
      <w:pPr>
        <w:widowControl w:val="0"/>
        <w:tabs>
          <w:tab w:val="num" w:pos="5886"/>
        </w:tabs>
        <w:suppressAutoHyphens/>
        <w:autoSpaceDE w:val="0"/>
        <w:autoSpaceDN w:val="0"/>
        <w:adjustRightInd w:val="0"/>
        <w:ind w:left="5886" w:hanging="720"/>
      </w:pPr>
      <w:rPr>
        <w:rFonts w:ascii="Arial" w:hAnsi="Arial" w:cs="Arial"/>
        <w:b w:val="0"/>
        <w:bCs w:val="0"/>
        <w:i w:val="0"/>
        <w:iCs w:val="0"/>
        <w:sz w:val="24"/>
        <w:szCs w:val="24"/>
        <w:u w:val="none"/>
      </w:rPr>
    </w:lvl>
    <w:lvl w:ilvl="8">
      <w:start w:val="1"/>
      <w:numFmt w:val="upperLetter"/>
      <w:pStyle w:val="PCSchedule4"/>
      <w:lvlText w:val="%9)"/>
      <w:lvlJc w:val="left"/>
      <w:pPr>
        <w:widowControl w:val="0"/>
        <w:tabs>
          <w:tab w:val="num" w:pos="6606"/>
        </w:tabs>
        <w:suppressAutoHyphens/>
        <w:autoSpaceDE w:val="0"/>
        <w:autoSpaceDN w:val="0"/>
        <w:adjustRightInd w:val="0"/>
        <w:ind w:left="6606" w:hanging="720"/>
      </w:pPr>
      <w:rPr>
        <w:rFonts w:ascii="Arial" w:hAnsi="Arial" w:cs="Arial"/>
        <w:b w:val="0"/>
        <w:bCs w:val="0"/>
        <w:i w:val="0"/>
        <w:iCs w:val="0"/>
        <w:sz w:val="24"/>
        <w:szCs w:val="24"/>
        <w:u w:val="none"/>
      </w:rPr>
    </w:lvl>
  </w:abstractNum>
  <w:abstractNum w:abstractNumId="2" w15:restartNumberingAfterBreak="0">
    <w:nsid w:val="0000000A"/>
    <w:multiLevelType w:val="multilevel"/>
    <w:tmpl w:val="D2C8E48C"/>
    <w:name w:val="WW8Num2"/>
    <w:lvl w:ilvl="0">
      <w:start w:val="1"/>
      <w:numFmt w:val="decimal"/>
      <w:pStyle w:val="Level1"/>
      <w:lvlText w:val="%1"/>
      <w:lvlJc w:val="left"/>
      <w:pPr>
        <w:widowControl w:val="0"/>
        <w:tabs>
          <w:tab w:val="num" w:pos="720"/>
        </w:tabs>
        <w:suppressAutoHyphens/>
        <w:autoSpaceDE w:val="0"/>
        <w:autoSpaceDN w:val="0"/>
        <w:adjustRightInd w:val="0"/>
        <w:ind w:left="720" w:hanging="720"/>
      </w:pPr>
      <w:rPr>
        <w:rFonts w:ascii="Arial" w:hAnsi="Arial" w:cs="Arial"/>
        <w:b/>
        <w:bCs/>
        <w:sz w:val="22"/>
        <w:szCs w:val="22"/>
        <w:u w:val="none"/>
      </w:rPr>
    </w:lvl>
    <w:lvl w:ilvl="1">
      <w:start w:val="1"/>
      <w:numFmt w:val="decimal"/>
      <w:lvlText w:val="%1.%2"/>
      <w:lvlJc w:val="left"/>
      <w:pPr>
        <w:widowControl w:val="0"/>
        <w:tabs>
          <w:tab w:val="num" w:pos="720"/>
        </w:tabs>
        <w:suppressAutoHyphens/>
        <w:autoSpaceDE w:val="0"/>
        <w:autoSpaceDN w:val="0"/>
        <w:adjustRightInd w:val="0"/>
        <w:ind w:left="720" w:hanging="720"/>
      </w:pPr>
      <w:rPr>
        <w:rFonts w:ascii="Times New Roman" w:hAnsi="Times New Roman" w:cs="Times New Roman"/>
        <w:b w:val="0"/>
        <w:bCs w:val="0"/>
        <w:i w:val="0"/>
        <w:iCs w:val="0"/>
        <w:sz w:val="24"/>
        <w:szCs w:val="24"/>
        <w:u w:val="none"/>
      </w:rPr>
    </w:lvl>
    <w:lvl w:ilvl="2">
      <w:start w:val="1"/>
      <w:numFmt w:val="decimal"/>
      <w:lvlText w:val="%1.%2.%3"/>
      <w:lvlJc w:val="left"/>
      <w:pPr>
        <w:widowControl w:val="0"/>
        <w:tabs>
          <w:tab w:val="num" w:pos="1800"/>
        </w:tabs>
        <w:suppressAutoHyphens/>
        <w:autoSpaceDE w:val="0"/>
        <w:autoSpaceDN w:val="0"/>
        <w:adjustRightInd w:val="0"/>
        <w:ind w:left="1800" w:hanging="1080"/>
      </w:pPr>
      <w:rPr>
        <w:rFonts w:ascii="Arial" w:hAnsi="Arial" w:cs="Arial"/>
        <w:sz w:val="22"/>
        <w:szCs w:val="22"/>
        <w:u w:val="none"/>
      </w:rPr>
    </w:lvl>
    <w:lvl w:ilvl="3">
      <w:start w:val="1"/>
      <w:numFmt w:val="lowerRoman"/>
      <w:lvlText w:val="(%4)"/>
      <w:lvlJc w:val="left"/>
      <w:pPr>
        <w:widowControl w:val="0"/>
        <w:tabs>
          <w:tab w:val="num" w:pos="2520"/>
        </w:tabs>
        <w:suppressAutoHyphens/>
        <w:autoSpaceDE w:val="0"/>
        <w:autoSpaceDN w:val="0"/>
        <w:adjustRightInd w:val="0"/>
        <w:ind w:left="2520" w:hanging="720"/>
      </w:pPr>
      <w:rPr>
        <w:rFonts w:ascii="Arial" w:hAnsi="Arial" w:cs="Arial"/>
        <w:sz w:val="22"/>
        <w:szCs w:val="22"/>
        <w:u w:val="none"/>
      </w:rPr>
    </w:lvl>
    <w:lvl w:ilvl="4">
      <w:start w:val="1"/>
      <w:numFmt w:val="upperLetter"/>
      <w:lvlText w:val="(%5)"/>
      <w:lvlJc w:val="left"/>
      <w:pPr>
        <w:widowControl w:val="0"/>
        <w:tabs>
          <w:tab w:val="num" w:pos="3240"/>
        </w:tabs>
        <w:suppressAutoHyphens/>
        <w:autoSpaceDE w:val="0"/>
        <w:autoSpaceDN w:val="0"/>
        <w:adjustRightInd w:val="0"/>
        <w:ind w:left="3240" w:hanging="720"/>
      </w:pPr>
      <w:rPr>
        <w:rFonts w:ascii="Times New Roman" w:hAnsi="Times New Roman" w:cs="Times New Roman"/>
        <w:sz w:val="24"/>
        <w:szCs w:val="24"/>
        <w:u w:val="none"/>
      </w:rPr>
    </w:lvl>
    <w:lvl w:ilvl="5">
      <w:start w:val="1"/>
      <w:numFmt w:val="decimal"/>
      <w:lvlText w:val="%6)"/>
      <w:lvlJc w:val="left"/>
      <w:pPr>
        <w:widowControl w:val="0"/>
        <w:tabs>
          <w:tab w:val="num" w:pos="3960"/>
        </w:tabs>
        <w:suppressAutoHyphens/>
        <w:autoSpaceDE w:val="0"/>
        <w:autoSpaceDN w:val="0"/>
        <w:adjustRightInd w:val="0"/>
        <w:ind w:left="3960" w:hanging="720"/>
      </w:pPr>
      <w:rPr>
        <w:rFonts w:ascii="Arial" w:hAnsi="Arial" w:cs="Arial"/>
        <w:b w:val="0"/>
        <w:bCs w:val="0"/>
        <w:i w:val="0"/>
        <w:iCs w:val="0"/>
        <w:sz w:val="22"/>
        <w:szCs w:val="22"/>
        <w:u w:val="none"/>
      </w:rPr>
    </w:lvl>
    <w:lvl w:ilvl="6">
      <w:start w:val="1"/>
      <w:numFmt w:val="lowerLetter"/>
      <w:lvlText w:val="%7)"/>
      <w:lvlJc w:val="left"/>
      <w:pPr>
        <w:widowControl w:val="0"/>
        <w:tabs>
          <w:tab w:val="num" w:pos="4680"/>
        </w:tabs>
        <w:suppressAutoHyphens/>
        <w:autoSpaceDE w:val="0"/>
        <w:autoSpaceDN w:val="0"/>
        <w:adjustRightInd w:val="0"/>
        <w:ind w:left="4680" w:hanging="720"/>
      </w:pPr>
      <w:rPr>
        <w:rFonts w:ascii="Arial" w:hAnsi="Arial" w:cs="Arial"/>
        <w:b w:val="0"/>
        <w:bCs w:val="0"/>
        <w:i w:val="0"/>
        <w:iCs w:val="0"/>
        <w:sz w:val="22"/>
        <w:szCs w:val="22"/>
        <w:u w:val="none"/>
      </w:rPr>
    </w:lvl>
    <w:lvl w:ilvl="7">
      <w:start w:val="1"/>
      <w:numFmt w:val="lowerRoman"/>
      <w:lvlText w:val="%8)"/>
      <w:lvlJc w:val="left"/>
      <w:pPr>
        <w:widowControl w:val="0"/>
        <w:tabs>
          <w:tab w:val="num" w:pos="5400"/>
        </w:tabs>
        <w:suppressAutoHyphens/>
        <w:autoSpaceDE w:val="0"/>
        <w:autoSpaceDN w:val="0"/>
        <w:adjustRightInd w:val="0"/>
        <w:ind w:left="5400" w:hanging="720"/>
      </w:pPr>
      <w:rPr>
        <w:rFonts w:ascii="Arial" w:hAnsi="Arial" w:cs="Arial"/>
        <w:b w:val="0"/>
        <w:bCs w:val="0"/>
        <w:i w:val="0"/>
        <w:iCs w:val="0"/>
        <w:sz w:val="22"/>
        <w:szCs w:val="22"/>
        <w:u w:val="none"/>
      </w:rPr>
    </w:lvl>
    <w:lvl w:ilvl="8">
      <w:start w:val="1"/>
      <w:numFmt w:val="upperLetter"/>
      <w:lvlText w:val="%9)"/>
      <w:lvlJc w:val="left"/>
      <w:pPr>
        <w:widowControl w:val="0"/>
        <w:tabs>
          <w:tab w:val="num" w:pos="6120"/>
        </w:tabs>
        <w:suppressAutoHyphens/>
        <w:autoSpaceDE w:val="0"/>
        <w:autoSpaceDN w:val="0"/>
        <w:adjustRightInd w:val="0"/>
        <w:ind w:left="6120" w:hanging="720"/>
      </w:pPr>
      <w:rPr>
        <w:rFonts w:ascii="Arial" w:hAnsi="Arial" w:cs="Arial"/>
        <w:b w:val="0"/>
        <w:bCs w:val="0"/>
        <w:i w:val="0"/>
        <w:iCs w:val="0"/>
        <w:sz w:val="22"/>
        <w:szCs w:val="22"/>
        <w:u w:val="none"/>
      </w:rPr>
    </w:lvl>
  </w:abstractNum>
  <w:abstractNum w:abstractNumId="3" w15:restartNumberingAfterBreak="0">
    <w:nsid w:val="0000000B"/>
    <w:multiLevelType w:val="multilevel"/>
    <w:tmpl w:val="00000003"/>
    <w:name w:val="WW8Num3"/>
    <w:lvl w:ilvl="0">
      <w:start w:val="4"/>
      <w:numFmt w:val="decimal"/>
      <w:lvlText w:val="%1"/>
      <w:lvlJc w:val="left"/>
      <w:pPr>
        <w:widowControl w:val="0"/>
        <w:tabs>
          <w:tab w:val="num" w:pos="360"/>
        </w:tabs>
        <w:suppressAutoHyphens/>
        <w:autoSpaceDE w:val="0"/>
        <w:autoSpaceDN w:val="0"/>
        <w:adjustRightInd w:val="0"/>
        <w:ind w:left="1440" w:hanging="360"/>
      </w:pPr>
      <w:rPr>
        <w:rFonts w:ascii="Arial" w:hAnsi="Arial" w:cs="Arial"/>
        <w:sz w:val="24"/>
        <w:szCs w:val="24"/>
      </w:rPr>
    </w:lvl>
    <w:lvl w:ilvl="1">
      <w:start w:val="1"/>
      <w:numFmt w:val="decimal"/>
      <w:lvlText w:val="%1.%2"/>
      <w:lvlJc w:val="left"/>
      <w:pPr>
        <w:widowControl w:val="0"/>
        <w:tabs>
          <w:tab w:val="num" w:pos="360"/>
        </w:tabs>
        <w:suppressAutoHyphens/>
        <w:autoSpaceDE w:val="0"/>
        <w:autoSpaceDN w:val="0"/>
        <w:adjustRightInd w:val="0"/>
        <w:ind w:left="1440" w:hanging="360"/>
      </w:pPr>
      <w:rPr>
        <w:rFonts w:ascii="Arial" w:hAnsi="Arial" w:cs="Arial"/>
        <w:sz w:val="24"/>
        <w:szCs w:val="24"/>
      </w:rPr>
    </w:lvl>
    <w:lvl w:ilvl="2">
      <w:start w:val="1"/>
      <w:numFmt w:val="decimal"/>
      <w:lvlText w:val="%1.%2.%3"/>
      <w:lvlJc w:val="left"/>
      <w:pPr>
        <w:widowControl w:val="0"/>
        <w:tabs>
          <w:tab w:val="num" w:pos="720"/>
        </w:tabs>
        <w:suppressAutoHyphens/>
        <w:autoSpaceDE w:val="0"/>
        <w:autoSpaceDN w:val="0"/>
        <w:adjustRightInd w:val="0"/>
        <w:ind w:left="1800" w:hanging="720"/>
      </w:pPr>
      <w:rPr>
        <w:rFonts w:ascii="Arial" w:hAnsi="Arial" w:cs="Arial"/>
        <w:sz w:val="24"/>
        <w:szCs w:val="24"/>
      </w:rPr>
    </w:lvl>
    <w:lvl w:ilvl="3">
      <w:start w:val="1"/>
      <w:numFmt w:val="decimal"/>
      <w:lvlText w:val="%1.%2.%3.%4"/>
      <w:lvlJc w:val="left"/>
      <w:pPr>
        <w:widowControl w:val="0"/>
        <w:tabs>
          <w:tab w:val="num" w:pos="720"/>
        </w:tabs>
        <w:suppressAutoHyphens/>
        <w:autoSpaceDE w:val="0"/>
        <w:autoSpaceDN w:val="0"/>
        <w:adjustRightInd w:val="0"/>
        <w:ind w:left="1800" w:hanging="720"/>
      </w:pPr>
      <w:rPr>
        <w:rFonts w:ascii="Arial" w:hAnsi="Arial" w:cs="Arial"/>
        <w:sz w:val="24"/>
        <w:szCs w:val="24"/>
      </w:rPr>
    </w:lvl>
    <w:lvl w:ilvl="4">
      <w:start w:val="1"/>
      <w:numFmt w:val="decimal"/>
      <w:lvlText w:val="%1.%2.%3.%4.%5"/>
      <w:lvlJc w:val="left"/>
      <w:pPr>
        <w:widowControl w:val="0"/>
        <w:tabs>
          <w:tab w:val="num" w:pos="1080"/>
        </w:tabs>
        <w:suppressAutoHyphens/>
        <w:autoSpaceDE w:val="0"/>
        <w:autoSpaceDN w:val="0"/>
        <w:adjustRightInd w:val="0"/>
        <w:ind w:left="2160" w:hanging="1080"/>
      </w:pPr>
      <w:rPr>
        <w:rFonts w:ascii="Arial" w:hAnsi="Arial" w:cs="Arial"/>
        <w:sz w:val="24"/>
        <w:szCs w:val="24"/>
      </w:rPr>
    </w:lvl>
    <w:lvl w:ilvl="5">
      <w:start w:val="1"/>
      <w:numFmt w:val="decimal"/>
      <w:lvlText w:val="%1.%2.%3.%4.%5.%6"/>
      <w:lvlJc w:val="left"/>
      <w:pPr>
        <w:widowControl w:val="0"/>
        <w:tabs>
          <w:tab w:val="num" w:pos="1080"/>
        </w:tabs>
        <w:suppressAutoHyphens/>
        <w:autoSpaceDE w:val="0"/>
        <w:autoSpaceDN w:val="0"/>
        <w:adjustRightInd w:val="0"/>
        <w:ind w:left="2160" w:hanging="1080"/>
      </w:pPr>
      <w:rPr>
        <w:rFonts w:ascii="Arial" w:hAnsi="Arial" w:cs="Arial"/>
        <w:sz w:val="24"/>
        <w:szCs w:val="24"/>
      </w:rPr>
    </w:lvl>
    <w:lvl w:ilvl="6">
      <w:start w:val="1"/>
      <w:numFmt w:val="decimal"/>
      <w:lvlText w:val="%1.%2.%3.%4.%5.%6.%7"/>
      <w:lvlJc w:val="left"/>
      <w:pPr>
        <w:widowControl w:val="0"/>
        <w:tabs>
          <w:tab w:val="num" w:pos="1440"/>
        </w:tabs>
        <w:suppressAutoHyphens/>
        <w:autoSpaceDE w:val="0"/>
        <w:autoSpaceDN w:val="0"/>
        <w:adjustRightInd w:val="0"/>
        <w:ind w:left="2520" w:hanging="1440"/>
      </w:pPr>
      <w:rPr>
        <w:rFonts w:ascii="Arial" w:hAnsi="Arial" w:cs="Arial"/>
        <w:sz w:val="24"/>
        <w:szCs w:val="24"/>
      </w:rPr>
    </w:lvl>
    <w:lvl w:ilvl="7">
      <w:start w:val="1"/>
      <w:numFmt w:val="decimal"/>
      <w:lvlText w:val="%1.%2.%3.%4.%5.%6.%7.%8"/>
      <w:lvlJc w:val="left"/>
      <w:pPr>
        <w:widowControl w:val="0"/>
        <w:tabs>
          <w:tab w:val="num" w:pos="1440"/>
        </w:tabs>
        <w:suppressAutoHyphens/>
        <w:autoSpaceDE w:val="0"/>
        <w:autoSpaceDN w:val="0"/>
        <w:adjustRightInd w:val="0"/>
        <w:ind w:left="2520" w:hanging="1440"/>
      </w:pPr>
      <w:rPr>
        <w:rFonts w:ascii="Arial" w:hAnsi="Arial" w:cs="Arial"/>
        <w:sz w:val="24"/>
        <w:szCs w:val="24"/>
      </w:rPr>
    </w:lvl>
    <w:lvl w:ilvl="8">
      <w:start w:val="1"/>
      <w:numFmt w:val="decimal"/>
      <w:lvlText w:val="%1.%2.%3.%4.%5.%6.%7.%8.%9"/>
      <w:lvlJc w:val="left"/>
      <w:pPr>
        <w:widowControl w:val="0"/>
        <w:tabs>
          <w:tab w:val="num" w:pos="1800"/>
        </w:tabs>
        <w:suppressAutoHyphens/>
        <w:autoSpaceDE w:val="0"/>
        <w:autoSpaceDN w:val="0"/>
        <w:adjustRightInd w:val="0"/>
        <w:ind w:left="2880" w:hanging="1800"/>
      </w:pPr>
      <w:rPr>
        <w:rFonts w:ascii="Arial" w:hAnsi="Arial" w:cs="Arial"/>
        <w:sz w:val="24"/>
        <w:szCs w:val="24"/>
      </w:rPr>
    </w:lvl>
  </w:abstractNum>
  <w:abstractNum w:abstractNumId="4" w15:restartNumberingAfterBreak="0">
    <w:nsid w:val="0000000C"/>
    <w:multiLevelType w:val="multilevel"/>
    <w:tmpl w:val="00000004"/>
    <w:name w:val="WW8Num4"/>
    <w:lvl w:ilvl="0">
      <w:start w:val="1"/>
      <w:numFmt w:val="decimal"/>
      <w:lvlText w:val="%1"/>
      <w:lvlJc w:val="left"/>
      <w:pPr>
        <w:widowControl w:val="0"/>
        <w:tabs>
          <w:tab w:val="num" w:pos="720"/>
        </w:tabs>
        <w:suppressAutoHyphens/>
        <w:autoSpaceDE w:val="0"/>
        <w:autoSpaceDN w:val="0"/>
        <w:adjustRightInd w:val="0"/>
        <w:ind w:left="720" w:hanging="720"/>
      </w:pPr>
      <w:rPr>
        <w:rFonts w:ascii="Arial" w:hAnsi="Arial" w:cs="Arial"/>
        <w:b/>
        <w:bCs/>
        <w:caps w:val="0"/>
        <w:smallCaps w:val="0"/>
        <w:strike w:val="0"/>
        <w:d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widowControl w:val="0"/>
        <w:tabs>
          <w:tab w:val="num" w:pos="720"/>
        </w:tabs>
        <w:suppressAutoHyphens/>
        <w:autoSpaceDE w:val="0"/>
        <w:autoSpaceDN w:val="0"/>
        <w:adjustRightInd w:val="0"/>
        <w:ind w:left="720" w:hanging="720"/>
      </w:pPr>
      <w:rPr>
        <w:rFonts w:ascii="Times New Roman" w:hAnsi="Times New Roman" w:cs="Times New Roman"/>
        <w:b w:val="0"/>
        <w:bCs w:val="0"/>
        <w:i w:val="0"/>
        <w:iCs w:val="0"/>
        <w:caps w:val="0"/>
        <w:smallCaps w:val="0"/>
        <w:strike w:val="0"/>
        <w:dstrike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widowControl w:val="0"/>
        <w:tabs>
          <w:tab w:val="num" w:pos="1782"/>
        </w:tabs>
        <w:suppressAutoHyphens/>
        <w:autoSpaceDE w:val="0"/>
        <w:autoSpaceDN w:val="0"/>
        <w:adjustRightInd w:val="0"/>
        <w:ind w:left="1782" w:hanging="792"/>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widowControl w:val="0"/>
        <w:tabs>
          <w:tab w:val="num" w:pos="2534"/>
        </w:tabs>
        <w:suppressAutoHyphens/>
        <w:autoSpaceDE w:val="0"/>
        <w:autoSpaceDN w:val="0"/>
        <w:adjustRightInd w:val="0"/>
        <w:ind w:left="2534" w:hanging="1022"/>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widowControl w:val="0"/>
        <w:tabs>
          <w:tab w:val="num" w:pos="3787"/>
        </w:tabs>
        <w:suppressAutoHyphens/>
        <w:autoSpaceDE w:val="0"/>
        <w:autoSpaceDN w:val="0"/>
        <w:adjustRightInd w:val="0"/>
        <w:ind w:left="3787" w:hanging="1253"/>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widowControl w:val="0"/>
        <w:tabs>
          <w:tab w:val="num" w:pos="5198"/>
        </w:tabs>
        <w:suppressAutoHyphens/>
        <w:autoSpaceDE w:val="0"/>
        <w:autoSpaceDN w:val="0"/>
        <w:adjustRightInd w:val="0"/>
        <w:ind w:left="5198" w:hanging="1411"/>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widowControl w:val="0"/>
        <w:tabs>
          <w:tab w:val="num" w:pos="0"/>
        </w:tabs>
        <w:suppressAutoHyphens/>
        <w:autoSpaceDE w:val="0"/>
        <w:autoSpaceDN w:val="0"/>
        <w:adjustRightInd w:val="0"/>
      </w:pPr>
      <w:rPr>
        <w:rFonts w:ascii="Arial" w:hAnsi="Arial" w:cs="Arial"/>
        <w:b w:val="0"/>
        <w:bCs w:val="0"/>
        <w:i w:val="0"/>
        <w:iCs w:val="0"/>
        <w:caps w:val="0"/>
        <w:smallCaps w:val="0"/>
        <w:strike w:val="0"/>
        <w:dstrike w:val="0"/>
        <w:vanish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D"/>
    <w:multiLevelType w:val="multilevel"/>
    <w:tmpl w:val="00000005"/>
    <w:name w:val="WW8Num5"/>
    <w:lvl w:ilvl="0">
      <w:start w:val="3"/>
      <w:numFmt w:val="decimal"/>
      <w:lvlText w:val="%1."/>
      <w:lvlJc w:val="left"/>
      <w:pPr>
        <w:widowControl w:val="0"/>
        <w:tabs>
          <w:tab w:val="num" w:pos="1080"/>
        </w:tabs>
        <w:suppressAutoHyphens/>
        <w:autoSpaceDE w:val="0"/>
        <w:autoSpaceDN w:val="0"/>
        <w:adjustRightInd w:val="0"/>
        <w:ind w:left="1080" w:hanging="720"/>
      </w:pPr>
      <w:rPr>
        <w:rFonts w:ascii="Arial" w:hAnsi="Arial" w:cs="Arial"/>
        <w:sz w:val="24"/>
        <w:szCs w:val="24"/>
      </w:rPr>
    </w:lvl>
    <w:lvl w:ilvl="1">
      <w:start w:val="1"/>
      <w:numFmt w:val="decimal"/>
      <w:lvlText w:val="%1.%2"/>
      <w:lvlJc w:val="left"/>
      <w:pPr>
        <w:widowControl w:val="0"/>
        <w:tabs>
          <w:tab w:val="num" w:pos="720"/>
        </w:tabs>
        <w:suppressAutoHyphens/>
        <w:autoSpaceDE w:val="0"/>
        <w:autoSpaceDN w:val="0"/>
        <w:adjustRightInd w:val="0"/>
        <w:ind w:left="720" w:hanging="360"/>
      </w:pPr>
      <w:rPr>
        <w:rFonts w:ascii="Arial" w:hAnsi="Arial" w:cs="Arial"/>
        <w:sz w:val="24"/>
        <w:szCs w:val="24"/>
      </w:rPr>
    </w:lvl>
    <w:lvl w:ilvl="2">
      <w:start w:val="1"/>
      <w:numFmt w:val="decimal"/>
      <w:lvlText w:val="%1.%2.%3"/>
      <w:lvlJc w:val="left"/>
      <w:pPr>
        <w:widowControl w:val="0"/>
        <w:tabs>
          <w:tab w:val="num" w:pos="1080"/>
        </w:tabs>
        <w:suppressAutoHyphens/>
        <w:autoSpaceDE w:val="0"/>
        <w:autoSpaceDN w:val="0"/>
        <w:adjustRightInd w:val="0"/>
        <w:ind w:left="1080" w:hanging="720"/>
      </w:pPr>
      <w:rPr>
        <w:rFonts w:ascii="Arial" w:hAnsi="Arial" w:cs="Arial"/>
        <w:sz w:val="24"/>
        <w:szCs w:val="24"/>
      </w:rPr>
    </w:lvl>
    <w:lvl w:ilvl="3">
      <w:start w:val="1"/>
      <w:numFmt w:val="decimal"/>
      <w:lvlText w:val="%1.%2.%3.%4"/>
      <w:lvlJc w:val="left"/>
      <w:pPr>
        <w:widowControl w:val="0"/>
        <w:tabs>
          <w:tab w:val="num" w:pos="1080"/>
        </w:tabs>
        <w:suppressAutoHyphens/>
        <w:autoSpaceDE w:val="0"/>
        <w:autoSpaceDN w:val="0"/>
        <w:adjustRightInd w:val="0"/>
        <w:ind w:left="1080" w:hanging="720"/>
      </w:pPr>
      <w:rPr>
        <w:rFonts w:ascii="Arial" w:hAnsi="Arial" w:cs="Arial"/>
        <w:sz w:val="24"/>
        <w:szCs w:val="24"/>
      </w:rPr>
    </w:lvl>
    <w:lvl w:ilvl="4">
      <w:start w:val="1"/>
      <w:numFmt w:val="decimal"/>
      <w:lvlText w:val="%1.%2.%3.%4.%5"/>
      <w:lvlJc w:val="left"/>
      <w:pPr>
        <w:widowControl w:val="0"/>
        <w:tabs>
          <w:tab w:val="num" w:pos="1440"/>
        </w:tabs>
        <w:suppressAutoHyphens/>
        <w:autoSpaceDE w:val="0"/>
        <w:autoSpaceDN w:val="0"/>
        <w:adjustRightInd w:val="0"/>
        <w:ind w:left="1440" w:hanging="1080"/>
      </w:pPr>
      <w:rPr>
        <w:rFonts w:ascii="Arial" w:hAnsi="Arial" w:cs="Arial"/>
        <w:sz w:val="24"/>
        <w:szCs w:val="24"/>
      </w:rPr>
    </w:lvl>
    <w:lvl w:ilvl="5">
      <w:start w:val="1"/>
      <w:numFmt w:val="decimal"/>
      <w:lvlText w:val="%1.%2.%3.%4.%5.%6"/>
      <w:lvlJc w:val="left"/>
      <w:pPr>
        <w:widowControl w:val="0"/>
        <w:tabs>
          <w:tab w:val="num" w:pos="1440"/>
        </w:tabs>
        <w:suppressAutoHyphens/>
        <w:autoSpaceDE w:val="0"/>
        <w:autoSpaceDN w:val="0"/>
        <w:adjustRightInd w:val="0"/>
        <w:ind w:left="1440" w:hanging="1080"/>
      </w:pPr>
      <w:rPr>
        <w:rFonts w:ascii="Arial" w:hAnsi="Arial" w:cs="Arial"/>
        <w:sz w:val="24"/>
        <w:szCs w:val="24"/>
      </w:rPr>
    </w:lvl>
    <w:lvl w:ilvl="6">
      <w:start w:val="1"/>
      <w:numFmt w:val="decimal"/>
      <w:lvlText w:val="%1.%2.%3.%4.%5.%6.%7"/>
      <w:lvlJc w:val="left"/>
      <w:pPr>
        <w:widowControl w:val="0"/>
        <w:tabs>
          <w:tab w:val="num" w:pos="1800"/>
        </w:tabs>
        <w:suppressAutoHyphens/>
        <w:autoSpaceDE w:val="0"/>
        <w:autoSpaceDN w:val="0"/>
        <w:adjustRightInd w:val="0"/>
        <w:ind w:left="1800" w:hanging="1440"/>
      </w:pPr>
      <w:rPr>
        <w:rFonts w:ascii="Arial" w:hAnsi="Arial" w:cs="Arial"/>
        <w:sz w:val="24"/>
        <w:szCs w:val="24"/>
      </w:rPr>
    </w:lvl>
    <w:lvl w:ilvl="7">
      <w:start w:val="1"/>
      <w:numFmt w:val="decimal"/>
      <w:lvlText w:val="%1.%2.%3.%4.%5.%6.%7.%8"/>
      <w:lvlJc w:val="left"/>
      <w:pPr>
        <w:widowControl w:val="0"/>
        <w:tabs>
          <w:tab w:val="num" w:pos="1800"/>
        </w:tabs>
        <w:suppressAutoHyphens/>
        <w:autoSpaceDE w:val="0"/>
        <w:autoSpaceDN w:val="0"/>
        <w:adjustRightInd w:val="0"/>
        <w:ind w:left="1800" w:hanging="1440"/>
      </w:pPr>
      <w:rPr>
        <w:rFonts w:ascii="Arial" w:hAnsi="Arial" w:cs="Arial"/>
        <w:sz w:val="24"/>
        <w:szCs w:val="24"/>
      </w:rPr>
    </w:lvl>
    <w:lvl w:ilvl="8">
      <w:start w:val="1"/>
      <w:numFmt w:val="decimal"/>
      <w:lvlText w:val="%1.%2.%3.%4.%5.%6.%7.%8.%9"/>
      <w:lvlJc w:val="left"/>
      <w:pPr>
        <w:widowControl w:val="0"/>
        <w:tabs>
          <w:tab w:val="num" w:pos="2160"/>
        </w:tabs>
        <w:suppressAutoHyphens/>
        <w:autoSpaceDE w:val="0"/>
        <w:autoSpaceDN w:val="0"/>
        <w:adjustRightInd w:val="0"/>
        <w:ind w:left="2160" w:hanging="1800"/>
      </w:pPr>
      <w:rPr>
        <w:rFonts w:ascii="Arial" w:hAnsi="Arial" w:cs="Arial"/>
        <w:sz w:val="24"/>
        <w:szCs w:val="24"/>
      </w:rPr>
    </w:lvl>
  </w:abstractNum>
  <w:abstractNum w:abstractNumId="6" w15:restartNumberingAfterBreak="0">
    <w:nsid w:val="0000000E"/>
    <w:multiLevelType w:val="multilevel"/>
    <w:tmpl w:val="00000006"/>
    <w:name w:val="WW8Num6"/>
    <w:lvl w:ilvl="0">
      <w:start w:val="1"/>
      <w:numFmt w:val="lowerLetter"/>
      <w:lvlText w:val="(%1)"/>
      <w:lvlJc w:val="left"/>
      <w:pPr>
        <w:widowControl w:val="0"/>
        <w:tabs>
          <w:tab w:val="num" w:pos="1080"/>
        </w:tabs>
        <w:suppressAutoHyphens/>
        <w:autoSpaceDE w:val="0"/>
        <w:autoSpaceDN w:val="0"/>
        <w:adjustRightInd w:val="0"/>
        <w:ind w:left="1080" w:hanging="360"/>
      </w:pPr>
      <w:rPr>
        <w:rFonts w:ascii="Arial" w:hAnsi="Arial" w:cs="Arial"/>
        <w:sz w:val="24"/>
        <w:szCs w:val="24"/>
      </w:rPr>
    </w:lvl>
    <w:lvl w:ilvl="1">
      <w:start w:val="8"/>
      <w:numFmt w:val="decimal"/>
      <w:lvlText w:val="%2."/>
      <w:lvlJc w:val="left"/>
      <w:pPr>
        <w:widowControl w:val="0"/>
        <w:tabs>
          <w:tab w:val="num" w:pos="1800"/>
        </w:tabs>
        <w:suppressAutoHyphens/>
        <w:autoSpaceDE w:val="0"/>
        <w:autoSpaceDN w:val="0"/>
        <w:adjustRightInd w:val="0"/>
        <w:ind w:left="1800" w:hanging="360"/>
      </w:pPr>
      <w:rPr>
        <w:rFonts w:ascii="Arial" w:hAnsi="Arial" w:cs="Arial"/>
        <w:sz w:val="24"/>
        <w:szCs w:val="24"/>
      </w:rPr>
    </w:lvl>
    <w:lvl w:ilvl="2">
      <w:start w:val="1"/>
      <w:numFmt w:val="lowerRoman"/>
      <w:lvlText w:val="%3."/>
      <w:lvlJc w:val="right"/>
      <w:pPr>
        <w:widowControl w:val="0"/>
        <w:tabs>
          <w:tab w:val="num" w:pos="2520"/>
        </w:tabs>
        <w:suppressAutoHyphens/>
        <w:autoSpaceDE w:val="0"/>
        <w:autoSpaceDN w:val="0"/>
        <w:adjustRightInd w:val="0"/>
        <w:ind w:left="2520" w:hanging="180"/>
      </w:pPr>
      <w:rPr>
        <w:rFonts w:ascii="Arial" w:hAnsi="Arial" w:cs="Arial"/>
        <w:sz w:val="24"/>
        <w:szCs w:val="24"/>
      </w:rPr>
    </w:lvl>
    <w:lvl w:ilvl="3">
      <w:start w:val="1"/>
      <w:numFmt w:val="decimal"/>
      <w:lvlText w:val="%4."/>
      <w:lvlJc w:val="left"/>
      <w:pPr>
        <w:widowControl w:val="0"/>
        <w:tabs>
          <w:tab w:val="num" w:pos="3240"/>
        </w:tabs>
        <w:suppressAutoHyphens/>
        <w:autoSpaceDE w:val="0"/>
        <w:autoSpaceDN w:val="0"/>
        <w:adjustRightInd w:val="0"/>
        <w:ind w:left="3240" w:hanging="360"/>
      </w:pPr>
      <w:rPr>
        <w:rFonts w:ascii="Arial" w:hAnsi="Arial" w:cs="Arial"/>
        <w:sz w:val="24"/>
        <w:szCs w:val="24"/>
      </w:rPr>
    </w:lvl>
    <w:lvl w:ilvl="4">
      <w:start w:val="1"/>
      <w:numFmt w:val="lowerLetter"/>
      <w:lvlText w:val="%5."/>
      <w:lvlJc w:val="left"/>
      <w:pPr>
        <w:widowControl w:val="0"/>
        <w:tabs>
          <w:tab w:val="num" w:pos="3960"/>
        </w:tabs>
        <w:suppressAutoHyphens/>
        <w:autoSpaceDE w:val="0"/>
        <w:autoSpaceDN w:val="0"/>
        <w:adjustRightInd w:val="0"/>
        <w:ind w:left="3960" w:hanging="360"/>
      </w:pPr>
      <w:rPr>
        <w:rFonts w:ascii="Arial" w:hAnsi="Arial" w:cs="Arial"/>
        <w:sz w:val="24"/>
        <w:szCs w:val="24"/>
      </w:rPr>
    </w:lvl>
    <w:lvl w:ilvl="5">
      <w:start w:val="1"/>
      <w:numFmt w:val="lowerRoman"/>
      <w:lvlText w:val="%6."/>
      <w:lvlJc w:val="right"/>
      <w:pPr>
        <w:widowControl w:val="0"/>
        <w:tabs>
          <w:tab w:val="num" w:pos="4680"/>
        </w:tabs>
        <w:suppressAutoHyphens/>
        <w:autoSpaceDE w:val="0"/>
        <w:autoSpaceDN w:val="0"/>
        <w:adjustRightInd w:val="0"/>
        <w:ind w:left="4680" w:hanging="180"/>
      </w:pPr>
      <w:rPr>
        <w:rFonts w:ascii="Arial" w:hAnsi="Arial" w:cs="Arial"/>
        <w:sz w:val="24"/>
        <w:szCs w:val="24"/>
      </w:rPr>
    </w:lvl>
    <w:lvl w:ilvl="6">
      <w:start w:val="1"/>
      <w:numFmt w:val="decimal"/>
      <w:lvlText w:val="%7."/>
      <w:lvlJc w:val="left"/>
      <w:pPr>
        <w:widowControl w:val="0"/>
        <w:tabs>
          <w:tab w:val="num" w:pos="5400"/>
        </w:tabs>
        <w:suppressAutoHyphens/>
        <w:autoSpaceDE w:val="0"/>
        <w:autoSpaceDN w:val="0"/>
        <w:adjustRightInd w:val="0"/>
        <w:ind w:left="5400" w:hanging="360"/>
      </w:pPr>
      <w:rPr>
        <w:rFonts w:ascii="Arial" w:hAnsi="Arial" w:cs="Arial"/>
        <w:sz w:val="24"/>
        <w:szCs w:val="24"/>
      </w:rPr>
    </w:lvl>
    <w:lvl w:ilvl="7">
      <w:start w:val="1"/>
      <w:numFmt w:val="lowerLetter"/>
      <w:lvlText w:val="%8."/>
      <w:lvlJc w:val="left"/>
      <w:pPr>
        <w:widowControl w:val="0"/>
        <w:tabs>
          <w:tab w:val="num" w:pos="6120"/>
        </w:tabs>
        <w:suppressAutoHyphens/>
        <w:autoSpaceDE w:val="0"/>
        <w:autoSpaceDN w:val="0"/>
        <w:adjustRightInd w:val="0"/>
        <w:ind w:left="6120" w:hanging="360"/>
      </w:pPr>
      <w:rPr>
        <w:rFonts w:ascii="Arial" w:hAnsi="Arial" w:cs="Arial"/>
        <w:sz w:val="24"/>
        <w:szCs w:val="24"/>
      </w:rPr>
    </w:lvl>
    <w:lvl w:ilvl="8">
      <w:start w:val="1"/>
      <w:numFmt w:val="lowerRoman"/>
      <w:lvlText w:val="%9."/>
      <w:lvlJc w:val="right"/>
      <w:pPr>
        <w:widowControl w:val="0"/>
        <w:tabs>
          <w:tab w:val="num" w:pos="6840"/>
        </w:tabs>
        <w:suppressAutoHyphens/>
        <w:autoSpaceDE w:val="0"/>
        <w:autoSpaceDN w:val="0"/>
        <w:adjustRightInd w:val="0"/>
        <w:ind w:left="6840" w:hanging="180"/>
      </w:pPr>
      <w:rPr>
        <w:rFonts w:ascii="Arial" w:hAnsi="Arial" w:cs="Arial"/>
        <w:sz w:val="24"/>
        <w:szCs w:val="24"/>
      </w:rPr>
    </w:lvl>
  </w:abstractNum>
  <w:abstractNum w:abstractNumId="7" w15:restartNumberingAfterBreak="0">
    <w:nsid w:val="0000000F"/>
    <w:multiLevelType w:val="multilevel"/>
    <w:tmpl w:val="00000007"/>
    <w:name w:val="WW8Num7"/>
    <w:lvl w:ilvl="0">
      <w:start w:val="7"/>
      <w:numFmt w:val="decimal"/>
      <w:lvlText w:val="%1."/>
      <w:lvlJc w:val="left"/>
      <w:pPr>
        <w:widowControl w:val="0"/>
        <w:tabs>
          <w:tab w:val="num" w:pos="720"/>
        </w:tabs>
        <w:suppressAutoHyphens/>
        <w:autoSpaceDE w:val="0"/>
        <w:autoSpaceDN w:val="0"/>
        <w:adjustRightInd w:val="0"/>
        <w:ind w:left="720" w:hanging="360"/>
      </w:pPr>
      <w:rPr>
        <w:rFonts w:ascii="Arial" w:hAnsi="Arial" w:cs="Arial"/>
        <w:sz w:val="24"/>
        <w:szCs w:val="24"/>
      </w:rPr>
    </w:lvl>
    <w:lvl w:ilvl="1">
      <w:start w:val="1"/>
      <w:numFmt w:val="decimal"/>
      <w:lvlText w:val="%2."/>
      <w:lvlJc w:val="left"/>
      <w:pPr>
        <w:widowControl w:val="0"/>
        <w:tabs>
          <w:tab w:val="num" w:pos="1080"/>
        </w:tabs>
        <w:suppressAutoHyphens/>
        <w:autoSpaceDE w:val="0"/>
        <w:autoSpaceDN w:val="0"/>
        <w:adjustRightInd w:val="0"/>
        <w:ind w:left="1080" w:hanging="360"/>
      </w:pPr>
      <w:rPr>
        <w:rFonts w:ascii="Arial" w:hAnsi="Arial" w:cs="Arial"/>
        <w:sz w:val="24"/>
        <w:szCs w:val="24"/>
      </w:rPr>
    </w:lvl>
    <w:lvl w:ilvl="2">
      <w:start w:val="1"/>
      <w:numFmt w:val="decimal"/>
      <w:lvlText w:val="%3."/>
      <w:lvlJc w:val="left"/>
      <w:pPr>
        <w:widowControl w:val="0"/>
        <w:tabs>
          <w:tab w:val="num" w:pos="1440"/>
        </w:tabs>
        <w:suppressAutoHyphens/>
        <w:autoSpaceDE w:val="0"/>
        <w:autoSpaceDN w:val="0"/>
        <w:adjustRightInd w:val="0"/>
        <w:ind w:left="1440" w:hanging="360"/>
      </w:pPr>
      <w:rPr>
        <w:rFonts w:ascii="Arial" w:hAnsi="Arial" w:cs="Arial"/>
        <w:sz w:val="24"/>
        <w:szCs w:val="24"/>
      </w:rPr>
    </w:lvl>
    <w:lvl w:ilvl="3">
      <w:start w:val="1"/>
      <w:numFmt w:val="decimal"/>
      <w:lvlText w:val="%4."/>
      <w:lvlJc w:val="left"/>
      <w:pPr>
        <w:widowControl w:val="0"/>
        <w:tabs>
          <w:tab w:val="num" w:pos="1800"/>
        </w:tabs>
        <w:suppressAutoHyphens/>
        <w:autoSpaceDE w:val="0"/>
        <w:autoSpaceDN w:val="0"/>
        <w:adjustRightInd w:val="0"/>
        <w:ind w:left="1800" w:hanging="360"/>
      </w:pPr>
      <w:rPr>
        <w:rFonts w:ascii="Arial" w:hAnsi="Arial" w:cs="Arial"/>
        <w:sz w:val="24"/>
        <w:szCs w:val="24"/>
      </w:rPr>
    </w:lvl>
    <w:lvl w:ilvl="4">
      <w:start w:val="1"/>
      <w:numFmt w:val="decimal"/>
      <w:lvlText w:val="%5."/>
      <w:lvlJc w:val="left"/>
      <w:pPr>
        <w:widowControl w:val="0"/>
        <w:tabs>
          <w:tab w:val="num" w:pos="2160"/>
        </w:tabs>
        <w:suppressAutoHyphens/>
        <w:autoSpaceDE w:val="0"/>
        <w:autoSpaceDN w:val="0"/>
        <w:adjustRightInd w:val="0"/>
        <w:ind w:left="2160" w:hanging="360"/>
      </w:pPr>
      <w:rPr>
        <w:rFonts w:ascii="Arial" w:hAnsi="Arial" w:cs="Arial"/>
        <w:sz w:val="24"/>
        <w:szCs w:val="24"/>
      </w:rPr>
    </w:lvl>
    <w:lvl w:ilvl="5">
      <w:start w:val="1"/>
      <w:numFmt w:val="decimal"/>
      <w:lvlText w:val="%6."/>
      <w:lvlJc w:val="left"/>
      <w:pPr>
        <w:widowControl w:val="0"/>
        <w:tabs>
          <w:tab w:val="num" w:pos="2520"/>
        </w:tabs>
        <w:suppressAutoHyphens/>
        <w:autoSpaceDE w:val="0"/>
        <w:autoSpaceDN w:val="0"/>
        <w:adjustRightInd w:val="0"/>
        <w:ind w:left="2520" w:hanging="360"/>
      </w:pPr>
      <w:rPr>
        <w:rFonts w:ascii="Arial" w:hAnsi="Arial" w:cs="Arial"/>
        <w:sz w:val="24"/>
        <w:szCs w:val="24"/>
      </w:rPr>
    </w:lvl>
    <w:lvl w:ilvl="6">
      <w:start w:val="1"/>
      <w:numFmt w:val="decimal"/>
      <w:lvlText w:val="%7."/>
      <w:lvlJc w:val="left"/>
      <w:pPr>
        <w:widowControl w:val="0"/>
        <w:tabs>
          <w:tab w:val="num" w:pos="2880"/>
        </w:tabs>
        <w:suppressAutoHyphens/>
        <w:autoSpaceDE w:val="0"/>
        <w:autoSpaceDN w:val="0"/>
        <w:adjustRightInd w:val="0"/>
        <w:ind w:left="2880" w:hanging="360"/>
      </w:pPr>
      <w:rPr>
        <w:rFonts w:ascii="Arial" w:hAnsi="Arial" w:cs="Arial"/>
        <w:sz w:val="24"/>
        <w:szCs w:val="24"/>
      </w:rPr>
    </w:lvl>
    <w:lvl w:ilvl="7">
      <w:start w:val="1"/>
      <w:numFmt w:val="decimal"/>
      <w:lvlText w:val="%8."/>
      <w:lvlJc w:val="left"/>
      <w:pPr>
        <w:widowControl w:val="0"/>
        <w:tabs>
          <w:tab w:val="num" w:pos="3240"/>
        </w:tabs>
        <w:suppressAutoHyphens/>
        <w:autoSpaceDE w:val="0"/>
        <w:autoSpaceDN w:val="0"/>
        <w:adjustRightInd w:val="0"/>
        <w:ind w:left="3240" w:hanging="360"/>
      </w:pPr>
      <w:rPr>
        <w:rFonts w:ascii="Arial" w:hAnsi="Arial" w:cs="Arial"/>
        <w:sz w:val="24"/>
        <w:szCs w:val="24"/>
      </w:rPr>
    </w:lvl>
    <w:lvl w:ilvl="8">
      <w:start w:val="1"/>
      <w:numFmt w:val="decimal"/>
      <w:lvlText w:val="%9."/>
      <w:lvlJc w:val="left"/>
      <w:pPr>
        <w:widowControl w:val="0"/>
        <w:tabs>
          <w:tab w:val="num" w:pos="3600"/>
        </w:tabs>
        <w:suppressAutoHyphens/>
        <w:autoSpaceDE w:val="0"/>
        <w:autoSpaceDN w:val="0"/>
        <w:adjustRightInd w:val="0"/>
        <w:ind w:left="3600" w:hanging="360"/>
      </w:pPr>
      <w:rPr>
        <w:rFonts w:ascii="Arial" w:hAnsi="Arial" w:cs="Arial"/>
        <w:sz w:val="24"/>
        <w:szCs w:val="24"/>
      </w:rPr>
    </w:lvl>
  </w:abstractNum>
  <w:abstractNum w:abstractNumId="8" w15:restartNumberingAfterBreak="0">
    <w:nsid w:val="00000016"/>
    <w:multiLevelType w:val="multilevel"/>
    <w:tmpl w:val="C2ACB246"/>
    <w:lvl w:ilvl="0">
      <w:start w:val="1"/>
      <w:numFmt w:val="decimal"/>
      <w:pStyle w:val="ScheduleNumber"/>
      <w:suff w:val="nothing"/>
      <w:lvlText w:val="Schedule %1"/>
      <w:lvlJc w:val="left"/>
      <w:pPr>
        <w:widowControl w:val="0"/>
        <w:suppressAutoHyphens/>
        <w:autoSpaceDE w:val="0"/>
        <w:autoSpaceDN w:val="0"/>
        <w:adjustRightInd w:val="0"/>
      </w:pPr>
      <w:rPr>
        <w:rFonts w:ascii="Arial" w:hAnsi="Arial" w:cs="Arial"/>
        <w:b/>
        <w:bCs/>
        <w:i w:val="0"/>
        <w:iCs w:val="0"/>
        <w:caps/>
        <w:sz w:val="21"/>
        <w:szCs w:val="21"/>
      </w:rPr>
    </w:lvl>
    <w:lvl w:ilvl="1">
      <w:start w:val="1"/>
      <w:numFmt w:val="decimal"/>
      <w:pStyle w:val="SchLevel1"/>
      <w:lvlText w:val="%2"/>
      <w:lvlJc w:val="left"/>
      <w:pPr>
        <w:widowControl w:val="0"/>
        <w:tabs>
          <w:tab w:val="num" w:pos="720"/>
        </w:tabs>
        <w:suppressAutoHyphens/>
        <w:autoSpaceDE w:val="0"/>
        <w:autoSpaceDN w:val="0"/>
        <w:adjustRightInd w:val="0"/>
        <w:ind w:left="720" w:hanging="720"/>
      </w:pPr>
      <w:rPr>
        <w:rFonts w:ascii="Arial" w:hAnsi="Arial" w:cs="Arial"/>
        <w:b/>
        <w:bCs/>
        <w:caps/>
        <w:sz w:val="21"/>
        <w:szCs w:val="21"/>
      </w:rPr>
    </w:lvl>
    <w:lvl w:ilvl="2">
      <w:start w:val="1"/>
      <w:numFmt w:val="decimal"/>
      <w:pStyle w:val="SchLevel2"/>
      <w:lvlText w:val="%2.%3"/>
      <w:lvlJc w:val="left"/>
      <w:pPr>
        <w:widowControl w:val="0"/>
        <w:tabs>
          <w:tab w:val="num" w:pos="720"/>
        </w:tabs>
        <w:suppressAutoHyphens/>
        <w:autoSpaceDE w:val="0"/>
        <w:autoSpaceDN w:val="0"/>
        <w:adjustRightInd w:val="0"/>
        <w:ind w:left="720" w:hanging="720"/>
      </w:pPr>
      <w:rPr>
        <w:rFonts w:ascii="Arial" w:hAnsi="Arial" w:cs="Arial"/>
        <w:sz w:val="21"/>
        <w:szCs w:val="21"/>
      </w:rPr>
    </w:lvl>
    <w:lvl w:ilvl="3">
      <w:start w:val="1"/>
      <w:numFmt w:val="lowerLetter"/>
      <w:pStyle w:val="SchLevel3"/>
      <w:lvlText w:val="(%4)"/>
      <w:lvlJc w:val="left"/>
      <w:pPr>
        <w:widowControl w:val="0"/>
        <w:tabs>
          <w:tab w:val="num" w:pos="1440"/>
        </w:tabs>
        <w:suppressAutoHyphens/>
        <w:autoSpaceDE w:val="0"/>
        <w:autoSpaceDN w:val="0"/>
        <w:adjustRightInd w:val="0"/>
        <w:ind w:left="1440" w:hanging="720"/>
      </w:pPr>
      <w:rPr>
        <w:rFonts w:ascii="Arial" w:hAnsi="Arial" w:cs="Arial"/>
        <w:sz w:val="21"/>
        <w:szCs w:val="21"/>
      </w:rPr>
    </w:lvl>
    <w:lvl w:ilvl="4">
      <w:start w:val="1"/>
      <w:numFmt w:val="lowerRoman"/>
      <w:pStyle w:val="SchLevel4"/>
      <w:lvlText w:val="(%5)"/>
      <w:lvlJc w:val="left"/>
      <w:pPr>
        <w:widowControl w:val="0"/>
        <w:tabs>
          <w:tab w:val="num" w:pos="2160"/>
        </w:tabs>
        <w:suppressAutoHyphens/>
        <w:autoSpaceDE w:val="0"/>
        <w:autoSpaceDN w:val="0"/>
        <w:adjustRightInd w:val="0"/>
        <w:ind w:left="2160" w:hanging="720"/>
      </w:pPr>
      <w:rPr>
        <w:rFonts w:ascii="Arial" w:hAnsi="Arial" w:cs="Arial"/>
        <w:sz w:val="21"/>
        <w:szCs w:val="21"/>
      </w:rPr>
    </w:lvl>
    <w:lvl w:ilvl="5">
      <w:start w:val="1"/>
      <w:numFmt w:val="upperLetter"/>
      <w:pStyle w:val="SchLevel5"/>
      <w:lvlText w:val="(%6)"/>
      <w:lvlJc w:val="left"/>
      <w:pPr>
        <w:widowControl w:val="0"/>
        <w:tabs>
          <w:tab w:val="num" w:pos="2880"/>
        </w:tabs>
        <w:suppressAutoHyphens/>
        <w:autoSpaceDE w:val="0"/>
        <w:autoSpaceDN w:val="0"/>
        <w:adjustRightInd w:val="0"/>
        <w:ind w:left="2880" w:hanging="720"/>
      </w:pPr>
      <w:rPr>
        <w:rFonts w:ascii="Arial" w:hAnsi="Arial" w:cs="Arial"/>
        <w:sz w:val="21"/>
        <w:szCs w:val="21"/>
      </w:rPr>
    </w:lvl>
    <w:lvl w:ilvl="6">
      <w:start w:val="1"/>
      <w:numFmt w:val="upperRoman"/>
      <w:pStyle w:val="SchLevel6"/>
      <w:lvlText w:val="(%7)"/>
      <w:lvlJc w:val="left"/>
      <w:pPr>
        <w:widowControl w:val="0"/>
        <w:tabs>
          <w:tab w:val="num" w:pos="3600"/>
        </w:tabs>
        <w:suppressAutoHyphens/>
        <w:autoSpaceDE w:val="0"/>
        <w:autoSpaceDN w:val="0"/>
        <w:adjustRightInd w:val="0"/>
        <w:ind w:left="3600" w:hanging="720"/>
      </w:pPr>
      <w:rPr>
        <w:rFonts w:ascii="Arial" w:hAnsi="Arial" w:cs="Arial"/>
        <w:sz w:val="21"/>
        <w:szCs w:val="21"/>
      </w:rPr>
    </w:lvl>
    <w:lvl w:ilvl="7">
      <w:start w:val="1"/>
      <w:numFmt w:val="lowerLetter"/>
      <w:lvlText w:val="%8."/>
      <w:lvlJc w:val="left"/>
      <w:pPr>
        <w:widowControl w:val="0"/>
        <w:tabs>
          <w:tab w:val="num" w:pos="2880"/>
        </w:tabs>
        <w:suppressAutoHyphens/>
        <w:autoSpaceDE w:val="0"/>
        <w:autoSpaceDN w:val="0"/>
        <w:adjustRightInd w:val="0"/>
        <w:ind w:left="2880" w:hanging="360"/>
      </w:pPr>
      <w:rPr>
        <w:rFonts w:ascii="Arial" w:hAnsi="Arial" w:cs="Arial"/>
        <w:sz w:val="24"/>
        <w:szCs w:val="24"/>
      </w:rPr>
    </w:lvl>
    <w:lvl w:ilvl="8">
      <w:start w:val="1"/>
      <w:numFmt w:val="lowerRoman"/>
      <w:lvlText w:val="%9."/>
      <w:lvlJc w:val="left"/>
      <w:pPr>
        <w:widowControl w:val="0"/>
        <w:tabs>
          <w:tab w:val="num" w:pos="0"/>
        </w:tabs>
        <w:suppressAutoHyphens/>
        <w:autoSpaceDE w:val="0"/>
        <w:autoSpaceDN w:val="0"/>
        <w:adjustRightInd w:val="0"/>
        <w:ind w:left="3240" w:hanging="360"/>
      </w:pPr>
      <w:rPr>
        <w:rFonts w:ascii="Arial" w:hAnsi="Arial" w:cs="Arial"/>
        <w:sz w:val="24"/>
        <w:szCs w:val="24"/>
      </w:rPr>
    </w:lvl>
  </w:abstractNum>
  <w:abstractNum w:abstractNumId="9" w15:restartNumberingAfterBreak="0">
    <w:nsid w:val="00000018"/>
    <w:multiLevelType w:val="multilevel"/>
    <w:tmpl w:val="C08A28A2"/>
    <w:lvl w:ilvl="0">
      <w:start w:val="1"/>
      <w:numFmt w:val="decimal"/>
      <w:lvlText w:val="%1"/>
      <w:lvlJc w:val="left"/>
      <w:pPr>
        <w:widowControl w:val="0"/>
        <w:tabs>
          <w:tab w:val="num" w:pos="720"/>
        </w:tabs>
        <w:suppressAutoHyphens/>
        <w:autoSpaceDE w:val="0"/>
        <w:autoSpaceDN w:val="0"/>
        <w:adjustRightInd w:val="0"/>
        <w:ind w:left="720" w:hanging="720"/>
      </w:pPr>
      <w:rPr>
        <w:rFonts w:ascii="Arial" w:hAnsi="Arial" w:cs="Arial"/>
        <w:sz w:val="24"/>
        <w:szCs w:val="24"/>
        <w:u w:val="none"/>
      </w:rPr>
    </w:lvl>
    <w:lvl w:ilvl="1">
      <w:start w:val="1"/>
      <w:numFmt w:val="decimal"/>
      <w:lvlText w:val="%1.%2"/>
      <w:lvlJc w:val="left"/>
      <w:pPr>
        <w:widowControl w:val="0"/>
        <w:tabs>
          <w:tab w:val="num" w:pos="0"/>
        </w:tabs>
        <w:suppressAutoHyphens/>
        <w:autoSpaceDE w:val="0"/>
        <w:autoSpaceDN w:val="0"/>
        <w:adjustRightInd w:val="0"/>
        <w:ind w:left="720" w:hanging="720"/>
      </w:pPr>
      <w:rPr>
        <w:rFonts w:ascii="Arial" w:hAnsi="Arial" w:cs="Arial"/>
        <w:sz w:val="24"/>
        <w:szCs w:val="24"/>
        <w:u w:val="none"/>
      </w:rPr>
    </w:lvl>
    <w:lvl w:ilvl="2">
      <w:start w:val="1"/>
      <w:numFmt w:val="lowerLetter"/>
      <w:pStyle w:val="Heading3"/>
      <w:lvlText w:val="(%3)"/>
      <w:lvlJc w:val="left"/>
      <w:pPr>
        <w:widowControl w:val="0"/>
        <w:tabs>
          <w:tab w:val="num" w:pos="1440"/>
        </w:tabs>
        <w:suppressAutoHyphens/>
        <w:autoSpaceDE w:val="0"/>
        <w:autoSpaceDN w:val="0"/>
        <w:adjustRightInd w:val="0"/>
        <w:ind w:left="1440" w:hanging="720"/>
      </w:pPr>
      <w:rPr>
        <w:rFonts w:ascii="Arial" w:hAnsi="Arial" w:cs="Arial"/>
        <w:b/>
        <w:bCs/>
        <w:sz w:val="26"/>
        <w:szCs w:val="26"/>
        <w:u w:val="none"/>
      </w:rPr>
    </w:lvl>
    <w:lvl w:ilvl="3">
      <w:start w:val="1"/>
      <w:numFmt w:val="lowerRoman"/>
      <w:pStyle w:val="Heading4"/>
      <w:lvlText w:val="(%4)"/>
      <w:lvlJc w:val="left"/>
      <w:pPr>
        <w:widowControl w:val="0"/>
        <w:tabs>
          <w:tab w:val="num" w:pos="0"/>
        </w:tabs>
        <w:suppressAutoHyphens/>
        <w:autoSpaceDE w:val="0"/>
        <w:autoSpaceDN w:val="0"/>
        <w:adjustRightInd w:val="0"/>
        <w:ind w:left="2160" w:hanging="720"/>
      </w:pPr>
      <w:rPr>
        <w:rFonts w:ascii="Times New Roman" w:hAnsi="Times New Roman" w:cs="Times New Roman"/>
        <w:b/>
        <w:bCs/>
        <w:sz w:val="28"/>
        <w:szCs w:val="28"/>
        <w:u w:val="none"/>
      </w:rPr>
    </w:lvl>
    <w:lvl w:ilvl="4">
      <w:start w:val="1"/>
      <w:numFmt w:val="upperLetter"/>
      <w:pStyle w:val="Heading5"/>
      <w:lvlText w:val="(%5)"/>
      <w:lvlJc w:val="left"/>
      <w:pPr>
        <w:widowControl w:val="0"/>
        <w:tabs>
          <w:tab w:val="num" w:pos="0"/>
        </w:tabs>
        <w:suppressAutoHyphens/>
        <w:autoSpaceDE w:val="0"/>
        <w:autoSpaceDN w:val="0"/>
        <w:adjustRightInd w:val="0"/>
        <w:ind w:left="2880" w:hanging="720"/>
      </w:pPr>
      <w:rPr>
        <w:rFonts w:ascii="Arial" w:hAnsi="Arial" w:cs="Arial"/>
        <w:b/>
        <w:bCs/>
        <w:i/>
        <w:iCs/>
        <w:sz w:val="26"/>
        <w:szCs w:val="26"/>
        <w:u w:val="none"/>
      </w:rPr>
    </w:lvl>
    <w:lvl w:ilvl="5">
      <w:start w:val="1"/>
      <w:numFmt w:val="decimal"/>
      <w:pStyle w:val="Heading6"/>
      <w:lvlText w:val="%6)"/>
      <w:lvlJc w:val="left"/>
      <w:pPr>
        <w:widowControl w:val="0"/>
        <w:tabs>
          <w:tab w:val="num" w:pos="0"/>
        </w:tabs>
        <w:suppressAutoHyphens/>
        <w:autoSpaceDE w:val="0"/>
        <w:autoSpaceDN w:val="0"/>
        <w:adjustRightInd w:val="0"/>
        <w:ind w:left="3600" w:hanging="720"/>
      </w:pPr>
      <w:rPr>
        <w:rFonts w:ascii="Times New Roman" w:hAnsi="Times New Roman" w:cs="Times New Roman"/>
        <w:b w:val="0"/>
        <w:bCs w:val="0"/>
        <w:i w:val="0"/>
        <w:iCs w:val="0"/>
        <w:sz w:val="24"/>
        <w:szCs w:val="24"/>
        <w:u w:val="none"/>
      </w:rPr>
    </w:lvl>
    <w:lvl w:ilvl="6">
      <w:start w:val="1"/>
      <w:numFmt w:val="lowerLetter"/>
      <w:pStyle w:val="Heading7"/>
      <w:lvlText w:val="%7)"/>
      <w:lvlJc w:val="left"/>
      <w:pPr>
        <w:widowControl w:val="0"/>
        <w:tabs>
          <w:tab w:val="num" w:pos="0"/>
        </w:tabs>
        <w:suppressAutoHyphens/>
        <w:autoSpaceDE w:val="0"/>
        <w:autoSpaceDN w:val="0"/>
        <w:adjustRightInd w:val="0"/>
        <w:ind w:left="4320" w:hanging="720"/>
      </w:pPr>
      <w:rPr>
        <w:rFonts w:ascii="Times New Roman" w:hAnsi="Times New Roman" w:cs="Times New Roman"/>
        <w:b w:val="0"/>
        <w:bCs w:val="0"/>
        <w:i w:val="0"/>
        <w:iCs w:val="0"/>
        <w:sz w:val="24"/>
        <w:szCs w:val="24"/>
        <w:u w:val="none"/>
      </w:rPr>
    </w:lvl>
    <w:lvl w:ilvl="7">
      <w:start w:val="1"/>
      <w:numFmt w:val="lowerRoman"/>
      <w:pStyle w:val="Heading8"/>
      <w:lvlText w:val="%8)"/>
      <w:lvlJc w:val="left"/>
      <w:pPr>
        <w:widowControl w:val="0"/>
        <w:tabs>
          <w:tab w:val="num" w:pos="0"/>
        </w:tabs>
        <w:suppressAutoHyphens/>
        <w:autoSpaceDE w:val="0"/>
        <w:autoSpaceDN w:val="0"/>
        <w:adjustRightInd w:val="0"/>
        <w:ind w:left="5041" w:hanging="720"/>
      </w:pPr>
      <w:rPr>
        <w:rFonts w:ascii="Times New Roman" w:hAnsi="Times New Roman" w:cs="Times New Roman"/>
        <w:b w:val="0"/>
        <w:bCs w:val="0"/>
        <w:i w:val="0"/>
        <w:iCs w:val="0"/>
        <w:sz w:val="24"/>
        <w:szCs w:val="24"/>
        <w:u w:val="none"/>
      </w:rPr>
    </w:lvl>
    <w:lvl w:ilvl="8">
      <w:start w:val="1"/>
      <w:numFmt w:val="upperLetter"/>
      <w:pStyle w:val="Heading9"/>
      <w:lvlText w:val="%9)"/>
      <w:lvlJc w:val="left"/>
      <w:pPr>
        <w:widowControl w:val="0"/>
        <w:tabs>
          <w:tab w:val="num" w:pos="0"/>
        </w:tabs>
        <w:suppressAutoHyphens/>
        <w:autoSpaceDE w:val="0"/>
        <w:autoSpaceDN w:val="0"/>
        <w:adjustRightInd w:val="0"/>
        <w:ind w:left="5761" w:hanging="720"/>
      </w:pPr>
      <w:rPr>
        <w:rFonts w:ascii="Times New Roman" w:hAnsi="Times New Roman" w:cs="Times New Roman"/>
        <w:b w:val="0"/>
        <w:bCs w:val="0"/>
        <w:i w:val="0"/>
        <w:iCs w:val="0"/>
        <w:sz w:val="24"/>
        <w:szCs w:val="24"/>
        <w:u w:val="none"/>
      </w:rPr>
    </w:lvl>
  </w:abstractNum>
  <w:abstractNum w:abstractNumId="10" w15:restartNumberingAfterBreak="0">
    <w:nsid w:val="0000001A"/>
    <w:multiLevelType w:val="singleLevel"/>
    <w:tmpl w:val="0EA650BE"/>
    <w:lvl w:ilvl="0">
      <w:start w:val="1"/>
      <w:numFmt w:val="upperLetter"/>
      <w:pStyle w:val="Introduction"/>
      <w:lvlText w:val="%1"/>
      <w:lvlJc w:val="left"/>
      <w:pPr>
        <w:widowControl w:val="0"/>
        <w:tabs>
          <w:tab w:val="num" w:pos="720"/>
        </w:tabs>
        <w:suppressAutoHyphens/>
        <w:autoSpaceDE w:val="0"/>
        <w:autoSpaceDN w:val="0"/>
        <w:adjustRightInd w:val="0"/>
        <w:ind w:left="720" w:hanging="720"/>
      </w:pPr>
      <w:rPr>
        <w:rFonts w:ascii="Arial" w:hAnsi="Arial" w:cs="Arial"/>
        <w:b w:val="0"/>
        <w:bCs w:val="0"/>
        <w:i w:val="0"/>
        <w:iCs w:val="0"/>
        <w:sz w:val="21"/>
        <w:szCs w:val="21"/>
      </w:rPr>
    </w:lvl>
  </w:abstractNum>
  <w:abstractNum w:abstractNumId="11" w15:restartNumberingAfterBreak="0">
    <w:nsid w:val="0000001F"/>
    <w:multiLevelType w:val="hybridMultilevel"/>
    <w:tmpl w:val="2A28CBB4"/>
    <w:lvl w:ilvl="0" w:tplc="5A1EB00A">
      <w:start w:val="1"/>
      <w:numFmt w:val="lowerLetter"/>
      <w:lvlText w:val="(%1)"/>
      <w:lvlJc w:val="left"/>
      <w:pPr>
        <w:widowControl w:val="0"/>
        <w:tabs>
          <w:tab w:val="num" w:pos="2502"/>
        </w:tabs>
        <w:suppressAutoHyphens/>
        <w:autoSpaceDE w:val="0"/>
        <w:autoSpaceDN w:val="0"/>
        <w:adjustRightInd w:val="0"/>
        <w:ind w:left="2502" w:hanging="360"/>
      </w:pPr>
      <w:rPr>
        <w:rFonts w:ascii="Arial" w:hAnsi="Arial" w:cs="Arial"/>
        <w:sz w:val="24"/>
        <w:szCs w:val="24"/>
      </w:rPr>
    </w:lvl>
    <w:lvl w:ilvl="1" w:tplc="E6F60FF6">
      <w:start w:val="1"/>
      <w:numFmt w:val="lowerLetter"/>
      <w:lvlText w:val="%2."/>
      <w:lvlJc w:val="left"/>
      <w:pPr>
        <w:widowControl w:val="0"/>
        <w:tabs>
          <w:tab w:val="num" w:pos="2142"/>
        </w:tabs>
        <w:suppressAutoHyphens/>
        <w:autoSpaceDE w:val="0"/>
        <w:autoSpaceDN w:val="0"/>
        <w:adjustRightInd w:val="0"/>
        <w:ind w:left="2142" w:hanging="360"/>
      </w:pPr>
      <w:rPr>
        <w:rFonts w:ascii="Arial" w:hAnsi="Arial" w:cs="Arial"/>
        <w:sz w:val="24"/>
        <w:szCs w:val="24"/>
      </w:rPr>
    </w:lvl>
    <w:lvl w:ilvl="2" w:tplc="B0123C62">
      <w:start w:val="1"/>
      <w:numFmt w:val="lowerRoman"/>
      <w:lvlText w:val="%3."/>
      <w:lvlJc w:val="right"/>
      <w:pPr>
        <w:widowControl w:val="0"/>
        <w:tabs>
          <w:tab w:val="num" w:pos="2862"/>
        </w:tabs>
        <w:suppressAutoHyphens/>
        <w:autoSpaceDE w:val="0"/>
        <w:autoSpaceDN w:val="0"/>
        <w:adjustRightInd w:val="0"/>
        <w:ind w:left="2862" w:hanging="180"/>
      </w:pPr>
      <w:rPr>
        <w:rFonts w:ascii="Arial" w:hAnsi="Arial" w:cs="Arial"/>
        <w:sz w:val="24"/>
        <w:szCs w:val="24"/>
      </w:rPr>
    </w:lvl>
    <w:lvl w:ilvl="3" w:tplc="FA1EECC4">
      <w:start w:val="1"/>
      <w:numFmt w:val="decimal"/>
      <w:lvlText w:val="%4."/>
      <w:lvlJc w:val="left"/>
      <w:pPr>
        <w:widowControl w:val="0"/>
        <w:tabs>
          <w:tab w:val="num" w:pos="3582"/>
        </w:tabs>
        <w:suppressAutoHyphens/>
        <w:autoSpaceDE w:val="0"/>
        <w:autoSpaceDN w:val="0"/>
        <w:adjustRightInd w:val="0"/>
        <w:ind w:left="3582" w:hanging="360"/>
      </w:pPr>
      <w:rPr>
        <w:rFonts w:ascii="Arial" w:hAnsi="Arial" w:cs="Arial"/>
        <w:sz w:val="24"/>
        <w:szCs w:val="24"/>
      </w:rPr>
    </w:lvl>
    <w:lvl w:ilvl="4" w:tplc="B6CA041C">
      <w:start w:val="1"/>
      <w:numFmt w:val="lowerLetter"/>
      <w:lvlText w:val="%5."/>
      <w:lvlJc w:val="left"/>
      <w:pPr>
        <w:widowControl w:val="0"/>
        <w:tabs>
          <w:tab w:val="num" w:pos="4302"/>
        </w:tabs>
        <w:suppressAutoHyphens/>
        <w:autoSpaceDE w:val="0"/>
        <w:autoSpaceDN w:val="0"/>
        <w:adjustRightInd w:val="0"/>
        <w:ind w:left="4302" w:hanging="360"/>
      </w:pPr>
      <w:rPr>
        <w:rFonts w:ascii="Arial" w:hAnsi="Arial" w:cs="Arial"/>
        <w:sz w:val="24"/>
        <w:szCs w:val="24"/>
      </w:rPr>
    </w:lvl>
    <w:lvl w:ilvl="5" w:tplc="055874D0">
      <w:start w:val="1"/>
      <w:numFmt w:val="lowerRoman"/>
      <w:lvlText w:val="%6."/>
      <w:lvlJc w:val="right"/>
      <w:pPr>
        <w:widowControl w:val="0"/>
        <w:tabs>
          <w:tab w:val="num" w:pos="5022"/>
        </w:tabs>
        <w:suppressAutoHyphens/>
        <w:autoSpaceDE w:val="0"/>
        <w:autoSpaceDN w:val="0"/>
        <w:adjustRightInd w:val="0"/>
        <w:ind w:left="5022" w:hanging="180"/>
      </w:pPr>
      <w:rPr>
        <w:rFonts w:ascii="Arial" w:hAnsi="Arial" w:cs="Arial"/>
        <w:sz w:val="24"/>
        <w:szCs w:val="24"/>
      </w:rPr>
    </w:lvl>
    <w:lvl w:ilvl="6" w:tplc="C262AFEE">
      <w:start w:val="1"/>
      <w:numFmt w:val="decimal"/>
      <w:lvlText w:val="%7."/>
      <w:lvlJc w:val="left"/>
      <w:pPr>
        <w:widowControl w:val="0"/>
        <w:tabs>
          <w:tab w:val="num" w:pos="5742"/>
        </w:tabs>
        <w:suppressAutoHyphens/>
        <w:autoSpaceDE w:val="0"/>
        <w:autoSpaceDN w:val="0"/>
        <w:adjustRightInd w:val="0"/>
        <w:ind w:left="5742" w:hanging="360"/>
      </w:pPr>
      <w:rPr>
        <w:rFonts w:ascii="Arial" w:hAnsi="Arial" w:cs="Arial"/>
        <w:sz w:val="24"/>
        <w:szCs w:val="24"/>
      </w:rPr>
    </w:lvl>
    <w:lvl w:ilvl="7" w:tplc="A8B487C6">
      <w:start w:val="1"/>
      <w:numFmt w:val="lowerLetter"/>
      <w:lvlText w:val="%8."/>
      <w:lvlJc w:val="left"/>
      <w:pPr>
        <w:widowControl w:val="0"/>
        <w:tabs>
          <w:tab w:val="num" w:pos="6462"/>
        </w:tabs>
        <w:suppressAutoHyphens/>
        <w:autoSpaceDE w:val="0"/>
        <w:autoSpaceDN w:val="0"/>
        <w:adjustRightInd w:val="0"/>
        <w:ind w:left="6462" w:hanging="360"/>
      </w:pPr>
      <w:rPr>
        <w:rFonts w:ascii="Arial" w:hAnsi="Arial" w:cs="Arial"/>
        <w:sz w:val="24"/>
        <w:szCs w:val="24"/>
      </w:rPr>
    </w:lvl>
    <w:lvl w:ilvl="8" w:tplc="1A0A6C94">
      <w:start w:val="1"/>
      <w:numFmt w:val="lowerRoman"/>
      <w:lvlText w:val="%9."/>
      <w:lvlJc w:val="right"/>
      <w:pPr>
        <w:widowControl w:val="0"/>
        <w:tabs>
          <w:tab w:val="num" w:pos="7182"/>
        </w:tabs>
        <w:suppressAutoHyphens/>
        <w:autoSpaceDE w:val="0"/>
        <w:autoSpaceDN w:val="0"/>
        <w:adjustRightInd w:val="0"/>
        <w:ind w:left="7182" w:hanging="180"/>
      </w:pPr>
      <w:rPr>
        <w:rFonts w:ascii="Arial" w:hAnsi="Arial" w:cs="Arial"/>
        <w:sz w:val="24"/>
        <w:szCs w:val="24"/>
      </w:rPr>
    </w:lvl>
  </w:abstractNum>
  <w:abstractNum w:abstractNumId="12" w15:restartNumberingAfterBreak="0">
    <w:nsid w:val="07E87616"/>
    <w:multiLevelType w:val="multilevel"/>
    <w:tmpl w:val="462462D6"/>
    <w:lvl w:ilvl="0">
      <w:start w:val="1"/>
      <w:numFmt w:val="decimal"/>
      <w:pStyle w:val="MRheading1"/>
      <w:lvlText w:val="%1"/>
      <w:lvlJc w:val="left"/>
      <w:pPr>
        <w:tabs>
          <w:tab w:val="num" w:pos="720"/>
        </w:tabs>
        <w:ind w:left="720" w:hanging="720"/>
      </w:pPr>
      <w:rPr>
        <w:rFonts w:hint="default"/>
      </w:rPr>
    </w:lvl>
    <w:lvl w:ilvl="1">
      <w:start w:val="1"/>
      <w:numFmt w:val="decimal"/>
      <w:pStyle w:val="MRheading2"/>
      <w:lvlText w:val="%1.%2"/>
      <w:lvlJc w:val="left"/>
      <w:pPr>
        <w:tabs>
          <w:tab w:val="num" w:pos="720"/>
        </w:tabs>
        <w:ind w:left="720" w:hanging="720"/>
      </w:pPr>
      <w:rPr>
        <w:rFonts w:hint="default"/>
        <w:b w:val="0"/>
      </w:rPr>
    </w:lvl>
    <w:lvl w:ilvl="2">
      <w:start w:val="1"/>
      <w:numFmt w:val="decimal"/>
      <w:pStyle w:val="MRheading3"/>
      <w:lvlText w:val="%1.%2.%3"/>
      <w:lvlJc w:val="left"/>
      <w:pPr>
        <w:tabs>
          <w:tab w:val="num" w:pos="1797"/>
        </w:tabs>
        <w:ind w:left="1797" w:hanging="1077"/>
      </w:pPr>
      <w:rPr>
        <w:rFonts w:hint="default"/>
      </w:rPr>
    </w:lvl>
    <w:lvl w:ilvl="3">
      <w:start w:val="1"/>
      <w:numFmt w:val="lowerRoman"/>
      <w:pStyle w:val="MRheading4"/>
      <w:lvlText w:val="(%4)"/>
      <w:lvlJc w:val="left"/>
      <w:pPr>
        <w:tabs>
          <w:tab w:val="num" w:pos="2517"/>
        </w:tabs>
        <w:ind w:left="2517" w:hanging="720"/>
      </w:pPr>
      <w:rPr>
        <w:rFonts w:hint="default"/>
      </w:rPr>
    </w:lvl>
    <w:lvl w:ilvl="4">
      <w:start w:val="1"/>
      <w:numFmt w:val="upperLetter"/>
      <w:pStyle w:val="MRheading5"/>
      <w:lvlText w:val="(%5)"/>
      <w:lvlJc w:val="left"/>
      <w:pPr>
        <w:tabs>
          <w:tab w:val="num" w:pos="3237"/>
        </w:tabs>
        <w:ind w:left="3237" w:hanging="720"/>
      </w:pPr>
      <w:rPr>
        <w:rFonts w:hint="default"/>
      </w:rPr>
    </w:lvl>
    <w:lvl w:ilvl="5">
      <w:start w:val="1"/>
      <w:numFmt w:val="decimal"/>
      <w:pStyle w:val="MRheading6"/>
      <w:lvlText w:val="%6)"/>
      <w:lvlJc w:val="left"/>
      <w:pPr>
        <w:tabs>
          <w:tab w:val="num" w:pos="3957"/>
        </w:tabs>
        <w:ind w:left="3957" w:hanging="720"/>
      </w:pPr>
      <w:rPr>
        <w:rFonts w:hint="default"/>
      </w:rPr>
    </w:lvl>
    <w:lvl w:ilvl="6">
      <w:start w:val="1"/>
      <w:numFmt w:val="lowerLetter"/>
      <w:pStyle w:val="MRheading7"/>
      <w:lvlText w:val="%7)"/>
      <w:lvlJc w:val="left"/>
      <w:pPr>
        <w:tabs>
          <w:tab w:val="num" w:pos="4677"/>
        </w:tabs>
        <w:ind w:left="4677" w:hanging="720"/>
      </w:pPr>
      <w:rPr>
        <w:rFonts w:hint="default"/>
      </w:rPr>
    </w:lvl>
    <w:lvl w:ilvl="7">
      <w:start w:val="1"/>
      <w:numFmt w:val="lowerRoman"/>
      <w:pStyle w:val="MRheading8"/>
      <w:lvlText w:val="%8)"/>
      <w:lvlJc w:val="left"/>
      <w:pPr>
        <w:tabs>
          <w:tab w:val="num" w:pos="5397"/>
        </w:tabs>
        <w:ind w:left="5397" w:hanging="720"/>
      </w:pPr>
      <w:rPr>
        <w:rFonts w:hint="default"/>
      </w:rPr>
    </w:lvl>
    <w:lvl w:ilvl="8">
      <w:start w:val="1"/>
      <w:numFmt w:val="upperLetter"/>
      <w:pStyle w:val="MRheading9"/>
      <w:lvlText w:val="%9)"/>
      <w:lvlJc w:val="left"/>
      <w:pPr>
        <w:tabs>
          <w:tab w:val="num" w:pos="6117"/>
        </w:tabs>
        <w:ind w:left="6117" w:hanging="720"/>
      </w:pPr>
      <w:rPr>
        <w:rFonts w:hint="default"/>
      </w:rPr>
    </w:lvl>
  </w:abstractNum>
  <w:abstractNum w:abstractNumId="13" w15:restartNumberingAfterBreak="0">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b w:val="0"/>
        <w:i w:val="0"/>
        <w:sz w:val="24"/>
        <w:u w:val="none"/>
      </w:rPr>
    </w:lvl>
    <w:lvl w:ilvl="5">
      <w:start w:val="1"/>
      <w:numFmt w:val="lowerLetter"/>
      <w:lvlText w:val="%6)"/>
      <w:lvlJc w:val="left"/>
      <w:pPr>
        <w:tabs>
          <w:tab w:val="num" w:pos="4320"/>
        </w:tabs>
        <w:ind w:left="4320" w:hanging="720"/>
      </w:pPr>
      <w:rPr>
        <w:b w:val="0"/>
        <w:i w:val="0"/>
        <w:sz w:val="24"/>
        <w:u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3960"/>
        </w:tabs>
        <w:ind w:left="3960" w:hanging="720"/>
      </w:pPr>
      <w:rPr>
        <w:b w:val="0"/>
        <w:i w:val="0"/>
        <w:sz w:val="22"/>
        <w:szCs w:val="22"/>
        <w:u w:val="none"/>
      </w:rPr>
    </w:lvl>
    <w:lvl w:ilvl="5">
      <w:start w:val="1"/>
      <w:numFmt w:val="decimal"/>
      <w:lvlText w:val="%6)"/>
      <w:lvlJc w:val="left"/>
      <w:pPr>
        <w:tabs>
          <w:tab w:val="num" w:pos="4680"/>
        </w:tabs>
        <w:ind w:left="4680" w:hanging="720"/>
      </w:pPr>
      <w:rPr>
        <w:b w:val="0"/>
        <w:i w:val="0"/>
        <w:sz w:val="22"/>
        <w:szCs w:val="22"/>
        <w:u w:val="none"/>
      </w:rPr>
    </w:lvl>
    <w:lvl w:ilvl="6">
      <w:start w:val="1"/>
      <w:numFmt w:val="lowerLetter"/>
      <w:lvlText w:val="%7)"/>
      <w:lvlJc w:val="left"/>
      <w:pPr>
        <w:tabs>
          <w:tab w:val="num" w:pos="5400"/>
        </w:tabs>
        <w:ind w:left="5400" w:hanging="720"/>
      </w:pPr>
    </w:lvl>
    <w:lvl w:ilvl="7">
      <w:start w:val="1"/>
      <w:numFmt w:val="lowerRoman"/>
      <w:lvlText w:val="%8)"/>
      <w:lvlJc w:val="left"/>
      <w:pPr>
        <w:tabs>
          <w:tab w:val="num" w:pos="6120"/>
        </w:tabs>
        <w:ind w:left="6120" w:hanging="720"/>
      </w:pPr>
    </w:lvl>
    <w:lvl w:ilvl="8">
      <w:start w:val="1"/>
      <w:numFmt w:val="upperLetter"/>
      <w:lvlText w:val="%9)"/>
      <w:lvlJc w:val="left"/>
      <w:pPr>
        <w:tabs>
          <w:tab w:val="num" w:pos="6840"/>
        </w:tabs>
        <w:ind w:left="6840" w:hanging="720"/>
      </w:pPr>
    </w:lvl>
  </w:abstractNum>
  <w:abstractNum w:abstractNumId="15" w15:restartNumberingAfterBreak="0">
    <w:nsid w:val="1EA604E3"/>
    <w:multiLevelType w:val="multilevel"/>
    <w:tmpl w:val="EB2EFD48"/>
    <w:lvl w:ilvl="0">
      <w:start w:val="1"/>
      <w:numFmt w:val="decimal"/>
      <w:lvlText w:val="%1"/>
      <w:lvlJc w:val="left"/>
      <w:pPr>
        <w:tabs>
          <w:tab w:val="num" w:pos="720"/>
        </w:tabs>
        <w:ind w:left="720" w:hanging="720"/>
      </w:pPr>
      <w:rPr>
        <w:rFonts w:hint="default"/>
        <w:color w:val="auto"/>
        <w:sz w:val="22"/>
        <w:szCs w:val="22"/>
        <w:u w:val="none"/>
      </w:rPr>
    </w:lvl>
    <w:lvl w:ilvl="1">
      <w:start w:val="1"/>
      <w:numFmt w:val="decimal"/>
      <w:lvlText w:val="%1.%2"/>
      <w:lvlJc w:val="left"/>
      <w:pPr>
        <w:tabs>
          <w:tab w:val="num" w:pos="720"/>
        </w:tabs>
        <w:ind w:left="720" w:hanging="720"/>
      </w:pPr>
      <w:rPr>
        <w:rFonts w:hint="default"/>
        <w:sz w:val="22"/>
        <w:szCs w:val="22"/>
        <w:u w:val="none"/>
      </w:rPr>
    </w:lvl>
    <w:lvl w:ilvl="2">
      <w:start w:val="1"/>
      <w:numFmt w:val="decimal"/>
      <w:lvlText w:val="%1.%2.%3"/>
      <w:lvlJc w:val="left"/>
      <w:pPr>
        <w:tabs>
          <w:tab w:val="num" w:pos="1800"/>
        </w:tabs>
        <w:ind w:left="1800" w:hanging="1080"/>
      </w:pPr>
      <w:rPr>
        <w:rFonts w:hint="default"/>
        <w:sz w:val="22"/>
        <w:szCs w:val="22"/>
        <w:u w:val="none"/>
      </w:rPr>
    </w:lvl>
    <w:lvl w:ilvl="3">
      <w:start w:val="1"/>
      <w:numFmt w:val="lowerRoman"/>
      <w:lvlText w:val="(%4)"/>
      <w:lvlJc w:val="left"/>
      <w:pPr>
        <w:tabs>
          <w:tab w:val="num" w:pos="2520"/>
        </w:tabs>
        <w:ind w:left="2520" w:hanging="720"/>
      </w:pPr>
      <w:rPr>
        <w:rFonts w:hint="default"/>
        <w:sz w:val="22"/>
        <w:szCs w:val="22"/>
        <w:u w:val="none"/>
      </w:rPr>
    </w:lvl>
    <w:lvl w:ilvl="4">
      <w:start w:val="1"/>
      <w:numFmt w:val="upperLetter"/>
      <w:lvlText w:val="(%5)"/>
      <w:lvlJc w:val="left"/>
      <w:pPr>
        <w:tabs>
          <w:tab w:val="num" w:pos="3240"/>
        </w:tabs>
        <w:ind w:left="3240" w:hanging="720"/>
      </w:pPr>
      <w:rPr>
        <w:rFonts w:hint="default"/>
        <w:sz w:val="22"/>
        <w:szCs w:val="22"/>
        <w:u w:val="none"/>
      </w:rPr>
    </w:lvl>
    <w:lvl w:ilvl="5">
      <w:start w:val="1"/>
      <w:numFmt w:val="decimal"/>
      <w:lvlText w:val="%6)"/>
      <w:lvlJc w:val="left"/>
      <w:pPr>
        <w:tabs>
          <w:tab w:val="num" w:pos="3960"/>
        </w:tabs>
        <w:ind w:left="3960" w:hanging="720"/>
      </w:pPr>
      <w:rPr>
        <w:rFonts w:ascii="Arial" w:hAnsi="Arial" w:hint="default"/>
        <w:b w:val="0"/>
        <w:i w:val="0"/>
        <w:sz w:val="22"/>
        <w:szCs w:val="22"/>
        <w:u w:val="none"/>
      </w:rPr>
    </w:lvl>
    <w:lvl w:ilvl="6">
      <w:start w:val="1"/>
      <w:numFmt w:val="lowerLetter"/>
      <w:lvlText w:val="%7)"/>
      <w:lvlJc w:val="left"/>
      <w:pPr>
        <w:tabs>
          <w:tab w:val="num" w:pos="4680"/>
        </w:tabs>
        <w:ind w:left="4680" w:hanging="720"/>
      </w:pPr>
      <w:rPr>
        <w:rFonts w:ascii="Arial" w:hAnsi="Arial" w:hint="default"/>
        <w:b w:val="0"/>
        <w:i w:val="0"/>
        <w:sz w:val="22"/>
        <w:szCs w:val="22"/>
        <w:u w:val="none"/>
      </w:rPr>
    </w:lvl>
    <w:lvl w:ilvl="7">
      <w:start w:val="1"/>
      <w:numFmt w:val="lowerRoman"/>
      <w:lvlText w:val="%8)"/>
      <w:lvlJc w:val="left"/>
      <w:pPr>
        <w:tabs>
          <w:tab w:val="num" w:pos="5400"/>
        </w:tabs>
        <w:ind w:left="5400" w:hanging="720"/>
      </w:pPr>
      <w:rPr>
        <w:rFonts w:ascii="Arial" w:hAnsi="Arial" w:hint="default"/>
        <w:b w:val="0"/>
        <w:i w:val="0"/>
        <w:sz w:val="22"/>
        <w:szCs w:val="22"/>
        <w:u w:val="none"/>
      </w:rPr>
    </w:lvl>
    <w:lvl w:ilvl="8">
      <w:start w:val="1"/>
      <w:numFmt w:val="upperLetter"/>
      <w:lvlText w:val="%9)"/>
      <w:lvlJc w:val="left"/>
      <w:pPr>
        <w:tabs>
          <w:tab w:val="num" w:pos="6120"/>
        </w:tabs>
        <w:ind w:left="6120" w:hanging="720"/>
      </w:pPr>
      <w:rPr>
        <w:rFonts w:ascii="Arial" w:hAnsi="Arial" w:hint="default"/>
        <w:b w:val="0"/>
        <w:i w:val="0"/>
        <w:sz w:val="22"/>
        <w:szCs w:val="22"/>
        <w:u w:val="none"/>
      </w:rPr>
    </w:lvl>
  </w:abstractNum>
  <w:abstractNum w:abstractNumId="16" w15:restartNumberingAfterBreak="0">
    <w:nsid w:val="27663BCC"/>
    <w:multiLevelType w:val="hybridMultilevel"/>
    <w:tmpl w:val="2A28CBB4"/>
    <w:lvl w:ilvl="0" w:tplc="1CF2BBDE">
      <w:start w:val="1"/>
      <w:numFmt w:val="lowerLetter"/>
      <w:lvlText w:val="(%1)"/>
      <w:lvlJc w:val="left"/>
      <w:pPr>
        <w:widowControl w:val="0"/>
        <w:tabs>
          <w:tab w:val="num" w:pos="2502"/>
        </w:tabs>
        <w:suppressAutoHyphens/>
        <w:autoSpaceDE w:val="0"/>
        <w:autoSpaceDN w:val="0"/>
        <w:adjustRightInd w:val="0"/>
        <w:ind w:left="2502" w:hanging="360"/>
      </w:pPr>
      <w:rPr>
        <w:rFonts w:ascii="Arial" w:hAnsi="Arial" w:cs="Arial"/>
        <w:sz w:val="24"/>
        <w:szCs w:val="24"/>
      </w:rPr>
    </w:lvl>
    <w:lvl w:ilvl="1" w:tplc="D660BB7E">
      <w:start w:val="1"/>
      <w:numFmt w:val="lowerLetter"/>
      <w:lvlText w:val="%2."/>
      <w:lvlJc w:val="left"/>
      <w:pPr>
        <w:widowControl w:val="0"/>
        <w:tabs>
          <w:tab w:val="num" w:pos="2142"/>
        </w:tabs>
        <w:suppressAutoHyphens/>
        <w:autoSpaceDE w:val="0"/>
        <w:autoSpaceDN w:val="0"/>
        <w:adjustRightInd w:val="0"/>
        <w:ind w:left="2142" w:hanging="360"/>
      </w:pPr>
      <w:rPr>
        <w:rFonts w:ascii="Arial" w:hAnsi="Arial" w:cs="Arial"/>
        <w:sz w:val="24"/>
        <w:szCs w:val="24"/>
      </w:rPr>
    </w:lvl>
    <w:lvl w:ilvl="2" w:tplc="7902BC18">
      <w:start w:val="1"/>
      <w:numFmt w:val="lowerRoman"/>
      <w:lvlText w:val="%3."/>
      <w:lvlJc w:val="right"/>
      <w:pPr>
        <w:widowControl w:val="0"/>
        <w:tabs>
          <w:tab w:val="num" w:pos="2862"/>
        </w:tabs>
        <w:suppressAutoHyphens/>
        <w:autoSpaceDE w:val="0"/>
        <w:autoSpaceDN w:val="0"/>
        <w:adjustRightInd w:val="0"/>
        <w:ind w:left="2862" w:hanging="180"/>
      </w:pPr>
      <w:rPr>
        <w:rFonts w:ascii="Arial" w:hAnsi="Arial" w:cs="Arial"/>
        <w:sz w:val="24"/>
        <w:szCs w:val="24"/>
      </w:rPr>
    </w:lvl>
    <w:lvl w:ilvl="3" w:tplc="686C667E">
      <w:start w:val="1"/>
      <w:numFmt w:val="decimal"/>
      <w:lvlText w:val="%4."/>
      <w:lvlJc w:val="left"/>
      <w:pPr>
        <w:widowControl w:val="0"/>
        <w:tabs>
          <w:tab w:val="num" w:pos="3582"/>
        </w:tabs>
        <w:suppressAutoHyphens/>
        <w:autoSpaceDE w:val="0"/>
        <w:autoSpaceDN w:val="0"/>
        <w:adjustRightInd w:val="0"/>
        <w:ind w:left="3582" w:hanging="360"/>
      </w:pPr>
      <w:rPr>
        <w:rFonts w:ascii="Arial" w:hAnsi="Arial" w:cs="Arial"/>
        <w:sz w:val="24"/>
        <w:szCs w:val="24"/>
      </w:rPr>
    </w:lvl>
    <w:lvl w:ilvl="4" w:tplc="609A8CA0">
      <w:start w:val="1"/>
      <w:numFmt w:val="lowerLetter"/>
      <w:lvlText w:val="%5."/>
      <w:lvlJc w:val="left"/>
      <w:pPr>
        <w:widowControl w:val="0"/>
        <w:tabs>
          <w:tab w:val="num" w:pos="4302"/>
        </w:tabs>
        <w:suppressAutoHyphens/>
        <w:autoSpaceDE w:val="0"/>
        <w:autoSpaceDN w:val="0"/>
        <w:adjustRightInd w:val="0"/>
        <w:ind w:left="4302" w:hanging="360"/>
      </w:pPr>
      <w:rPr>
        <w:rFonts w:ascii="Arial" w:hAnsi="Arial" w:cs="Arial"/>
        <w:sz w:val="24"/>
        <w:szCs w:val="24"/>
      </w:rPr>
    </w:lvl>
    <w:lvl w:ilvl="5" w:tplc="395E56AA">
      <w:start w:val="1"/>
      <w:numFmt w:val="lowerRoman"/>
      <w:lvlText w:val="%6."/>
      <w:lvlJc w:val="right"/>
      <w:pPr>
        <w:widowControl w:val="0"/>
        <w:tabs>
          <w:tab w:val="num" w:pos="5022"/>
        </w:tabs>
        <w:suppressAutoHyphens/>
        <w:autoSpaceDE w:val="0"/>
        <w:autoSpaceDN w:val="0"/>
        <w:adjustRightInd w:val="0"/>
        <w:ind w:left="5022" w:hanging="180"/>
      </w:pPr>
      <w:rPr>
        <w:rFonts w:ascii="Arial" w:hAnsi="Arial" w:cs="Arial"/>
        <w:sz w:val="24"/>
        <w:szCs w:val="24"/>
      </w:rPr>
    </w:lvl>
    <w:lvl w:ilvl="6" w:tplc="4558D41E">
      <w:start w:val="1"/>
      <w:numFmt w:val="decimal"/>
      <w:lvlText w:val="%7."/>
      <w:lvlJc w:val="left"/>
      <w:pPr>
        <w:widowControl w:val="0"/>
        <w:tabs>
          <w:tab w:val="num" w:pos="5742"/>
        </w:tabs>
        <w:suppressAutoHyphens/>
        <w:autoSpaceDE w:val="0"/>
        <w:autoSpaceDN w:val="0"/>
        <w:adjustRightInd w:val="0"/>
        <w:ind w:left="5742" w:hanging="360"/>
      </w:pPr>
      <w:rPr>
        <w:rFonts w:ascii="Arial" w:hAnsi="Arial" w:cs="Arial"/>
        <w:sz w:val="24"/>
        <w:szCs w:val="24"/>
      </w:rPr>
    </w:lvl>
    <w:lvl w:ilvl="7" w:tplc="44F0068C">
      <w:start w:val="1"/>
      <w:numFmt w:val="lowerLetter"/>
      <w:lvlText w:val="%8."/>
      <w:lvlJc w:val="left"/>
      <w:pPr>
        <w:widowControl w:val="0"/>
        <w:tabs>
          <w:tab w:val="num" w:pos="6462"/>
        </w:tabs>
        <w:suppressAutoHyphens/>
        <w:autoSpaceDE w:val="0"/>
        <w:autoSpaceDN w:val="0"/>
        <w:adjustRightInd w:val="0"/>
        <w:ind w:left="6462" w:hanging="360"/>
      </w:pPr>
      <w:rPr>
        <w:rFonts w:ascii="Arial" w:hAnsi="Arial" w:cs="Arial"/>
        <w:sz w:val="24"/>
        <w:szCs w:val="24"/>
      </w:rPr>
    </w:lvl>
    <w:lvl w:ilvl="8" w:tplc="850EE218">
      <w:start w:val="1"/>
      <w:numFmt w:val="lowerRoman"/>
      <w:lvlText w:val="%9."/>
      <w:lvlJc w:val="right"/>
      <w:pPr>
        <w:widowControl w:val="0"/>
        <w:tabs>
          <w:tab w:val="num" w:pos="7182"/>
        </w:tabs>
        <w:suppressAutoHyphens/>
        <w:autoSpaceDE w:val="0"/>
        <w:autoSpaceDN w:val="0"/>
        <w:adjustRightInd w:val="0"/>
        <w:ind w:left="7182" w:hanging="180"/>
      </w:pPr>
      <w:rPr>
        <w:rFonts w:ascii="Arial" w:hAnsi="Arial" w:cs="Arial"/>
        <w:sz w:val="24"/>
        <w:szCs w:val="24"/>
      </w:rPr>
    </w:lvl>
  </w:abstractNum>
  <w:abstractNum w:abstractNumId="17" w15:restartNumberingAfterBreak="0">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hint="default"/>
        <w:b w:val="0"/>
        <w:i w:val="0"/>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hint="default"/>
        <w:sz w:val="20"/>
        <w:szCs w:val="22"/>
      </w:rPr>
    </w:lvl>
    <w:lvl w:ilvl="2">
      <w:start w:val="1"/>
      <w:numFmt w:val="lowerRoman"/>
      <w:pStyle w:val="MRNumberedParas3"/>
      <w:lvlText w:val="(%3)"/>
      <w:lvlJc w:val="left"/>
      <w:pPr>
        <w:tabs>
          <w:tab w:val="num" w:pos="2160"/>
        </w:tabs>
        <w:ind w:left="2160" w:hanging="720"/>
      </w:pPr>
      <w:rPr>
        <w:rFonts w:ascii="Arial" w:hAnsi="Arial" w:hint="default"/>
        <w:sz w:val="20"/>
        <w:szCs w:val="22"/>
      </w:rPr>
    </w:lvl>
    <w:lvl w:ilvl="3">
      <w:start w:val="1"/>
      <w:numFmt w:val="upperLetter"/>
      <w:pStyle w:val="MRNumberedParas4"/>
      <w:lvlText w:val="(%4)"/>
      <w:lvlJc w:val="left"/>
      <w:pPr>
        <w:tabs>
          <w:tab w:val="num" w:pos="2880"/>
        </w:tabs>
        <w:ind w:left="2880" w:hanging="720"/>
      </w:pPr>
      <w:rPr>
        <w:rFonts w:ascii="Arial" w:hAnsi="Arial" w:hint="default"/>
        <w:b w:val="0"/>
        <w:i w:val="0"/>
        <w:caps w:val="0"/>
        <w:strike w:val="0"/>
        <w:dstrike w:val="0"/>
        <w:vanish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hint="default"/>
        <w:b w:val="0"/>
        <w:i w:val="0"/>
        <w:sz w:val="20"/>
        <w:szCs w:val="22"/>
        <w:u w:val="none"/>
      </w:rPr>
    </w:lvl>
    <w:lvl w:ilvl="5">
      <w:start w:val="1"/>
      <w:numFmt w:val="lowerLetter"/>
      <w:pStyle w:val="MRNumberedParas6"/>
      <w:lvlText w:val="%6)"/>
      <w:lvlJc w:val="left"/>
      <w:pPr>
        <w:tabs>
          <w:tab w:val="num" w:pos="4320"/>
        </w:tabs>
        <w:ind w:left="4320" w:hanging="720"/>
      </w:pPr>
      <w:rPr>
        <w:rFonts w:ascii="Arial" w:hAnsi="Arial" w:hint="default"/>
        <w:b w:val="0"/>
        <w:i w:val="0"/>
        <w:sz w:val="20"/>
        <w:szCs w:val="22"/>
        <w:u w:val="none"/>
      </w:rPr>
    </w:lvl>
    <w:lvl w:ilvl="6">
      <w:start w:val="1"/>
      <w:numFmt w:val="lowerRoman"/>
      <w:pStyle w:val="MRNumberedParas7"/>
      <w:lvlText w:val="%7)"/>
      <w:lvlJc w:val="left"/>
      <w:pPr>
        <w:tabs>
          <w:tab w:val="num" w:pos="5040"/>
        </w:tabs>
        <w:ind w:left="5040" w:hanging="720"/>
      </w:pPr>
      <w:rPr>
        <w:rFonts w:ascii="Arial" w:hAnsi="Arial" w:hint="default"/>
        <w:sz w:val="20"/>
        <w:szCs w:val="22"/>
      </w:rPr>
    </w:lvl>
    <w:lvl w:ilvl="7">
      <w:start w:val="1"/>
      <w:numFmt w:val="upperLetter"/>
      <w:pStyle w:val="MRNumberedParas8"/>
      <w:lvlText w:val="%8)"/>
      <w:lvlJc w:val="left"/>
      <w:pPr>
        <w:tabs>
          <w:tab w:val="num" w:pos="5760"/>
        </w:tabs>
        <w:ind w:left="5760" w:hanging="720"/>
      </w:pPr>
      <w:rPr>
        <w:rFonts w:ascii="Arial" w:hAnsi="Arial" w:hint="default"/>
        <w:sz w:val="20"/>
        <w:szCs w:val="22"/>
      </w:rPr>
    </w:lvl>
    <w:lvl w:ilvl="8">
      <w:start w:val="1"/>
      <w:numFmt w:val="decimal"/>
      <w:pStyle w:val="MRNumberedParas9"/>
      <w:lvlText w:val="%9"/>
      <w:lvlJc w:val="left"/>
      <w:pPr>
        <w:tabs>
          <w:tab w:val="num" w:pos="6480"/>
        </w:tabs>
        <w:ind w:left="6480" w:hanging="720"/>
      </w:pPr>
      <w:rPr>
        <w:rFonts w:ascii="Arial" w:hAnsi="Arial" w:hint="default"/>
        <w:sz w:val="20"/>
        <w:szCs w:val="22"/>
      </w:rPr>
    </w:lvl>
  </w:abstractNum>
  <w:abstractNum w:abstractNumId="18" w15:restartNumberingAfterBreak="0">
    <w:nsid w:val="2FF03B8A"/>
    <w:multiLevelType w:val="hybridMultilevel"/>
    <w:tmpl w:val="E56E6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602E2C"/>
    <w:multiLevelType w:val="hybridMultilevel"/>
    <w:tmpl w:val="23FAAF8A"/>
    <w:lvl w:ilvl="0" w:tplc="71BEE5E8">
      <w:start w:val="1"/>
      <w:numFmt w:val="bullet"/>
      <w:lvlText w:val=""/>
      <w:lvlJc w:val="left"/>
      <w:pPr>
        <w:ind w:left="720" w:hanging="360"/>
      </w:pPr>
      <w:rPr>
        <w:rFonts w:ascii="Symbol" w:hAnsi="Symbol" w:hint="default"/>
      </w:rPr>
    </w:lvl>
    <w:lvl w:ilvl="1" w:tplc="87A0A7C2" w:tentative="1">
      <w:start w:val="1"/>
      <w:numFmt w:val="bullet"/>
      <w:lvlText w:val="o"/>
      <w:lvlJc w:val="left"/>
      <w:pPr>
        <w:ind w:left="1440" w:hanging="360"/>
      </w:pPr>
      <w:rPr>
        <w:rFonts w:ascii="Courier New" w:hAnsi="Courier New" w:cs="Courier New" w:hint="default"/>
      </w:rPr>
    </w:lvl>
    <w:lvl w:ilvl="2" w:tplc="6452113E" w:tentative="1">
      <w:start w:val="1"/>
      <w:numFmt w:val="bullet"/>
      <w:lvlText w:val=""/>
      <w:lvlJc w:val="left"/>
      <w:pPr>
        <w:ind w:left="2160" w:hanging="360"/>
      </w:pPr>
      <w:rPr>
        <w:rFonts w:ascii="Wingdings" w:hAnsi="Wingdings" w:hint="default"/>
      </w:rPr>
    </w:lvl>
    <w:lvl w:ilvl="3" w:tplc="C248BFD4" w:tentative="1">
      <w:start w:val="1"/>
      <w:numFmt w:val="bullet"/>
      <w:lvlText w:val=""/>
      <w:lvlJc w:val="left"/>
      <w:pPr>
        <w:ind w:left="2880" w:hanging="360"/>
      </w:pPr>
      <w:rPr>
        <w:rFonts w:ascii="Symbol" w:hAnsi="Symbol" w:hint="default"/>
      </w:rPr>
    </w:lvl>
    <w:lvl w:ilvl="4" w:tplc="B5A88FF0" w:tentative="1">
      <w:start w:val="1"/>
      <w:numFmt w:val="bullet"/>
      <w:lvlText w:val="o"/>
      <w:lvlJc w:val="left"/>
      <w:pPr>
        <w:ind w:left="3600" w:hanging="360"/>
      </w:pPr>
      <w:rPr>
        <w:rFonts w:ascii="Courier New" w:hAnsi="Courier New" w:cs="Courier New" w:hint="default"/>
      </w:rPr>
    </w:lvl>
    <w:lvl w:ilvl="5" w:tplc="5C86F032" w:tentative="1">
      <w:start w:val="1"/>
      <w:numFmt w:val="bullet"/>
      <w:lvlText w:val=""/>
      <w:lvlJc w:val="left"/>
      <w:pPr>
        <w:ind w:left="4320" w:hanging="360"/>
      </w:pPr>
      <w:rPr>
        <w:rFonts w:ascii="Wingdings" w:hAnsi="Wingdings" w:hint="default"/>
      </w:rPr>
    </w:lvl>
    <w:lvl w:ilvl="6" w:tplc="32B246FC" w:tentative="1">
      <w:start w:val="1"/>
      <w:numFmt w:val="bullet"/>
      <w:lvlText w:val=""/>
      <w:lvlJc w:val="left"/>
      <w:pPr>
        <w:ind w:left="5040" w:hanging="360"/>
      </w:pPr>
      <w:rPr>
        <w:rFonts w:ascii="Symbol" w:hAnsi="Symbol" w:hint="default"/>
      </w:rPr>
    </w:lvl>
    <w:lvl w:ilvl="7" w:tplc="AD8C50CA" w:tentative="1">
      <w:start w:val="1"/>
      <w:numFmt w:val="bullet"/>
      <w:lvlText w:val="o"/>
      <w:lvlJc w:val="left"/>
      <w:pPr>
        <w:ind w:left="5760" w:hanging="360"/>
      </w:pPr>
      <w:rPr>
        <w:rFonts w:ascii="Courier New" w:hAnsi="Courier New" w:cs="Courier New" w:hint="default"/>
      </w:rPr>
    </w:lvl>
    <w:lvl w:ilvl="8" w:tplc="E4CE5A78" w:tentative="1">
      <w:start w:val="1"/>
      <w:numFmt w:val="bullet"/>
      <w:lvlText w:val=""/>
      <w:lvlJc w:val="left"/>
      <w:pPr>
        <w:ind w:left="6480" w:hanging="360"/>
      </w:pPr>
      <w:rPr>
        <w:rFonts w:ascii="Wingdings" w:hAnsi="Wingdings" w:hint="default"/>
      </w:rPr>
    </w:lvl>
  </w:abstractNum>
  <w:abstractNum w:abstractNumId="20" w15:restartNumberingAfterBreak="0">
    <w:nsid w:val="4C342EE0"/>
    <w:multiLevelType w:val="multilevel"/>
    <w:tmpl w:val="173CB65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797"/>
        </w:tabs>
        <w:ind w:left="1797" w:hanging="1077"/>
      </w:pPr>
      <w:rPr>
        <w:rFonts w:hint="default"/>
      </w:rPr>
    </w:lvl>
    <w:lvl w:ilvl="3">
      <w:start w:val="1"/>
      <w:numFmt w:val="lowerRoman"/>
      <w:lvlText w:val="(%4)"/>
      <w:lvlJc w:val="left"/>
      <w:pPr>
        <w:tabs>
          <w:tab w:val="num" w:pos="2517"/>
        </w:tabs>
        <w:ind w:left="2517" w:hanging="720"/>
      </w:pPr>
      <w:rPr>
        <w:rFonts w:hint="default"/>
      </w:rPr>
    </w:lvl>
    <w:lvl w:ilvl="4">
      <w:start w:val="1"/>
      <w:numFmt w:val="upperLetter"/>
      <w:lvlText w:val="(%5)"/>
      <w:lvlJc w:val="left"/>
      <w:pPr>
        <w:tabs>
          <w:tab w:val="num" w:pos="3237"/>
        </w:tabs>
        <w:ind w:left="3237" w:hanging="720"/>
      </w:pPr>
      <w:rPr>
        <w:rFonts w:hint="default"/>
      </w:rPr>
    </w:lvl>
    <w:lvl w:ilvl="5">
      <w:start w:val="1"/>
      <w:numFmt w:val="decimal"/>
      <w:lvlText w:val="%6)"/>
      <w:lvlJc w:val="left"/>
      <w:pPr>
        <w:tabs>
          <w:tab w:val="num" w:pos="3957"/>
        </w:tabs>
        <w:ind w:left="3957" w:hanging="720"/>
      </w:pPr>
      <w:rPr>
        <w:rFonts w:hint="default"/>
      </w:rPr>
    </w:lvl>
    <w:lvl w:ilvl="6">
      <w:start w:val="1"/>
      <w:numFmt w:val="lowerLetter"/>
      <w:lvlText w:val="%7)"/>
      <w:lvlJc w:val="left"/>
      <w:pPr>
        <w:tabs>
          <w:tab w:val="num" w:pos="4677"/>
        </w:tabs>
        <w:ind w:left="4677" w:hanging="720"/>
      </w:pPr>
      <w:rPr>
        <w:rFonts w:hint="default"/>
      </w:rPr>
    </w:lvl>
    <w:lvl w:ilvl="7">
      <w:start w:val="1"/>
      <w:numFmt w:val="lowerRoman"/>
      <w:lvlText w:val="%8)"/>
      <w:lvlJc w:val="left"/>
      <w:pPr>
        <w:tabs>
          <w:tab w:val="num" w:pos="5397"/>
        </w:tabs>
        <w:ind w:left="5397" w:hanging="720"/>
      </w:pPr>
      <w:rPr>
        <w:rFonts w:hint="default"/>
      </w:rPr>
    </w:lvl>
    <w:lvl w:ilvl="8">
      <w:start w:val="1"/>
      <w:numFmt w:val="upperLetter"/>
      <w:lvlText w:val="%9)"/>
      <w:lvlJc w:val="left"/>
      <w:pPr>
        <w:tabs>
          <w:tab w:val="num" w:pos="6117"/>
        </w:tabs>
        <w:ind w:left="6117" w:hanging="720"/>
      </w:pPr>
      <w:rPr>
        <w:rFonts w:hint="default"/>
      </w:rPr>
    </w:lvl>
  </w:abstractNum>
  <w:abstractNum w:abstractNumId="21" w15:restartNumberingAfterBreak="0">
    <w:nsid w:val="547E2D8F"/>
    <w:multiLevelType w:val="hybridMultilevel"/>
    <w:tmpl w:val="0ACA5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F360F5"/>
    <w:multiLevelType w:val="hybridMultilevel"/>
    <w:tmpl w:val="E2F4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03F6E"/>
    <w:multiLevelType w:val="multilevel"/>
    <w:tmpl w:val="B8AE839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797"/>
        </w:tabs>
        <w:ind w:left="1797" w:hanging="1077"/>
      </w:pPr>
      <w:rPr>
        <w:rFonts w:hint="default"/>
      </w:rPr>
    </w:lvl>
    <w:lvl w:ilvl="3">
      <w:start w:val="1"/>
      <w:numFmt w:val="lowerRoman"/>
      <w:lvlText w:val="(%4)"/>
      <w:lvlJc w:val="left"/>
      <w:pPr>
        <w:tabs>
          <w:tab w:val="num" w:pos="2517"/>
        </w:tabs>
        <w:ind w:left="2517" w:hanging="720"/>
      </w:pPr>
      <w:rPr>
        <w:rFonts w:hint="default"/>
      </w:rPr>
    </w:lvl>
    <w:lvl w:ilvl="4">
      <w:start w:val="1"/>
      <w:numFmt w:val="upperLetter"/>
      <w:lvlText w:val="(%5)"/>
      <w:lvlJc w:val="left"/>
      <w:pPr>
        <w:tabs>
          <w:tab w:val="num" w:pos="3237"/>
        </w:tabs>
        <w:ind w:left="3237" w:hanging="720"/>
      </w:pPr>
      <w:rPr>
        <w:rFonts w:hint="default"/>
      </w:rPr>
    </w:lvl>
    <w:lvl w:ilvl="5">
      <w:start w:val="1"/>
      <w:numFmt w:val="decimal"/>
      <w:lvlText w:val="%6)"/>
      <w:lvlJc w:val="left"/>
      <w:pPr>
        <w:tabs>
          <w:tab w:val="num" w:pos="3957"/>
        </w:tabs>
        <w:ind w:left="3957" w:hanging="720"/>
      </w:pPr>
      <w:rPr>
        <w:rFonts w:hint="default"/>
      </w:rPr>
    </w:lvl>
    <w:lvl w:ilvl="6">
      <w:start w:val="1"/>
      <w:numFmt w:val="lowerLetter"/>
      <w:lvlText w:val="%7)"/>
      <w:lvlJc w:val="left"/>
      <w:pPr>
        <w:tabs>
          <w:tab w:val="num" w:pos="4677"/>
        </w:tabs>
        <w:ind w:left="4677" w:hanging="720"/>
      </w:pPr>
      <w:rPr>
        <w:rFonts w:hint="default"/>
      </w:rPr>
    </w:lvl>
    <w:lvl w:ilvl="7">
      <w:start w:val="1"/>
      <w:numFmt w:val="lowerRoman"/>
      <w:lvlText w:val="%8)"/>
      <w:lvlJc w:val="left"/>
      <w:pPr>
        <w:tabs>
          <w:tab w:val="num" w:pos="5397"/>
        </w:tabs>
        <w:ind w:left="5397" w:hanging="720"/>
      </w:pPr>
      <w:rPr>
        <w:rFonts w:hint="default"/>
      </w:rPr>
    </w:lvl>
    <w:lvl w:ilvl="8">
      <w:start w:val="1"/>
      <w:numFmt w:val="upperLetter"/>
      <w:lvlText w:val="%9)"/>
      <w:lvlJc w:val="left"/>
      <w:pPr>
        <w:tabs>
          <w:tab w:val="num" w:pos="6117"/>
        </w:tabs>
        <w:ind w:left="6117" w:hanging="720"/>
      </w:pPr>
      <w:rPr>
        <w:rFonts w:hint="default"/>
      </w:rPr>
    </w:lvl>
  </w:abstractNum>
  <w:abstractNum w:abstractNumId="24" w15:restartNumberingAfterBreak="0">
    <w:nsid w:val="6A0F0397"/>
    <w:multiLevelType w:val="singleLevel"/>
    <w:tmpl w:val="CACEB852"/>
    <w:lvl w:ilvl="0">
      <w:start w:val="1"/>
      <w:numFmt w:val="decimal"/>
      <w:pStyle w:val="MRParties"/>
      <w:lvlText w:val="(%1)"/>
      <w:lvlJc w:val="left"/>
      <w:pPr>
        <w:tabs>
          <w:tab w:val="num" w:pos="720"/>
        </w:tabs>
        <w:ind w:left="720" w:hanging="720"/>
      </w:pPr>
      <w:rPr>
        <w:b w:val="0"/>
      </w:rPr>
    </w:lvl>
  </w:abstractNum>
  <w:abstractNum w:abstractNumId="25" w15:restartNumberingAfterBreak="0">
    <w:nsid w:val="6B96190F"/>
    <w:multiLevelType w:val="hybridMultilevel"/>
    <w:tmpl w:val="0B5C4278"/>
    <w:lvl w:ilvl="0" w:tplc="401AA728">
      <w:start w:val="1"/>
      <w:numFmt w:val="bullet"/>
      <w:lvlText w:val=""/>
      <w:lvlJc w:val="left"/>
      <w:pPr>
        <w:ind w:left="720" w:hanging="360"/>
      </w:pPr>
      <w:rPr>
        <w:rFonts w:ascii="Symbol" w:hAnsi="Symbol" w:hint="default"/>
      </w:rPr>
    </w:lvl>
    <w:lvl w:ilvl="1" w:tplc="425C2FEE" w:tentative="1">
      <w:start w:val="1"/>
      <w:numFmt w:val="bullet"/>
      <w:lvlText w:val="o"/>
      <w:lvlJc w:val="left"/>
      <w:pPr>
        <w:ind w:left="1440" w:hanging="360"/>
      </w:pPr>
      <w:rPr>
        <w:rFonts w:ascii="Courier New" w:hAnsi="Courier New" w:cs="Courier New" w:hint="default"/>
      </w:rPr>
    </w:lvl>
    <w:lvl w:ilvl="2" w:tplc="48CC45AC" w:tentative="1">
      <w:start w:val="1"/>
      <w:numFmt w:val="bullet"/>
      <w:lvlText w:val=""/>
      <w:lvlJc w:val="left"/>
      <w:pPr>
        <w:ind w:left="2160" w:hanging="360"/>
      </w:pPr>
      <w:rPr>
        <w:rFonts w:ascii="Wingdings" w:hAnsi="Wingdings" w:hint="default"/>
      </w:rPr>
    </w:lvl>
    <w:lvl w:ilvl="3" w:tplc="56F46870" w:tentative="1">
      <w:start w:val="1"/>
      <w:numFmt w:val="bullet"/>
      <w:lvlText w:val=""/>
      <w:lvlJc w:val="left"/>
      <w:pPr>
        <w:ind w:left="2880" w:hanging="360"/>
      </w:pPr>
      <w:rPr>
        <w:rFonts w:ascii="Symbol" w:hAnsi="Symbol" w:hint="default"/>
      </w:rPr>
    </w:lvl>
    <w:lvl w:ilvl="4" w:tplc="20C814BC" w:tentative="1">
      <w:start w:val="1"/>
      <w:numFmt w:val="bullet"/>
      <w:lvlText w:val="o"/>
      <w:lvlJc w:val="left"/>
      <w:pPr>
        <w:ind w:left="3600" w:hanging="360"/>
      </w:pPr>
      <w:rPr>
        <w:rFonts w:ascii="Courier New" w:hAnsi="Courier New" w:cs="Courier New" w:hint="default"/>
      </w:rPr>
    </w:lvl>
    <w:lvl w:ilvl="5" w:tplc="DA12777E" w:tentative="1">
      <w:start w:val="1"/>
      <w:numFmt w:val="bullet"/>
      <w:lvlText w:val=""/>
      <w:lvlJc w:val="left"/>
      <w:pPr>
        <w:ind w:left="4320" w:hanging="360"/>
      </w:pPr>
      <w:rPr>
        <w:rFonts w:ascii="Wingdings" w:hAnsi="Wingdings" w:hint="default"/>
      </w:rPr>
    </w:lvl>
    <w:lvl w:ilvl="6" w:tplc="9926BC6A" w:tentative="1">
      <w:start w:val="1"/>
      <w:numFmt w:val="bullet"/>
      <w:lvlText w:val=""/>
      <w:lvlJc w:val="left"/>
      <w:pPr>
        <w:ind w:left="5040" w:hanging="360"/>
      </w:pPr>
      <w:rPr>
        <w:rFonts w:ascii="Symbol" w:hAnsi="Symbol" w:hint="default"/>
      </w:rPr>
    </w:lvl>
    <w:lvl w:ilvl="7" w:tplc="DFD478DC" w:tentative="1">
      <w:start w:val="1"/>
      <w:numFmt w:val="bullet"/>
      <w:lvlText w:val="o"/>
      <w:lvlJc w:val="left"/>
      <w:pPr>
        <w:ind w:left="5760" w:hanging="360"/>
      </w:pPr>
      <w:rPr>
        <w:rFonts w:ascii="Courier New" w:hAnsi="Courier New" w:cs="Courier New" w:hint="default"/>
      </w:rPr>
    </w:lvl>
    <w:lvl w:ilvl="8" w:tplc="0F2C8C42" w:tentative="1">
      <w:start w:val="1"/>
      <w:numFmt w:val="bullet"/>
      <w:lvlText w:val=""/>
      <w:lvlJc w:val="left"/>
      <w:pPr>
        <w:ind w:left="6480" w:hanging="360"/>
      </w:pPr>
      <w:rPr>
        <w:rFonts w:ascii="Wingdings" w:hAnsi="Wingdings" w:hint="default"/>
      </w:rPr>
    </w:lvl>
  </w:abstractNum>
  <w:abstractNum w:abstractNumId="26" w15:restartNumberingAfterBreak="0">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27" w15:restartNumberingAfterBreak="0">
    <w:nsid w:val="6CB107B5"/>
    <w:multiLevelType w:val="hybridMultilevel"/>
    <w:tmpl w:val="02F84268"/>
    <w:lvl w:ilvl="0" w:tplc="E8689644">
      <w:start w:val="1"/>
      <w:numFmt w:val="bullet"/>
      <w:lvlText w:val=""/>
      <w:lvlJc w:val="left"/>
      <w:pPr>
        <w:ind w:left="720" w:hanging="360"/>
      </w:pPr>
      <w:rPr>
        <w:rFonts w:ascii="Symbol" w:hAnsi="Symbol" w:hint="default"/>
      </w:rPr>
    </w:lvl>
    <w:lvl w:ilvl="1" w:tplc="4316FDFE" w:tentative="1">
      <w:start w:val="1"/>
      <w:numFmt w:val="bullet"/>
      <w:lvlText w:val="o"/>
      <w:lvlJc w:val="left"/>
      <w:pPr>
        <w:ind w:left="1440" w:hanging="360"/>
      </w:pPr>
      <w:rPr>
        <w:rFonts w:ascii="Courier New" w:hAnsi="Courier New" w:cs="Courier New" w:hint="default"/>
      </w:rPr>
    </w:lvl>
    <w:lvl w:ilvl="2" w:tplc="B36A9D8C" w:tentative="1">
      <w:start w:val="1"/>
      <w:numFmt w:val="bullet"/>
      <w:lvlText w:val=""/>
      <w:lvlJc w:val="left"/>
      <w:pPr>
        <w:ind w:left="2160" w:hanging="360"/>
      </w:pPr>
      <w:rPr>
        <w:rFonts w:ascii="Wingdings" w:hAnsi="Wingdings" w:hint="default"/>
      </w:rPr>
    </w:lvl>
    <w:lvl w:ilvl="3" w:tplc="7236F550" w:tentative="1">
      <w:start w:val="1"/>
      <w:numFmt w:val="bullet"/>
      <w:lvlText w:val=""/>
      <w:lvlJc w:val="left"/>
      <w:pPr>
        <w:ind w:left="2880" w:hanging="360"/>
      </w:pPr>
      <w:rPr>
        <w:rFonts w:ascii="Symbol" w:hAnsi="Symbol" w:hint="default"/>
      </w:rPr>
    </w:lvl>
    <w:lvl w:ilvl="4" w:tplc="8F24E032" w:tentative="1">
      <w:start w:val="1"/>
      <w:numFmt w:val="bullet"/>
      <w:lvlText w:val="o"/>
      <w:lvlJc w:val="left"/>
      <w:pPr>
        <w:ind w:left="3600" w:hanging="360"/>
      </w:pPr>
      <w:rPr>
        <w:rFonts w:ascii="Courier New" w:hAnsi="Courier New" w:cs="Courier New" w:hint="default"/>
      </w:rPr>
    </w:lvl>
    <w:lvl w:ilvl="5" w:tplc="81C4A438" w:tentative="1">
      <w:start w:val="1"/>
      <w:numFmt w:val="bullet"/>
      <w:lvlText w:val=""/>
      <w:lvlJc w:val="left"/>
      <w:pPr>
        <w:ind w:left="4320" w:hanging="360"/>
      </w:pPr>
      <w:rPr>
        <w:rFonts w:ascii="Wingdings" w:hAnsi="Wingdings" w:hint="default"/>
      </w:rPr>
    </w:lvl>
    <w:lvl w:ilvl="6" w:tplc="A678E1CA" w:tentative="1">
      <w:start w:val="1"/>
      <w:numFmt w:val="bullet"/>
      <w:lvlText w:val=""/>
      <w:lvlJc w:val="left"/>
      <w:pPr>
        <w:ind w:left="5040" w:hanging="360"/>
      </w:pPr>
      <w:rPr>
        <w:rFonts w:ascii="Symbol" w:hAnsi="Symbol" w:hint="default"/>
      </w:rPr>
    </w:lvl>
    <w:lvl w:ilvl="7" w:tplc="9D5EB4DA" w:tentative="1">
      <w:start w:val="1"/>
      <w:numFmt w:val="bullet"/>
      <w:lvlText w:val="o"/>
      <w:lvlJc w:val="left"/>
      <w:pPr>
        <w:ind w:left="5760" w:hanging="360"/>
      </w:pPr>
      <w:rPr>
        <w:rFonts w:ascii="Courier New" w:hAnsi="Courier New" w:cs="Courier New" w:hint="default"/>
      </w:rPr>
    </w:lvl>
    <w:lvl w:ilvl="8" w:tplc="8368D2F4" w:tentative="1">
      <w:start w:val="1"/>
      <w:numFmt w:val="bullet"/>
      <w:lvlText w:val=""/>
      <w:lvlJc w:val="left"/>
      <w:pPr>
        <w:ind w:left="6480" w:hanging="360"/>
      </w:pPr>
      <w:rPr>
        <w:rFonts w:ascii="Wingdings" w:hAnsi="Wingdings" w:hint="default"/>
      </w:rPr>
    </w:lvl>
  </w:abstractNum>
  <w:abstractNum w:abstractNumId="28" w15:restartNumberingAfterBreak="0">
    <w:nsid w:val="739448BA"/>
    <w:multiLevelType w:val="hybridMultilevel"/>
    <w:tmpl w:val="71E2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b w:val="0"/>
        <w:i w:val="0"/>
        <w:sz w:val="22"/>
        <w:szCs w:val="22"/>
        <w:u w:val="none"/>
      </w:rPr>
    </w:lvl>
    <w:lvl w:ilvl="5">
      <w:start w:val="1"/>
      <w:numFmt w:val="lowerLetter"/>
      <w:pStyle w:val="MRLMA6"/>
      <w:lvlText w:val="%6)"/>
      <w:lvlJc w:val="left"/>
      <w:pPr>
        <w:tabs>
          <w:tab w:val="num" w:pos="4320"/>
        </w:tabs>
        <w:ind w:left="4320" w:hanging="720"/>
      </w:pPr>
      <w:rPr>
        <w:b w:val="0"/>
        <w:i w:val="0"/>
        <w:sz w:val="22"/>
        <w:szCs w:val="22"/>
        <w:u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30" w15:restartNumberingAfterBreak="0">
    <w:nsid w:val="7C2579F8"/>
    <w:multiLevelType w:val="hybridMultilevel"/>
    <w:tmpl w:val="F496C4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9"/>
  </w:num>
  <w:num w:numId="4">
    <w:abstractNumId w:val="11"/>
  </w:num>
  <w:num w:numId="5">
    <w:abstractNumId w:val="10"/>
  </w:num>
  <w:num w:numId="6">
    <w:abstractNumId w:val="8"/>
  </w:num>
  <w:num w:numId="7">
    <w:abstractNumId w:val="0"/>
  </w:num>
  <w:num w:numId="8">
    <w:abstractNumId w:val="20"/>
  </w:num>
  <w:num w:numId="9">
    <w:abstractNumId w:val="13"/>
  </w:num>
  <w:num w:numId="10">
    <w:abstractNumId w:val="29"/>
  </w:num>
  <w:num w:numId="11">
    <w:abstractNumId w:val="14"/>
  </w:num>
  <w:num w:numId="12">
    <w:abstractNumId w:val="24"/>
  </w:num>
  <w:num w:numId="13">
    <w:abstractNumId w:val="26"/>
  </w:num>
  <w:num w:numId="14">
    <w:abstractNumId w:val="16"/>
  </w:num>
  <w:num w:numId="15">
    <w:abstractNumId w:val="20"/>
  </w:num>
  <w:num w:numId="16">
    <w:abstractNumId w:val="20"/>
  </w:num>
  <w:num w:numId="17">
    <w:abstractNumId w:val="20"/>
  </w:num>
  <w:num w:numId="18">
    <w:abstractNumId w:val="20"/>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9"/>
  </w:num>
  <w:num w:numId="26">
    <w:abstractNumId w:val="25"/>
  </w:num>
  <w:num w:numId="27">
    <w:abstractNumId w:val="15"/>
  </w:num>
  <w:num w:numId="28">
    <w:abstractNumId w:val="17"/>
  </w:num>
  <w:num w:numId="29">
    <w:abstractNumId w:val="23"/>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22"/>
  </w:num>
  <w:num w:numId="38">
    <w:abstractNumId w:val="30"/>
  </w:num>
  <w:num w:numId="39">
    <w:abstractNumId w:val="28"/>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2AA"/>
    <w:rsid w:val="000165CB"/>
    <w:rsid w:val="00036979"/>
    <w:rsid w:val="000732AB"/>
    <w:rsid w:val="000A1FE4"/>
    <w:rsid w:val="000A20EB"/>
    <w:rsid w:val="000A23C2"/>
    <w:rsid w:val="000B3266"/>
    <w:rsid w:val="000C2F0C"/>
    <w:rsid w:val="000C32EC"/>
    <w:rsid w:val="000D479C"/>
    <w:rsid w:val="000E10E6"/>
    <w:rsid w:val="000E1E14"/>
    <w:rsid w:val="000E599C"/>
    <w:rsid w:val="00124E62"/>
    <w:rsid w:val="00134BC9"/>
    <w:rsid w:val="00144A60"/>
    <w:rsid w:val="00146714"/>
    <w:rsid w:val="00184FD1"/>
    <w:rsid w:val="0018583C"/>
    <w:rsid w:val="00195A4F"/>
    <w:rsid w:val="001A3A7F"/>
    <w:rsid w:val="001D6735"/>
    <w:rsid w:val="001E3DB7"/>
    <w:rsid w:val="0020404D"/>
    <w:rsid w:val="002057D2"/>
    <w:rsid w:val="0021022B"/>
    <w:rsid w:val="002156B6"/>
    <w:rsid w:val="00232B17"/>
    <w:rsid w:val="00245388"/>
    <w:rsid w:val="002459D1"/>
    <w:rsid w:val="00247B1A"/>
    <w:rsid w:val="00257AB6"/>
    <w:rsid w:val="00262089"/>
    <w:rsid w:val="00295685"/>
    <w:rsid w:val="002972A3"/>
    <w:rsid w:val="002A57D8"/>
    <w:rsid w:val="002B1020"/>
    <w:rsid w:val="002C6F01"/>
    <w:rsid w:val="002D7C9A"/>
    <w:rsid w:val="00307632"/>
    <w:rsid w:val="003130E6"/>
    <w:rsid w:val="0031430F"/>
    <w:rsid w:val="00354E7B"/>
    <w:rsid w:val="0036101E"/>
    <w:rsid w:val="003612AE"/>
    <w:rsid w:val="00371F2A"/>
    <w:rsid w:val="00397901"/>
    <w:rsid w:val="003A57CB"/>
    <w:rsid w:val="003B108F"/>
    <w:rsid w:val="003B6862"/>
    <w:rsid w:val="003E48FD"/>
    <w:rsid w:val="003E61A6"/>
    <w:rsid w:val="003F0136"/>
    <w:rsid w:val="003F3285"/>
    <w:rsid w:val="004301A5"/>
    <w:rsid w:val="0047523F"/>
    <w:rsid w:val="0047588B"/>
    <w:rsid w:val="00480188"/>
    <w:rsid w:val="004B7ACA"/>
    <w:rsid w:val="004C06F0"/>
    <w:rsid w:val="004C7697"/>
    <w:rsid w:val="004E0773"/>
    <w:rsid w:val="004F1410"/>
    <w:rsid w:val="0051779F"/>
    <w:rsid w:val="005311F8"/>
    <w:rsid w:val="00531DE0"/>
    <w:rsid w:val="00535354"/>
    <w:rsid w:val="00535564"/>
    <w:rsid w:val="00550705"/>
    <w:rsid w:val="00555A63"/>
    <w:rsid w:val="00574914"/>
    <w:rsid w:val="00576183"/>
    <w:rsid w:val="005917F1"/>
    <w:rsid w:val="005920EB"/>
    <w:rsid w:val="005C6EB9"/>
    <w:rsid w:val="005D5DAE"/>
    <w:rsid w:val="005D7285"/>
    <w:rsid w:val="005D7B3C"/>
    <w:rsid w:val="005E7857"/>
    <w:rsid w:val="005F0577"/>
    <w:rsid w:val="005F6576"/>
    <w:rsid w:val="00606AFE"/>
    <w:rsid w:val="00615874"/>
    <w:rsid w:val="00620261"/>
    <w:rsid w:val="006211E2"/>
    <w:rsid w:val="006220E4"/>
    <w:rsid w:val="006342F2"/>
    <w:rsid w:val="00645619"/>
    <w:rsid w:val="00650A56"/>
    <w:rsid w:val="00653005"/>
    <w:rsid w:val="00662535"/>
    <w:rsid w:val="00666450"/>
    <w:rsid w:val="00671043"/>
    <w:rsid w:val="006808D4"/>
    <w:rsid w:val="006870DA"/>
    <w:rsid w:val="006A6713"/>
    <w:rsid w:val="006D78CB"/>
    <w:rsid w:val="006E2985"/>
    <w:rsid w:val="006E66EC"/>
    <w:rsid w:val="006F54AD"/>
    <w:rsid w:val="00725F72"/>
    <w:rsid w:val="00726B4C"/>
    <w:rsid w:val="00735F53"/>
    <w:rsid w:val="00741F3F"/>
    <w:rsid w:val="00780D97"/>
    <w:rsid w:val="007B7046"/>
    <w:rsid w:val="007D54A0"/>
    <w:rsid w:val="0082101D"/>
    <w:rsid w:val="008360D1"/>
    <w:rsid w:val="0084009B"/>
    <w:rsid w:val="00856AD5"/>
    <w:rsid w:val="00857156"/>
    <w:rsid w:val="00864AA4"/>
    <w:rsid w:val="00867A1B"/>
    <w:rsid w:val="00883D1A"/>
    <w:rsid w:val="00885B3C"/>
    <w:rsid w:val="008A197D"/>
    <w:rsid w:val="008A4449"/>
    <w:rsid w:val="008A6495"/>
    <w:rsid w:val="008B0B38"/>
    <w:rsid w:val="009157C2"/>
    <w:rsid w:val="00915D87"/>
    <w:rsid w:val="00953E3D"/>
    <w:rsid w:val="00971F51"/>
    <w:rsid w:val="009A35B4"/>
    <w:rsid w:val="009D38A4"/>
    <w:rsid w:val="009E166B"/>
    <w:rsid w:val="009F142F"/>
    <w:rsid w:val="009F54CA"/>
    <w:rsid w:val="009F596C"/>
    <w:rsid w:val="00A3306B"/>
    <w:rsid w:val="00A37986"/>
    <w:rsid w:val="00A73E3F"/>
    <w:rsid w:val="00AA25B8"/>
    <w:rsid w:val="00AB076E"/>
    <w:rsid w:val="00AC5EA3"/>
    <w:rsid w:val="00AC7DDE"/>
    <w:rsid w:val="00AE0F61"/>
    <w:rsid w:val="00AE20F0"/>
    <w:rsid w:val="00AE7E20"/>
    <w:rsid w:val="00AF4267"/>
    <w:rsid w:val="00B018AD"/>
    <w:rsid w:val="00B07CEF"/>
    <w:rsid w:val="00B11CD5"/>
    <w:rsid w:val="00B127CF"/>
    <w:rsid w:val="00B24BC3"/>
    <w:rsid w:val="00B56892"/>
    <w:rsid w:val="00BA5A29"/>
    <w:rsid w:val="00BB5CBA"/>
    <w:rsid w:val="00BE5F66"/>
    <w:rsid w:val="00C1294F"/>
    <w:rsid w:val="00C15C06"/>
    <w:rsid w:val="00C34449"/>
    <w:rsid w:val="00C64F97"/>
    <w:rsid w:val="00C8430F"/>
    <w:rsid w:val="00C876F6"/>
    <w:rsid w:val="00C93F5C"/>
    <w:rsid w:val="00CE3C09"/>
    <w:rsid w:val="00CE7AD9"/>
    <w:rsid w:val="00D03289"/>
    <w:rsid w:val="00D159D1"/>
    <w:rsid w:val="00D32FB8"/>
    <w:rsid w:val="00D559A2"/>
    <w:rsid w:val="00D565C0"/>
    <w:rsid w:val="00D63306"/>
    <w:rsid w:val="00D70DC9"/>
    <w:rsid w:val="00D77723"/>
    <w:rsid w:val="00D81592"/>
    <w:rsid w:val="00D81CC6"/>
    <w:rsid w:val="00D91683"/>
    <w:rsid w:val="00D95C49"/>
    <w:rsid w:val="00DB1502"/>
    <w:rsid w:val="00DE12AA"/>
    <w:rsid w:val="00DF2ACF"/>
    <w:rsid w:val="00E00361"/>
    <w:rsid w:val="00E00C40"/>
    <w:rsid w:val="00E17711"/>
    <w:rsid w:val="00E25448"/>
    <w:rsid w:val="00E27FAF"/>
    <w:rsid w:val="00E36176"/>
    <w:rsid w:val="00E43BB9"/>
    <w:rsid w:val="00E50847"/>
    <w:rsid w:val="00E5209D"/>
    <w:rsid w:val="00E812FF"/>
    <w:rsid w:val="00E8221D"/>
    <w:rsid w:val="00EA50E8"/>
    <w:rsid w:val="00EC28E1"/>
    <w:rsid w:val="00F13DC1"/>
    <w:rsid w:val="00F16E20"/>
    <w:rsid w:val="00F407B7"/>
    <w:rsid w:val="00F4241F"/>
    <w:rsid w:val="00F5465D"/>
    <w:rsid w:val="00F82C94"/>
    <w:rsid w:val="00F84352"/>
    <w:rsid w:val="00FB1D8F"/>
    <w:rsid w:val="00FE14C2"/>
    <w:rsid w:val="00FF0AC6"/>
    <w:rsid w:val="00FF1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EA103E9"/>
  <w15:chartTrackingRefBased/>
  <w15:docId w15:val="{913B479E-7365-43B8-8E4D-3F9B1BD9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166A"/>
    <w:pPr>
      <w:widowControl w:val="0"/>
      <w:suppressAutoHyphens/>
      <w:autoSpaceDE w:val="0"/>
      <w:autoSpaceDN w:val="0"/>
      <w:adjustRightInd w:val="0"/>
    </w:pPr>
    <w:rPr>
      <w:rFonts w:ascii="Arial" w:hAnsi="Arial" w:cs="Arial"/>
      <w:sz w:val="24"/>
      <w:szCs w:val="24"/>
      <w:lang w:eastAsia="en-US"/>
    </w:rPr>
  </w:style>
  <w:style w:type="paragraph" w:styleId="Heading1">
    <w:name w:val="heading 1"/>
    <w:aliases w:val="h1"/>
    <w:basedOn w:val="Normal"/>
    <w:next w:val="Normal"/>
    <w:qFormat/>
    <w:pPr>
      <w:keepNext/>
      <w:spacing w:line="360" w:lineRule="auto"/>
      <w:outlineLvl w:val="0"/>
    </w:pPr>
    <w:rPr>
      <w:rFonts w:ascii="Times New Roman" w:hAnsi="Times New Roman" w:cs="Times New Roman"/>
      <w:b/>
      <w:bCs/>
      <w:i/>
      <w:iCs/>
      <w:sz w:val="22"/>
      <w:szCs w:val="22"/>
    </w:rPr>
  </w:style>
  <w:style w:type="paragraph" w:styleId="Heading2">
    <w:name w:val="heading 2"/>
    <w:aliases w:val="h2"/>
    <w:basedOn w:val="Normal"/>
    <w:next w:val="Normal"/>
    <w:qFormat/>
    <w:pPr>
      <w:keepNext/>
      <w:suppressAutoHyphens w:val="0"/>
      <w:spacing w:before="240" w:after="60" w:line="260" w:lineRule="atLeast"/>
      <w:jc w:val="both"/>
      <w:outlineLvl w:val="1"/>
    </w:pPr>
    <w:rPr>
      <w:b/>
      <w:bCs/>
      <w:i/>
      <w:iCs/>
      <w:sz w:val="28"/>
      <w:szCs w:val="28"/>
    </w:rPr>
  </w:style>
  <w:style w:type="paragraph" w:styleId="Heading3">
    <w:name w:val="heading 3"/>
    <w:aliases w:val="h3"/>
    <w:basedOn w:val="Normal"/>
    <w:next w:val="Normal"/>
    <w:qFormat/>
    <w:pPr>
      <w:keepNext/>
      <w:numPr>
        <w:ilvl w:val="2"/>
        <w:numId w:val="3"/>
      </w:numPr>
      <w:spacing w:before="240" w:after="60"/>
      <w:outlineLvl w:val="2"/>
    </w:pPr>
    <w:rPr>
      <w:b/>
      <w:bCs/>
      <w:sz w:val="26"/>
      <w:szCs w:val="26"/>
    </w:rPr>
  </w:style>
  <w:style w:type="paragraph" w:styleId="Heading4">
    <w:name w:val="heading 4"/>
    <w:aliases w:val="h4"/>
    <w:basedOn w:val="Normal"/>
    <w:next w:val="Normal"/>
    <w:qFormat/>
    <w:pPr>
      <w:keepNext/>
      <w:numPr>
        <w:ilvl w:val="3"/>
        <w:numId w:val="3"/>
      </w:numPr>
      <w:tabs>
        <w:tab w:val="clear" w:pos="0"/>
      </w:tabs>
      <w:spacing w:before="240" w:after="60"/>
      <w:outlineLvl w:val="3"/>
    </w:pPr>
    <w:rPr>
      <w:rFonts w:ascii="Times New Roman" w:hAnsi="Times New Roman" w:cs="Times New Roman"/>
      <w:b/>
      <w:bCs/>
      <w:sz w:val="28"/>
      <w:szCs w:val="28"/>
    </w:rPr>
  </w:style>
  <w:style w:type="paragraph" w:styleId="Heading5">
    <w:name w:val="heading 5"/>
    <w:aliases w:val="h5"/>
    <w:basedOn w:val="Normal"/>
    <w:next w:val="Normal"/>
    <w:qFormat/>
    <w:pPr>
      <w:numPr>
        <w:ilvl w:val="4"/>
        <w:numId w:val="3"/>
      </w:numPr>
      <w:tabs>
        <w:tab w:val="clear" w:pos="0"/>
      </w:tabs>
      <w:spacing w:before="240" w:after="60"/>
      <w:outlineLvl w:val="4"/>
    </w:pPr>
    <w:rPr>
      <w:b/>
      <w:bCs/>
      <w:i/>
      <w:iCs/>
      <w:sz w:val="26"/>
      <w:szCs w:val="26"/>
    </w:rPr>
  </w:style>
  <w:style w:type="paragraph" w:styleId="Heading6">
    <w:name w:val="heading 6"/>
    <w:aliases w:val="h6"/>
    <w:basedOn w:val="Normal"/>
    <w:next w:val="Normal"/>
    <w:qFormat/>
    <w:pPr>
      <w:numPr>
        <w:ilvl w:val="5"/>
        <w:numId w:val="3"/>
      </w:numPr>
      <w:tabs>
        <w:tab w:val="clear" w:pos="0"/>
      </w:tabs>
      <w:spacing w:before="240" w:after="60"/>
      <w:outlineLvl w:val="5"/>
    </w:pPr>
    <w:rPr>
      <w:rFonts w:ascii="Times New Roman" w:hAnsi="Times New Roman" w:cs="Times New Roman"/>
      <w:b/>
      <w:bCs/>
      <w:sz w:val="22"/>
      <w:szCs w:val="22"/>
    </w:rPr>
  </w:style>
  <w:style w:type="paragraph" w:styleId="Heading7">
    <w:name w:val="heading 7"/>
    <w:aliases w:val="h7"/>
    <w:basedOn w:val="Normal"/>
    <w:next w:val="Normal"/>
    <w:qFormat/>
    <w:pPr>
      <w:numPr>
        <w:ilvl w:val="6"/>
        <w:numId w:val="3"/>
      </w:numPr>
      <w:tabs>
        <w:tab w:val="clear" w:pos="0"/>
      </w:tabs>
      <w:spacing w:before="240" w:after="60"/>
      <w:outlineLvl w:val="6"/>
    </w:pPr>
    <w:rPr>
      <w:rFonts w:ascii="Times New Roman" w:hAnsi="Times New Roman" w:cs="Times New Roman"/>
    </w:rPr>
  </w:style>
  <w:style w:type="paragraph" w:styleId="Heading8">
    <w:name w:val="heading 8"/>
    <w:aliases w:val="h8"/>
    <w:basedOn w:val="Normal"/>
    <w:next w:val="Normal"/>
    <w:qFormat/>
    <w:pPr>
      <w:numPr>
        <w:ilvl w:val="7"/>
        <w:numId w:val="3"/>
      </w:numPr>
      <w:tabs>
        <w:tab w:val="clear" w:pos="0"/>
      </w:tabs>
      <w:spacing w:before="240" w:after="60"/>
      <w:outlineLvl w:val="7"/>
    </w:pPr>
    <w:rPr>
      <w:rFonts w:ascii="Times New Roman" w:hAnsi="Times New Roman" w:cs="Times New Roman"/>
      <w:i/>
      <w:iCs/>
    </w:rPr>
  </w:style>
  <w:style w:type="paragraph" w:styleId="Heading9">
    <w:name w:val="heading 9"/>
    <w:aliases w:val="h9"/>
    <w:basedOn w:val="Normal"/>
    <w:next w:val="Normal"/>
    <w:qFormat/>
    <w:pPr>
      <w:numPr>
        <w:ilvl w:val="8"/>
        <w:numId w:val="3"/>
      </w:numPr>
      <w:tabs>
        <w:tab w:val="clear" w:pos="0"/>
      </w:tabs>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Arial" w:hAnsi="Arial" w:cs="Arial"/>
      <w:sz w:val="24"/>
      <w:szCs w:val="24"/>
      <w:u w:val="none"/>
      <w:lang w:val="fr-FR"/>
    </w:rPr>
  </w:style>
  <w:style w:type="character" w:customStyle="1" w:styleId="WW8Num1z5">
    <w:name w:val="WW8Num1z5"/>
    <w:rPr>
      <w:rFonts w:ascii="Times New Roman" w:hAnsi="Times New Roman" w:cs="Times New Roman"/>
      <w:sz w:val="24"/>
      <w:szCs w:val="24"/>
      <w:u w:val="none"/>
      <w:lang w:val="fr-FR"/>
    </w:rPr>
  </w:style>
  <w:style w:type="character" w:customStyle="1" w:styleId="WW8Num2z0">
    <w:name w:val="WW8Num2z0"/>
    <w:rPr>
      <w:rFonts w:ascii="Arial" w:hAnsi="Arial" w:cs="Arial"/>
      <w:sz w:val="24"/>
      <w:szCs w:val="24"/>
      <w:u w:val="none"/>
      <w:lang w:val="fr-FR"/>
    </w:rPr>
  </w:style>
  <w:style w:type="character" w:customStyle="1" w:styleId="WW8Num2z5">
    <w:name w:val="WW8Num2z5"/>
    <w:rPr>
      <w:rFonts w:ascii="Times New Roman" w:hAnsi="Times New Roman" w:cs="Times New Roman"/>
      <w:sz w:val="24"/>
      <w:szCs w:val="24"/>
      <w:u w:val="none"/>
      <w:lang w:val="fr-FR"/>
    </w:rPr>
  </w:style>
  <w:style w:type="character" w:customStyle="1" w:styleId="WW8Num4z0">
    <w:name w:val="WW8Num4z0"/>
    <w:rPr>
      <w:rFonts w:ascii="Arial" w:hAnsi="Arial" w:cs="Arial"/>
      <w:b/>
      <w:bCs/>
      <w:color w:val="000000"/>
      <w:sz w:val="24"/>
      <w:szCs w:val="24"/>
      <w:lang w:val="fr-FR"/>
    </w:rPr>
  </w:style>
  <w:style w:type="character" w:customStyle="1" w:styleId="WW8Num4z1">
    <w:name w:val="WW8Num4z1"/>
    <w:rPr>
      <w:rFonts w:ascii="Times New Roman" w:hAnsi="Times New Roman" w:cs="Times New Roman"/>
      <w:color w:val="000000"/>
      <w:sz w:val="24"/>
      <w:szCs w:val="24"/>
      <w:lang w:val="fr-FR"/>
    </w:rPr>
  </w:style>
  <w:style w:type="character" w:customStyle="1" w:styleId="WW8Num4z2">
    <w:name w:val="WW8Num4z2"/>
    <w:rPr>
      <w:rFonts w:ascii="Arial" w:hAnsi="Arial" w:cs="Arial"/>
      <w:color w:val="000000"/>
      <w:sz w:val="24"/>
      <w:szCs w:val="24"/>
      <w:u w:val="none"/>
      <w:lang w:val="fr-FR"/>
    </w:rPr>
  </w:style>
  <w:style w:type="character" w:customStyle="1" w:styleId="WW8Num4z3">
    <w:name w:val="WW8Num4z3"/>
    <w:rPr>
      <w:rFonts w:ascii="Arial" w:hAnsi="Arial" w:cs="Arial"/>
      <w:color w:val="000000"/>
      <w:sz w:val="24"/>
      <w:szCs w:val="24"/>
      <w:u w:val="none"/>
      <w:lang w:val="fr-FR"/>
    </w:rPr>
  </w:style>
  <w:style w:type="character" w:customStyle="1" w:styleId="Absatz-Standardschriftart">
    <w:name w:val="Absatz-Standardschriftart"/>
    <w:rPr>
      <w:rFonts w:ascii="Arial" w:hAnsi="Arial" w:cs="Arial"/>
      <w:sz w:val="24"/>
      <w:szCs w:val="24"/>
      <w:lang w:val="fr-FR"/>
    </w:rPr>
  </w:style>
  <w:style w:type="character" w:customStyle="1" w:styleId="WW-Absatz-Standardschriftart">
    <w:name w:val="WW-Absatz-Standardschriftart"/>
    <w:rPr>
      <w:rFonts w:ascii="Arial" w:hAnsi="Arial" w:cs="Arial"/>
      <w:sz w:val="24"/>
      <w:szCs w:val="24"/>
      <w:lang w:val="fr-FR"/>
    </w:rPr>
  </w:style>
  <w:style w:type="character" w:customStyle="1" w:styleId="WW-Absatz-Standardschriftart1">
    <w:name w:val="WW-Absatz-Standardschriftart1"/>
    <w:rPr>
      <w:rFonts w:ascii="Arial" w:hAnsi="Arial" w:cs="Arial"/>
      <w:sz w:val="24"/>
      <w:szCs w:val="24"/>
      <w:lang w:val="fr-FR"/>
    </w:rPr>
  </w:style>
  <w:style w:type="character" w:customStyle="1" w:styleId="WW-Absatz-Standardschriftart11">
    <w:name w:val="WW-Absatz-Standardschriftart11"/>
    <w:rPr>
      <w:rFonts w:ascii="Arial" w:hAnsi="Arial" w:cs="Arial"/>
      <w:sz w:val="24"/>
      <w:szCs w:val="24"/>
      <w:lang w:val="fr-FR"/>
    </w:rPr>
  </w:style>
  <w:style w:type="character" w:customStyle="1" w:styleId="WW-Absatz-Standardschriftart111">
    <w:name w:val="WW-Absatz-Standardschriftart111"/>
    <w:rPr>
      <w:rFonts w:ascii="Arial" w:hAnsi="Arial" w:cs="Arial"/>
      <w:sz w:val="24"/>
      <w:szCs w:val="24"/>
      <w:lang w:val="fr-FR"/>
    </w:rPr>
  </w:style>
  <w:style w:type="character" w:customStyle="1" w:styleId="WW-Absatz-Standardschriftart1111">
    <w:name w:val="WW-Absatz-Standardschriftart1111"/>
    <w:rPr>
      <w:rFonts w:ascii="Arial" w:hAnsi="Arial" w:cs="Arial"/>
      <w:sz w:val="24"/>
      <w:szCs w:val="24"/>
      <w:lang w:val="fr-FR"/>
    </w:rPr>
  </w:style>
  <w:style w:type="character" w:customStyle="1" w:styleId="WW-Absatz-Standardschriftart11111">
    <w:name w:val="WW-Absatz-Standardschriftart11111"/>
    <w:rPr>
      <w:rFonts w:ascii="Arial" w:hAnsi="Arial" w:cs="Arial"/>
      <w:sz w:val="24"/>
      <w:szCs w:val="24"/>
      <w:lang w:val="fr-FR"/>
    </w:rPr>
  </w:style>
  <w:style w:type="character" w:customStyle="1" w:styleId="WW8Num5z0">
    <w:name w:val="WW8Num5z0"/>
    <w:rPr>
      <w:rFonts w:ascii="Arial" w:hAnsi="Arial" w:cs="Arial"/>
      <w:b/>
      <w:bCs/>
      <w:color w:val="000000"/>
      <w:sz w:val="24"/>
      <w:szCs w:val="24"/>
      <w:lang w:val="fr-FR"/>
    </w:rPr>
  </w:style>
  <w:style w:type="character" w:customStyle="1" w:styleId="WW8Num5z1">
    <w:name w:val="WW8Num5z1"/>
    <w:rPr>
      <w:rFonts w:ascii="Times New Roman" w:hAnsi="Times New Roman" w:cs="Times New Roman"/>
      <w:color w:val="000000"/>
      <w:sz w:val="24"/>
      <w:szCs w:val="24"/>
      <w:lang w:val="fr-FR"/>
    </w:rPr>
  </w:style>
  <w:style w:type="character" w:customStyle="1" w:styleId="WW8Num5z2">
    <w:name w:val="WW8Num5z2"/>
    <w:rPr>
      <w:rFonts w:ascii="Arial" w:hAnsi="Arial" w:cs="Arial"/>
      <w:color w:val="000000"/>
      <w:sz w:val="24"/>
      <w:szCs w:val="24"/>
      <w:u w:val="none"/>
      <w:lang w:val="fr-FR"/>
    </w:rPr>
  </w:style>
  <w:style w:type="character" w:customStyle="1" w:styleId="WW8Num5z3">
    <w:name w:val="WW8Num5z3"/>
    <w:rPr>
      <w:rFonts w:ascii="Arial" w:hAnsi="Arial" w:cs="Arial"/>
      <w:color w:val="000000"/>
      <w:sz w:val="24"/>
      <w:szCs w:val="24"/>
      <w:u w:val="none"/>
      <w:lang w:val="fr-FR"/>
    </w:rPr>
  </w:style>
  <w:style w:type="character" w:customStyle="1" w:styleId="WW-Absatz-Standardschriftart111111">
    <w:name w:val="WW-Absatz-Standardschriftart111111"/>
    <w:rPr>
      <w:rFonts w:ascii="Arial" w:hAnsi="Arial" w:cs="Arial"/>
      <w:sz w:val="24"/>
      <w:szCs w:val="24"/>
      <w:lang w:val="fr-FR"/>
    </w:rPr>
  </w:style>
  <w:style w:type="character" w:customStyle="1" w:styleId="WW-Absatz-Standardschriftart1111111">
    <w:name w:val="WW-Absatz-Standardschriftart1111111"/>
    <w:rPr>
      <w:rFonts w:ascii="Arial" w:hAnsi="Arial" w:cs="Arial"/>
      <w:sz w:val="24"/>
      <w:szCs w:val="24"/>
      <w:lang w:val="fr-FR"/>
    </w:rPr>
  </w:style>
  <w:style w:type="character" w:customStyle="1" w:styleId="WW-Absatz-Standardschriftart11111111">
    <w:name w:val="WW-Absatz-Standardschriftart11111111"/>
    <w:rPr>
      <w:rFonts w:ascii="Arial" w:hAnsi="Arial" w:cs="Arial"/>
      <w:sz w:val="24"/>
      <w:szCs w:val="24"/>
      <w:lang w:val="fr-FR"/>
    </w:rPr>
  </w:style>
  <w:style w:type="character" w:customStyle="1" w:styleId="WW-Absatz-Standardschriftart111111111">
    <w:name w:val="WW-Absatz-Standardschriftart111111111"/>
    <w:rPr>
      <w:rFonts w:ascii="Arial" w:hAnsi="Arial" w:cs="Arial"/>
      <w:sz w:val="24"/>
      <w:szCs w:val="24"/>
      <w:lang w:val="fr-FR"/>
    </w:rPr>
  </w:style>
  <w:style w:type="character" w:customStyle="1" w:styleId="WW-Absatz-Standardschriftart1111111111">
    <w:name w:val="WW-Absatz-Standardschriftart1111111111"/>
    <w:rPr>
      <w:rFonts w:ascii="Arial" w:hAnsi="Arial" w:cs="Arial"/>
      <w:sz w:val="24"/>
      <w:szCs w:val="24"/>
      <w:lang w:val="fr-FR"/>
    </w:rPr>
  </w:style>
  <w:style w:type="character" w:customStyle="1" w:styleId="WW-Absatz-Standardschriftart11111111111">
    <w:name w:val="WW-Absatz-Standardschriftart11111111111"/>
    <w:rPr>
      <w:rFonts w:ascii="Arial" w:hAnsi="Arial" w:cs="Arial"/>
      <w:sz w:val="24"/>
      <w:szCs w:val="24"/>
      <w:lang w:val="fr-FR"/>
    </w:rPr>
  </w:style>
  <w:style w:type="character" w:customStyle="1" w:styleId="WW-Absatz-Standardschriftart111111111111">
    <w:name w:val="WW-Absatz-Standardschriftart111111111111"/>
    <w:rPr>
      <w:rFonts w:ascii="Arial" w:hAnsi="Arial" w:cs="Arial"/>
      <w:sz w:val="24"/>
      <w:szCs w:val="24"/>
      <w:lang w:val="fr-FR"/>
    </w:rPr>
  </w:style>
  <w:style w:type="character" w:customStyle="1" w:styleId="WW-Absatz-Standardschriftart1111111111111">
    <w:name w:val="WW-Absatz-Standardschriftart1111111111111"/>
    <w:rPr>
      <w:rFonts w:ascii="Arial" w:hAnsi="Arial" w:cs="Arial"/>
      <w:sz w:val="24"/>
      <w:szCs w:val="24"/>
      <w:lang w:val="fr-FR"/>
    </w:rPr>
  </w:style>
  <w:style w:type="character" w:customStyle="1" w:styleId="WW-Absatz-Standardschriftart11111111111111">
    <w:name w:val="WW-Absatz-Standardschriftart11111111111111"/>
    <w:rPr>
      <w:rFonts w:ascii="Arial" w:hAnsi="Arial" w:cs="Arial"/>
      <w:sz w:val="24"/>
      <w:szCs w:val="24"/>
      <w:lang w:val="fr-FR"/>
    </w:rPr>
  </w:style>
  <w:style w:type="character" w:customStyle="1" w:styleId="WW-Absatz-Standardschriftart111111111111111">
    <w:name w:val="WW-Absatz-Standardschriftart111111111111111"/>
    <w:rPr>
      <w:rFonts w:ascii="Arial" w:hAnsi="Arial" w:cs="Arial"/>
      <w:sz w:val="24"/>
      <w:szCs w:val="24"/>
      <w:lang w:val="fr-FR"/>
    </w:rPr>
  </w:style>
  <w:style w:type="character" w:customStyle="1" w:styleId="WW-Absatz-Standardschriftart1111111111111111">
    <w:name w:val="WW-Absatz-Standardschriftart1111111111111111"/>
    <w:rPr>
      <w:rFonts w:ascii="Arial" w:hAnsi="Arial" w:cs="Arial"/>
      <w:sz w:val="24"/>
      <w:szCs w:val="24"/>
      <w:lang w:val="fr-FR"/>
    </w:rPr>
  </w:style>
  <w:style w:type="character" w:customStyle="1" w:styleId="WW-Absatz-Standardschriftart11111111111111111">
    <w:name w:val="WW-Absatz-Standardschriftart11111111111111111"/>
    <w:rPr>
      <w:rFonts w:ascii="Arial" w:hAnsi="Arial" w:cs="Arial"/>
      <w:sz w:val="24"/>
      <w:szCs w:val="24"/>
      <w:lang w:val="fr-FR"/>
    </w:rPr>
  </w:style>
  <w:style w:type="character" w:customStyle="1" w:styleId="WW-Absatz-Standardschriftart111111111111111111">
    <w:name w:val="WW-Absatz-Standardschriftart111111111111111111"/>
    <w:rPr>
      <w:rFonts w:ascii="Arial" w:hAnsi="Arial" w:cs="Arial"/>
      <w:sz w:val="24"/>
      <w:szCs w:val="24"/>
      <w:lang w:val="fr-FR"/>
    </w:rPr>
  </w:style>
  <w:style w:type="character" w:customStyle="1" w:styleId="WW-Absatz-Standardschriftart1111111111111111111">
    <w:name w:val="WW-Absatz-Standardschriftart1111111111111111111"/>
    <w:rPr>
      <w:rFonts w:ascii="Arial" w:hAnsi="Arial" w:cs="Arial"/>
      <w:sz w:val="24"/>
      <w:szCs w:val="24"/>
      <w:lang w:val="fr-FR"/>
    </w:rPr>
  </w:style>
  <w:style w:type="character" w:customStyle="1" w:styleId="WW8Num8z0">
    <w:name w:val="WW8Num8z0"/>
    <w:rPr>
      <w:rFonts w:ascii="Arial" w:hAnsi="Arial" w:cs="Arial"/>
      <w:sz w:val="24"/>
      <w:szCs w:val="24"/>
      <w:u w:val="none"/>
      <w:lang w:val="fr-FR"/>
    </w:rPr>
  </w:style>
  <w:style w:type="character" w:customStyle="1" w:styleId="WW8Num8z5">
    <w:name w:val="WW8Num8z5"/>
    <w:rPr>
      <w:rFonts w:ascii="Times New Roman" w:hAnsi="Times New Roman" w:cs="Times New Roman"/>
      <w:sz w:val="24"/>
      <w:szCs w:val="24"/>
      <w:u w:val="none"/>
      <w:lang w:val="fr-FR"/>
    </w:rPr>
  </w:style>
  <w:style w:type="character" w:customStyle="1" w:styleId="WW8Num9z0">
    <w:name w:val="WW8Num9z0"/>
    <w:rPr>
      <w:rFonts w:ascii="Times New Roman" w:hAnsi="Times New Roman" w:cs="Times New Roman"/>
      <w:sz w:val="24"/>
      <w:szCs w:val="24"/>
      <w:lang w:val="fr-FR"/>
    </w:rPr>
  </w:style>
  <w:style w:type="character" w:customStyle="1" w:styleId="WW8Num15z1">
    <w:name w:val="WW8Num15z1"/>
    <w:rPr>
      <w:rFonts w:ascii="Arial" w:hAnsi="Arial" w:cs="Arial"/>
      <w:sz w:val="20"/>
      <w:szCs w:val="20"/>
      <w:lang w:val="fr-FR"/>
    </w:rPr>
  </w:style>
  <w:style w:type="character" w:customStyle="1" w:styleId="WW8Num21z0">
    <w:name w:val="WW8Num21z0"/>
    <w:rPr>
      <w:rFonts w:ascii="Arial" w:hAnsi="Arial" w:cs="Arial"/>
      <w:b/>
      <w:bCs/>
      <w:color w:val="000000"/>
      <w:sz w:val="24"/>
      <w:szCs w:val="24"/>
      <w:lang w:val="fr-FR"/>
    </w:rPr>
  </w:style>
  <w:style w:type="character" w:customStyle="1" w:styleId="WW8Num21z1">
    <w:name w:val="WW8Num21z1"/>
    <w:rPr>
      <w:rFonts w:ascii="Times New Roman" w:hAnsi="Times New Roman" w:cs="Times New Roman"/>
      <w:color w:val="000000"/>
      <w:sz w:val="24"/>
      <w:szCs w:val="24"/>
      <w:lang w:val="fr-FR"/>
    </w:rPr>
  </w:style>
  <w:style w:type="character" w:customStyle="1" w:styleId="WW8Num21z2">
    <w:name w:val="WW8Num21z2"/>
    <w:rPr>
      <w:rFonts w:ascii="Arial" w:hAnsi="Arial" w:cs="Arial"/>
      <w:color w:val="000000"/>
      <w:sz w:val="24"/>
      <w:szCs w:val="24"/>
      <w:u w:val="none"/>
      <w:lang w:val="fr-FR"/>
    </w:rPr>
  </w:style>
  <w:style w:type="character" w:customStyle="1" w:styleId="WW8Num21z3">
    <w:name w:val="WW8Num21z3"/>
    <w:rPr>
      <w:rFonts w:ascii="Arial" w:hAnsi="Arial" w:cs="Arial"/>
      <w:color w:val="000000"/>
      <w:sz w:val="24"/>
      <w:szCs w:val="24"/>
      <w:u w:val="none"/>
      <w:lang w:val="fr-FR"/>
    </w:rPr>
  </w:style>
  <w:style w:type="character" w:customStyle="1" w:styleId="WW8Num22z1">
    <w:name w:val="WW8Num22z1"/>
    <w:rPr>
      <w:rFonts w:ascii="Arial" w:hAnsi="Arial" w:cs="Arial"/>
      <w:sz w:val="20"/>
      <w:szCs w:val="20"/>
      <w:lang w:val="fr-FR"/>
    </w:rPr>
  </w:style>
  <w:style w:type="character" w:styleId="PageNumber">
    <w:name w:val="page number"/>
    <w:rPr>
      <w:rFonts w:ascii="Arial" w:hAnsi="Arial" w:cs="Arial"/>
      <w:sz w:val="24"/>
      <w:szCs w:val="24"/>
      <w:lang w:val="fr-FR"/>
    </w:rPr>
  </w:style>
  <w:style w:type="character" w:styleId="CommentReference">
    <w:name w:val="annotation reference"/>
    <w:rPr>
      <w:sz w:val="16"/>
      <w:szCs w:val="16"/>
    </w:rPr>
  </w:style>
  <w:style w:type="character" w:customStyle="1" w:styleId="Bullets">
    <w:name w:val="Bullets"/>
    <w:rPr>
      <w:rFonts w:ascii="OpenSymbol" w:hAnsi="OpenSymbol" w:cs="OpenSymbol"/>
      <w:sz w:val="24"/>
      <w:szCs w:val="24"/>
      <w:lang w:val="fr-FR"/>
    </w:rPr>
  </w:style>
  <w:style w:type="character" w:customStyle="1" w:styleId="NumberingSymbols">
    <w:name w:val="Numbering Symbols"/>
    <w:rPr>
      <w:rFonts w:ascii="Arial" w:hAnsi="Arial" w:cs="Arial"/>
      <w:sz w:val="24"/>
      <w:szCs w:val="24"/>
      <w:lang w:val="fr-FR"/>
    </w:rPr>
  </w:style>
  <w:style w:type="character" w:customStyle="1" w:styleId="FootnoteCharacters">
    <w:name w:val="Footnote Characters"/>
    <w:rPr>
      <w:rFonts w:ascii="Arial" w:hAnsi="Arial" w:cs="Arial"/>
      <w:sz w:val="24"/>
      <w:szCs w:val="24"/>
      <w:lang w:val="fr-FR"/>
    </w:rPr>
  </w:style>
  <w:style w:type="character" w:styleId="FootnoteReference">
    <w:name w:val="footnote reference"/>
    <w:hidden/>
    <w:rPr>
      <w:rFonts w:ascii="Arial" w:hAnsi="Arial" w:cs="Arial"/>
      <w:sz w:val="24"/>
      <w:szCs w:val="24"/>
      <w:vertAlign w:val="superscript"/>
      <w:lang w:val="fr-FR"/>
    </w:rPr>
  </w:style>
  <w:style w:type="character" w:styleId="Hyperlink">
    <w:name w:val="Hyperlink"/>
    <w:rPr>
      <w:rFonts w:ascii="Arial" w:hAnsi="Arial" w:cs="Arial"/>
      <w:color w:val="000080"/>
      <w:sz w:val="24"/>
      <w:szCs w:val="24"/>
      <w:u w:val="single"/>
    </w:rPr>
  </w:style>
  <w:style w:type="character" w:styleId="FollowedHyperlink">
    <w:name w:val="FollowedHyperlink"/>
    <w:rPr>
      <w:rFonts w:ascii="Arial" w:hAnsi="Arial" w:cs="Arial"/>
      <w:color w:val="800000"/>
      <w:sz w:val="24"/>
      <w:szCs w:val="24"/>
      <w:u w:val="single"/>
    </w:rPr>
  </w:style>
  <w:style w:type="character" w:customStyle="1" w:styleId="EndnoteCharacters">
    <w:name w:val="Endnote Characters"/>
    <w:rPr>
      <w:rFonts w:ascii="Arial" w:hAnsi="Arial" w:cs="Arial"/>
      <w:sz w:val="24"/>
      <w:szCs w:val="24"/>
      <w:vertAlign w:val="superscript"/>
      <w:lang w:val="fr-FR"/>
    </w:rPr>
  </w:style>
  <w:style w:type="character" w:customStyle="1" w:styleId="WW-EndnoteCharacters">
    <w:name w:val="WW-Endnote Characters"/>
    <w:rPr>
      <w:rFonts w:ascii="Arial" w:hAnsi="Arial" w:cs="Arial"/>
      <w:sz w:val="24"/>
      <w:szCs w:val="24"/>
      <w:lang w:val="fr-FR"/>
    </w:rPr>
  </w:style>
  <w:style w:type="character" w:styleId="EndnoteReference">
    <w:name w:val="endnote reference"/>
    <w:hidden/>
    <w:rPr>
      <w:rFonts w:ascii="Arial" w:hAnsi="Arial" w:cs="Arial"/>
      <w:sz w:val="24"/>
      <w:szCs w:val="24"/>
      <w:vertAlign w:val="superscript"/>
      <w:lang w:val="fr-FR"/>
    </w:rPr>
  </w:style>
  <w:style w:type="paragraph" w:customStyle="1" w:styleId="Heading">
    <w:name w:val="Heading"/>
    <w:basedOn w:val="Normal"/>
    <w:next w:val="BodyText"/>
    <w:pPr>
      <w:keepNext/>
      <w:spacing w:before="240" w:after="120"/>
    </w:pPr>
    <w:rPr>
      <w:sz w:val="28"/>
      <w:szCs w:val="28"/>
    </w:rPr>
  </w:style>
  <w:style w:type="paragraph" w:styleId="BodyText">
    <w:name w:val="Body Text"/>
    <w:basedOn w:val="Normal"/>
    <w:pPr>
      <w:jc w:val="both"/>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heCond">
    <w:name w:val="theCond"/>
    <w:basedOn w:val="Normal"/>
    <w:pPr>
      <w:tabs>
        <w:tab w:val="left" w:pos="540"/>
      </w:tabs>
      <w:ind w:right="360"/>
    </w:pPr>
    <w:rPr>
      <w:rFonts w:ascii="New York" w:hAnsi="New York" w:cs="New York"/>
    </w:rPr>
  </w:style>
  <w:style w:type="paragraph" w:customStyle="1" w:styleId="Cond">
    <w:name w:val="Cond"/>
    <w:basedOn w:val="Normal"/>
    <w:pPr>
      <w:tabs>
        <w:tab w:val="left" w:pos="440"/>
      </w:tabs>
      <w:ind w:right="-4580"/>
      <w:jc w:val="both"/>
    </w:pPr>
  </w:style>
  <w:style w:type="paragraph" w:styleId="BodyText2">
    <w:name w:val="Body Text 2"/>
    <w:aliases w:val="bt2"/>
    <w:basedOn w:val="Normal"/>
    <w:pPr>
      <w:ind w:left="709" w:hanging="709"/>
    </w:pPr>
  </w:style>
  <w:style w:type="paragraph" w:styleId="BodyTextIndent2">
    <w:name w:val="Body Text Indent 2"/>
    <w:aliases w:val="bti2"/>
    <w:basedOn w:val="Normal"/>
    <w:pPr>
      <w:ind w:left="284" w:hanging="284"/>
    </w:pPr>
  </w:style>
  <w:style w:type="paragraph" w:styleId="BodyTextIndent">
    <w:name w:val="Body Text Indent"/>
    <w:aliases w:val="bti"/>
    <w:basedOn w:val="Normal"/>
    <w:pPr>
      <w:ind w:left="709"/>
    </w:pPr>
    <w:rPr>
      <w:rFonts w:ascii="Palatino" w:hAnsi="Palatino" w:cs="Palatino"/>
      <w:sz w:val="22"/>
      <w:szCs w:val="22"/>
    </w:rPr>
  </w:style>
  <w:style w:type="paragraph" w:customStyle="1" w:styleId="MRheading1">
    <w:name w:val="M&amp;R heading 1"/>
    <w:basedOn w:val="Normal"/>
    <w:rsid w:val="003670D8"/>
    <w:pPr>
      <w:keepNext/>
      <w:keepLines/>
      <w:numPr>
        <w:numId w:val="30"/>
      </w:numPr>
      <w:spacing w:before="240" w:line="360" w:lineRule="auto"/>
      <w:jc w:val="both"/>
    </w:pPr>
    <w:rPr>
      <w:rFonts w:cs="Times New Roman"/>
      <w:b/>
      <w:sz w:val="22"/>
      <w:szCs w:val="20"/>
      <w:u w:val="single"/>
      <w:lang w:eastAsia="en-GB"/>
    </w:rPr>
  </w:style>
  <w:style w:type="paragraph" w:customStyle="1" w:styleId="MRheading2">
    <w:name w:val="M&amp;R heading 2"/>
    <w:basedOn w:val="Normal"/>
    <w:rsid w:val="003670D8"/>
    <w:pPr>
      <w:numPr>
        <w:ilvl w:val="1"/>
        <w:numId w:val="30"/>
      </w:numPr>
      <w:spacing w:before="240" w:line="360" w:lineRule="auto"/>
      <w:jc w:val="both"/>
      <w:outlineLvl w:val="1"/>
    </w:pPr>
    <w:rPr>
      <w:rFonts w:cs="Times New Roman"/>
      <w:sz w:val="22"/>
      <w:szCs w:val="20"/>
      <w:lang w:eastAsia="en-GB"/>
    </w:rPr>
  </w:style>
  <w:style w:type="paragraph" w:customStyle="1" w:styleId="MRheading3">
    <w:name w:val="M&amp;R heading 3"/>
    <w:basedOn w:val="Normal"/>
    <w:rsid w:val="003670D8"/>
    <w:pPr>
      <w:numPr>
        <w:ilvl w:val="2"/>
        <w:numId w:val="30"/>
      </w:numPr>
      <w:spacing w:before="240" w:line="360" w:lineRule="auto"/>
      <w:jc w:val="both"/>
      <w:outlineLvl w:val="2"/>
    </w:pPr>
    <w:rPr>
      <w:rFonts w:cs="Times New Roman"/>
      <w:sz w:val="22"/>
      <w:szCs w:val="20"/>
      <w:lang w:eastAsia="en-GB"/>
    </w:rPr>
  </w:style>
  <w:style w:type="paragraph" w:customStyle="1" w:styleId="MRheading4">
    <w:name w:val="M&amp;R heading 4"/>
    <w:basedOn w:val="Normal"/>
    <w:rsid w:val="003670D8"/>
    <w:pPr>
      <w:numPr>
        <w:ilvl w:val="3"/>
        <w:numId w:val="30"/>
      </w:numPr>
      <w:spacing w:before="240" w:line="360" w:lineRule="auto"/>
      <w:jc w:val="both"/>
      <w:outlineLvl w:val="3"/>
    </w:pPr>
    <w:rPr>
      <w:rFonts w:cs="Times New Roman"/>
      <w:sz w:val="22"/>
      <w:szCs w:val="20"/>
      <w:lang w:eastAsia="en-GB"/>
    </w:rPr>
  </w:style>
  <w:style w:type="paragraph" w:customStyle="1" w:styleId="MRheading5">
    <w:name w:val="M&amp;R heading 5"/>
    <w:basedOn w:val="Normal"/>
    <w:rsid w:val="003670D8"/>
    <w:pPr>
      <w:numPr>
        <w:ilvl w:val="4"/>
        <w:numId w:val="30"/>
      </w:numPr>
      <w:spacing w:before="240" w:line="360" w:lineRule="auto"/>
      <w:jc w:val="both"/>
      <w:outlineLvl w:val="4"/>
    </w:pPr>
    <w:rPr>
      <w:rFonts w:cs="Times New Roman"/>
      <w:sz w:val="22"/>
      <w:szCs w:val="20"/>
      <w:lang w:eastAsia="en-GB"/>
    </w:rPr>
  </w:style>
  <w:style w:type="paragraph" w:customStyle="1" w:styleId="MRheading6">
    <w:name w:val="M&amp;R heading 6"/>
    <w:basedOn w:val="Normal"/>
    <w:rsid w:val="003670D8"/>
    <w:pPr>
      <w:numPr>
        <w:ilvl w:val="5"/>
        <w:numId w:val="30"/>
      </w:numPr>
      <w:spacing w:before="240" w:line="360" w:lineRule="auto"/>
      <w:jc w:val="both"/>
      <w:outlineLvl w:val="5"/>
    </w:pPr>
    <w:rPr>
      <w:rFonts w:cs="Times New Roman"/>
      <w:sz w:val="22"/>
      <w:szCs w:val="20"/>
      <w:lang w:eastAsia="en-GB"/>
    </w:rPr>
  </w:style>
  <w:style w:type="paragraph" w:customStyle="1" w:styleId="MRheading7">
    <w:name w:val="M&amp;R heading 7"/>
    <w:basedOn w:val="Normal"/>
    <w:rsid w:val="003670D8"/>
    <w:pPr>
      <w:numPr>
        <w:ilvl w:val="6"/>
        <w:numId w:val="30"/>
      </w:numPr>
      <w:spacing w:before="240" w:line="360" w:lineRule="auto"/>
      <w:jc w:val="both"/>
      <w:outlineLvl w:val="6"/>
    </w:pPr>
    <w:rPr>
      <w:rFonts w:cs="Times New Roman"/>
      <w:sz w:val="22"/>
      <w:szCs w:val="20"/>
      <w:lang w:eastAsia="en-GB"/>
    </w:rPr>
  </w:style>
  <w:style w:type="paragraph" w:customStyle="1" w:styleId="MRheading8">
    <w:name w:val="M&amp;R heading 8"/>
    <w:basedOn w:val="Normal"/>
    <w:rsid w:val="003670D8"/>
    <w:pPr>
      <w:numPr>
        <w:ilvl w:val="7"/>
        <w:numId w:val="30"/>
      </w:numPr>
      <w:spacing w:before="240" w:line="360" w:lineRule="auto"/>
      <w:jc w:val="both"/>
      <w:outlineLvl w:val="7"/>
    </w:pPr>
    <w:rPr>
      <w:rFonts w:cs="Times New Roman"/>
      <w:sz w:val="22"/>
      <w:szCs w:val="20"/>
      <w:lang w:eastAsia="en-GB"/>
    </w:rPr>
  </w:style>
  <w:style w:type="paragraph" w:customStyle="1" w:styleId="MRheading9">
    <w:name w:val="M&amp;R heading 9"/>
    <w:basedOn w:val="Normal"/>
    <w:rsid w:val="003670D8"/>
    <w:pPr>
      <w:numPr>
        <w:ilvl w:val="8"/>
        <w:numId w:val="30"/>
      </w:numPr>
      <w:spacing w:before="240" w:line="360" w:lineRule="auto"/>
      <w:jc w:val="both"/>
      <w:outlineLvl w:val="8"/>
    </w:pPr>
    <w:rPr>
      <w:rFonts w:cs="Times New Roman"/>
      <w:sz w:val="22"/>
      <w:szCs w:val="20"/>
      <w:lang w:eastAsia="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3">
    <w:name w:val="Body Text Indent 3"/>
    <w:aliases w:val="bti3"/>
    <w:basedOn w:val="Normal"/>
    <w:pPr>
      <w:ind w:left="720" w:hanging="720"/>
    </w:pPr>
    <w:rPr>
      <w:rFonts w:ascii="Times New Roman" w:hAnsi="Times New Roman" w:cs="Times New Roman"/>
    </w:rPr>
  </w:style>
  <w:style w:type="paragraph" w:styleId="BalloonText">
    <w:name w:val="Balloon Text"/>
    <w:basedOn w:val="Normal"/>
    <w:rPr>
      <w:rFonts w:ascii="Tahoma" w:hAnsi="Tahoma" w:cs="Tahoma"/>
      <w:sz w:val="16"/>
      <w:szCs w:val="16"/>
    </w:rPr>
  </w:style>
  <w:style w:type="paragraph" w:styleId="CommentText">
    <w:name w:val="annotation text"/>
    <w:basedOn w:val="Normal"/>
    <w:pPr>
      <w:widowControl/>
      <w:suppressAutoHyphens w:val="0"/>
    </w:pPr>
    <w:rPr>
      <w:rFonts w:ascii="Times New Roman" w:hAnsi="Times New Roman" w:cs="Times New Roman"/>
      <w:sz w:val="20"/>
      <w:szCs w:val="20"/>
    </w:rPr>
  </w:style>
  <w:style w:type="paragraph" w:styleId="CommentSubject">
    <w:name w:val="annotation subject"/>
    <w:basedOn w:val="CommentText"/>
    <w:next w:val="CommentText"/>
    <w:pPr>
      <w:widowControl w:val="0"/>
      <w:suppressAutoHyphens/>
    </w:pPr>
    <w:rPr>
      <w:rFonts w:ascii="Arial" w:hAnsi="Arial" w:cs="Arial"/>
      <w:b/>
      <w:bCs/>
    </w:rPr>
  </w:style>
  <w:style w:type="paragraph" w:customStyle="1" w:styleId="p-Cl1">
    <w:name w:val="p-Cl1"/>
    <w:pPr>
      <w:widowControl w:val="0"/>
      <w:suppressAutoHyphens/>
      <w:autoSpaceDE w:val="0"/>
      <w:autoSpaceDN w:val="0"/>
      <w:adjustRightInd w:val="0"/>
      <w:spacing w:before="100" w:line="360" w:lineRule="atLeast"/>
      <w:ind w:left="1077" w:hanging="1077"/>
      <w:jc w:val="both"/>
    </w:pPr>
    <w:rPr>
      <w:rFonts w:ascii="Arial" w:hAnsi="Arial" w:cs="Arial"/>
      <w:sz w:val="24"/>
      <w:szCs w:val="24"/>
      <w:lang w:eastAsia="en-US"/>
    </w:rPr>
  </w:style>
  <w:style w:type="paragraph" w:customStyle="1" w:styleId="Level1">
    <w:name w:val="Level 1"/>
    <w:basedOn w:val="Normal"/>
    <w:pPr>
      <w:numPr>
        <w:numId w:val="2"/>
      </w:numPr>
      <w:spacing w:before="400" w:after="100"/>
      <w:jc w:val="both"/>
    </w:pPr>
    <w:rPr>
      <w:rFonts w:ascii="Times New Roman" w:hAnsi="Times New Roman" w:cs="Times New Roman"/>
      <w:b/>
      <w:bCs/>
      <w:caps/>
    </w:rPr>
  </w:style>
  <w:style w:type="paragraph" w:customStyle="1" w:styleId="Level2">
    <w:name w:val="Level 2"/>
    <w:basedOn w:val="Normal"/>
    <w:pPr>
      <w:numPr>
        <w:numId w:val="1"/>
      </w:numPr>
      <w:tabs>
        <w:tab w:val="left" w:pos="1080"/>
      </w:tabs>
      <w:spacing w:after="220"/>
      <w:ind w:left="709" w:hanging="709"/>
      <w:jc w:val="both"/>
    </w:pPr>
    <w:rPr>
      <w:rFonts w:ascii="Times New Roman" w:hAnsi="Times New Roman" w:cs="Times New Roman"/>
      <w:color w:val="000000"/>
    </w:rPr>
  </w:style>
  <w:style w:type="paragraph" w:customStyle="1" w:styleId="Level3">
    <w:name w:val="Level 3"/>
    <w:basedOn w:val="Normal"/>
    <w:pPr>
      <w:tabs>
        <w:tab w:val="num" w:pos="720"/>
      </w:tabs>
      <w:spacing w:after="220"/>
      <w:ind w:left="720" w:hanging="720"/>
      <w:jc w:val="both"/>
    </w:pPr>
    <w:rPr>
      <w:rFonts w:ascii="Times New Roman" w:hAnsi="Times New Roman" w:cs="Times New Roman"/>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noteText">
    <w:name w:val="footnote text"/>
    <w:aliases w:val="Car"/>
    <w:basedOn w:val="Normal"/>
    <w:hidden/>
    <w:pPr>
      <w:suppressLineNumbers/>
      <w:ind w:left="283" w:hanging="283"/>
    </w:pPr>
    <w:rPr>
      <w:sz w:val="20"/>
      <w:szCs w:val="20"/>
    </w:rPr>
  </w:style>
  <w:style w:type="paragraph" w:styleId="EnvelopeReturn">
    <w:name w:val="envelope return"/>
    <w:basedOn w:val="Normal"/>
    <w:pPr>
      <w:suppressLineNumbers/>
    </w:pPr>
    <w:rPr>
      <w:i/>
      <w:iCs/>
    </w:rPr>
  </w:style>
  <w:style w:type="paragraph" w:customStyle="1" w:styleId="MRParties">
    <w:name w:val="M&amp;R Parties"/>
    <w:basedOn w:val="Normal"/>
    <w:rsid w:val="003670D8"/>
    <w:pPr>
      <w:numPr>
        <w:numId w:val="12"/>
      </w:numPr>
      <w:spacing w:before="240" w:line="360" w:lineRule="auto"/>
      <w:jc w:val="both"/>
    </w:pPr>
    <w:rPr>
      <w:rFonts w:cs="Times New Roman"/>
      <w:sz w:val="22"/>
      <w:szCs w:val="20"/>
      <w:lang w:eastAsia="en-GB"/>
    </w:rPr>
  </w:style>
  <w:style w:type="paragraph" w:customStyle="1" w:styleId="MRLegal">
    <w:name w:val="M&amp;R Legal"/>
    <w:basedOn w:val="Normal"/>
    <w:pPr>
      <w:suppressAutoHyphens w:val="0"/>
      <w:jc w:val="both"/>
    </w:pPr>
    <w:rPr>
      <w:sz w:val="22"/>
      <w:szCs w:val="22"/>
    </w:rPr>
  </w:style>
  <w:style w:type="paragraph" w:styleId="TOC1">
    <w:name w:val="toc 1"/>
    <w:basedOn w:val="Normal"/>
    <w:next w:val="Normal"/>
    <w:autoRedefine/>
    <w:hidden/>
    <w:uiPriority w:val="39"/>
    <w:rsid w:val="005E5884"/>
    <w:pPr>
      <w:widowControl/>
      <w:suppressAutoHyphens w:val="0"/>
      <w:jc w:val="both"/>
    </w:pPr>
    <w:rPr>
      <w:bCs/>
      <w:sz w:val="22"/>
      <w:szCs w:val="22"/>
    </w:rPr>
  </w:style>
  <w:style w:type="paragraph" w:customStyle="1" w:styleId="MRLMA1">
    <w:name w:val="M&amp;R LMA 1"/>
    <w:basedOn w:val="Normal"/>
    <w:rsid w:val="003670D8"/>
    <w:pPr>
      <w:numPr>
        <w:numId w:val="10"/>
      </w:numPr>
      <w:spacing w:before="240" w:line="360" w:lineRule="auto"/>
      <w:jc w:val="both"/>
    </w:pPr>
    <w:rPr>
      <w:rFonts w:cs="Times New Roman"/>
      <w:sz w:val="22"/>
      <w:szCs w:val="20"/>
      <w:lang w:eastAsia="en-GB"/>
    </w:rPr>
  </w:style>
  <w:style w:type="paragraph" w:customStyle="1" w:styleId="MRLMA2">
    <w:name w:val="M&amp;R LMA 2"/>
    <w:basedOn w:val="Normal"/>
    <w:rsid w:val="003670D8"/>
    <w:pPr>
      <w:numPr>
        <w:ilvl w:val="1"/>
        <w:numId w:val="10"/>
      </w:numPr>
      <w:spacing w:before="240" w:line="360" w:lineRule="auto"/>
      <w:jc w:val="both"/>
    </w:pPr>
    <w:rPr>
      <w:rFonts w:cs="Times New Roman"/>
      <w:sz w:val="22"/>
      <w:szCs w:val="20"/>
      <w:lang w:eastAsia="en-GB"/>
    </w:rPr>
  </w:style>
  <w:style w:type="paragraph" w:customStyle="1" w:styleId="MRLMA3">
    <w:name w:val="M&amp;R LMA 3"/>
    <w:basedOn w:val="Normal"/>
    <w:rsid w:val="003670D8"/>
    <w:pPr>
      <w:numPr>
        <w:ilvl w:val="2"/>
        <w:numId w:val="10"/>
      </w:numPr>
      <w:spacing w:before="240" w:line="360" w:lineRule="auto"/>
      <w:jc w:val="both"/>
    </w:pPr>
    <w:rPr>
      <w:rFonts w:cs="Times New Roman"/>
      <w:sz w:val="22"/>
      <w:szCs w:val="20"/>
      <w:lang w:eastAsia="en-GB"/>
    </w:rPr>
  </w:style>
  <w:style w:type="paragraph" w:customStyle="1" w:styleId="MRLMA4">
    <w:name w:val="M&amp;R LMA 4"/>
    <w:basedOn w:val="Normal"/>
    <w:rsid w:val="003670D8"/>
    <w:pPr>
      <w:numPr>
        <w:ilvl w:val="3"/>
        <w:numId w:val="10"/>
      </w:numPr>
      <w:spacing w:before="240" w:line="360" w:lineRule="auto"/>
      <w:jc w:val="both"/>
    </w:pPr>
    <w:rPr>
      <w:rFonts w:cs="Times New Roman"/>
      <w:sz w:val="22"/>
      <w:szCs w:val="20"/>
      <w:lang w:eastAsia="en-GB"/>
    </w:rPr>
  </w:style>
  <w:style w:type="paragraph" w:customStyle="1" w:styleId="MRLMA5">
    <w:name w:val="M&amp;R LMA 5"/>
    <w:basedOn w:val="Normal"/>
    <w:rsid w:val="003670D8"/>
    <w:pPr>
      <w:numPr>
        <w:ilvl w:val="4"/>
        <w:numId w:val="10"/>
      </w:numPr>
      <w:spacing w:before="240" w:line="360" w:lineRule="auto"/>
      <w:jc w:val="both"/>
    </w:pPr>
    <w:rPr>
      <w:rFonts w:cs="Times New Roman"/>
      <w:sz w:val="22"/>
      <w:szCs w:val="20"/>
      <w:lang w:eastAsia="en-GB"/>
    </w:rPr>
  </w:style>
  <w:style w:type="paragraph" w:customStyle="1" w:styleId="MRLMA6">
    <w:name w:val="M&amp;R LMA 6"/>
    <w:basedOn w:val="Normal"/>
    <w:rsid w:val="003670D8"/>
    <w:pPr>
      <w:numPr>
        <w:ilvl w:val="5"/>
        <w:numId w:val="10"/>
      </w:numPr>
      <w:spacing w:before="240" w:line="360" w:lineRule="auto"/>
      <w:jc w:val="both"/>
    </w:pPr>
    <w:rPr>
      <w:rFonts w:cs="Times New Roman"/>
      <w:sz w:val="22"/>
      <w:szCs w:val="20"/>
      <w:lang w:eastAsia="en-GB"/>
    </w:rPr>
  </w:style>
  <w:style w:type="paragraph" w:customStyle="1" w:styleId="MRLMA7">
    <w:name w:val="M&amp;R LMA 7"/>
    <w:basedOn w:val="Normal"/>
    <w:rsid w:val="003670D8"/>
    <w:pPr>
      <w:numPr>
        <w:ilvl w:val="6"/>
        <w:numId w:val="10"/>
      </w:numPr>
      <w:spacing w:before="240" w:line="360" w:lineRule="auto"/>
      <w:jc w:val="both"/>
    </w:pPr>
    <w:rPr>
      <w:rFonts w:cs="Times New Roman"/>
      <w:sz w:val="22"/>
      <w:szCs w:val="20"/>
      <w:lang w:eastAsia="en-GB"/>
    </w:rPr>
  </w:style>
  <w:style w:type="paragraph" w:customStyle="1" w:styleId="MRLMA8">
    <w:name w:val="M&amp;R LMA 8"/>
    <w:basedOn w:val="Normal"/>
    <w:rsid w:val="003670D8"/>
    <w:pPr>
      <w:numPr>
        <w:ilvl w:val="7"/>
        <w:numId w:val="9"/>
      </w:numPr>
      <w:spacing w:before="240" w:line="360" w:lineRule="auto"/>
      <w:jc w:val="both"/>
    </w:pPr>
    <w:rPr>
      <w:rFonts w:cs="Times New Roman"/>
      <w:sz w:val="22"/>
      <w:szCs w:val="20"/>
      <w:lang w:eastAsia="en-GB"/>
    </w:rPr>
  </w:style>
  <w:style w:type="paragraph" w:customStyle="1" w:styleId="MRLMA9">
    <w:name w:val="M&amp;R LMA 9"/>
    <w:basedOn w:val="Normal"/>
    <w:rsid w:val="003670D8"/>
    <w:pPr>
      <w:numPr>
        <w:ilvl w:val="8"/>
        <w:numId w:val="10"/>
      </w:numPr>
      <w:spacing w:before="240" w:line="360" w:lineRule="auto"/>
      <w:jc w:val="both"/>
    </w:pPr>
    <w:rPr>
      <w:rFonts w:cs="Times New Roman"/>
      <w:sz w:val="22"/>
      <w:szCs w:val="20"/>
      <w:lang w:eastAsia="en-GB"/>
    </w:rPr>
  </w:style>
  <w:style w:type="paragraph" w:styleId="TOC2">
    <w:name w:val="toc 2"/>
    <w:basedOn w:val="Normal"/>
    <w:next w:val="Normal"/>
    <w:autoRedefine/>
    <w:hidden/>
    <w:pPr>
      <w:widowControl/>
      <w:suppressAutoHyphens w:val="0"/>
      <w:ind w:left="1440" w:hanging="720"/>
    </w:pPr>
  </w:style>
  <w:style w:type="paragraph" w:styleId="TOC3">
    <w:name w:val="toc 3"/>
    <w:basedOn w:val="Normal"/>
    <w:next w:val="Normal"/>
    <w:autoRedefine/>
    <w:hidden/>
    <w:pPr>
      <w:widowControl/>
      <w:suppressAutoHyphens w:val="0"/>
      <w:ind w:left="2160" w:hanging="720"/>
    </w:pPr>
  </w:style>
  <w:style w:type="paragraph" w:customStyle="1" w:styleId="MRNoHead1">
    <w:name w:val="M&amp;R No Head 1"/>
    <w:basedOn w:val="MRLMA1"/>
    <w:rsid w:val="003670D8"/>
    <w:pPr>
      <w:numPr>
        <w:numId w:val="11"/>
      </w:numPr>
    </w:pPr>
  </w:style>
  <w:style w:type="paragraph" w:customStyle="1" w:styleId="MRNoHead2">
    <w:name w:val="M&amp;R No Head 2"/>
    <w:basedOn w:val="MRNoHead1"/>
    <w:rsid w:val="003670D8"/>
    <w:pPr>
      <w:numPr>
        <w:ilvl w:val="1"/>
      </w:numPr>
    </w:pPr>
  </w:style>
  <w:style w:type="paragraph" w:customStyle="1" w:styleId="MRNoHead3">
    <w:name w:val="M&amp;R No Head 3"/>
    <w:basedOn w:val="MRNoHead1"/>
    <w:rsid w:val="003670D8"/>
    <w:pPr>
      <w:numPr>
        <w:ilvl w:val="2"/>
      </w:numPr>
    </w:pPr>
  </w:style>
  <w:style w:type="paragraph" w:customStyle="1" w:styleId="MRNoHead4">
    <w:name w:val="M&amp;R No Head 4"/>
    <w:basedOn w:val="Normal"/>
    <w:rsid w:val="003670D8"/>
    <w:pPr>
      <w:numPr>
        <w:ilvl w:val="3"/>
        <w:numId w:val="11"/>
      </w:numPr>
      <w:spacing w:before="240" w:line="360" w:lineRule="auto"/>
      <w:jc w:val="both"/>
    </w:pPr>
    <w:rPr>
      <w:rFonts w:cs="Times New Roman"/>
      <w:sz w:val="22"/>
      <w:szCs w:val="20"/>
      <w:lang w:eastAsia="en-GB"/>
    </w:rPr>
  </w:style>
  <w:style w:type="paragraph" w:customStyle="1" w:styleId="OutlineIndPara">
    <w:name w:val="Outline Ind Para"/>
    <w:basedOn w:val="Normal"/>
    <w:pPr>
      <w:numPr>
        <w:ilvl w:val="4"/>
        <w:numId w:val="1"/>
      </w:numPr>
    </w:pPr>
  </w:style>
  <w:style w:type="paragraph" w:customStyle="1" w:styleId="PCSchedule1">
    <w:name w:val="PC Schedule 1"/>
    <w:basedOn w:val="Normal"/>
    <w:pPr>
      <w:numPr>
        <w:ilvl w:val="5"/>
        <w:numId w:val="1"/>
      </w:numPr>
    </w:pPr>
  </w:style>
  <w:style w:type="paragraph" w:customStyle="1" w:styleId="PCSchedule2">
    <w:name w:val="PC Schedule 2"/>
    <w:basedOn w:val="Normal"/>
    <w:pPr>
      <w:numPr>
        <w:ilvl w:val="6"/>
        <w:numId w:val="1"/>
      </w:numPr>
    </w:pPr>
  </w:style>
  <w:style w:type="paragraph" w:customStyle="1" w:styleId="PCSchedule3">
    <w:name w:val="PC Schedule 3"/>
    <w:basedOn w:val="Normal"/>
    <w:pPr>
      <w:numPr>
        <w:ilvl w:val="7"/>
        <w:numId w:val="1"/>
      </w:numPr>
    </w:pPr>
  </w:style>
  <w:style w:type="paragraph" w:customStyle="1" w:styleId="PCSchedule4">
    <w:name w:val="PC Schedule 4"/>
    <w:basedOn w:val="Normal"/>
    <w:pPr>
      <w:numPr>
        <w:ilvl w:val="8"/>
        <w:numId w:val="1"/>
      </w:numPr>
    </w:pPr>
  </w:style>
  <w:style w:type="paragraph" w:customStyle="1" w:styleId="MRRecital1">
    <w:name w:val="M&amp;R Recital 1"/>
    <w:basedOn w:val="Normal"/>
    <w:rsid w:val="003670D8"/>
    <w:pPr>
      <w:numPr>
        <w:numId w:val="13"/>
      </w:numPr>
      <w:spacing w:before="240" w:line="360" w:lineRule="auto"/>
      <w:jc w:val="both"/>
    </w:pPr>
    <w:rPr>
      <w:rFonts w:cs="Times New Roman"/>
      <w:sz w:val="22"/>
      <w:szCs w:val="20"/>
      <w:lang w:eastAsia="en-GB"/>
    </w:rPr>
  </w:style>
  <w:style w:type="character" w:customStyle="1" w:styleId="MRheading2Char">
    <w:name w:val="M&amp;R heading 2 Char"/>
    <w:rPr>
      <w:rFonts w:ascii="Arial" w:hAnsi="Arial" w:cs="Arial"/>
      <w:sz w:val="24"/>
      <w:szCs w:val="24"/>
      <w:lang w:val="fr-FR"/>
    </w:rPr>
  </w:style>
  <w:style w:type="character" w:customStyle="1" w:styleId="MRheading3Char">
    <w:name w:val="M&amp;R heading 3 Char"/>
    <w:rPr>
      <w:rFonts w:ascii="Arial" w:hAnsi="Arial" w:cs="Arial"/>
      <w:sz w:val="24"/>
      <w:szCs w:val="24"/>
      <w:lang w:val="fr-FR"/>
    </w:rPr>
  </w:style>
  <w:style w:type="paragraph" w:customStyle="1" w:styleId="Text">
    <w:name w:val="Text"/>
    <w:basedOn w:val="Normal"/>
    <w:pPr>
      <w:tabs>
        <w:tab w:val="left" w:pos="284"/>
      </w:tabs>
      <w:suppressAutoHyphens w:val="0"/>
      <w:spacing w:after="260"/>
      <w:jc w:val="both"/>
    </w:pPr>
    <w:rPr>
      <w:rFonts w:ascii="Palatino" w:hAnsi="Palatino" w:cs="Palatino"/>
      <w:b/>
      <w:bCs/>
      <w:sz w:val="22"/>
      <w:szCs w:val="22"/>
    </w:rPr>
  </w:style>
  <w:style w:type="character" w:customStyle="1" w:styleId="TextChar">
    <w:name w:val="Text Char"/>
    <w:rPr>
      <w:rFonts w:ascii="Palatino" w:hAnsi="Palatino" w:cs="Palatino"/>
      <w:b/>
      <w:bCs/>
      <w:sz w:val="22"/>
      <w:szCs w:val="22"/>
      <w:lang w:val="fr-FR"/>
    </w:rPr>
  </w:style>
  <w:style w:type="character" w:customStyle="1" w:styleId="Lev2Char">
    <w:name w:val="Lev 2 Char"/>
    <w:aliases w:val="(1.1 Char,1.2 Char,1.3 etc) Char,2 Char,21 Char,22 Char,23 Char,24 Char,25 Char,MT heading 2 Char,lev2 Char Char,section header Char,sub-sect Char,sub-sect1 Char,sub-sect2 Char,sub-sect3 Char,sub-sect4 Char,sub-sect5 Char"/>
    <w:rPr>
      <w:rFonts w:ascii="Arial" w:hAnsi="Arial" w:cs="Arial"/>
      <w:b/>
      <w:bCs/>
      <w:i/>
      <w:iCs/>
      <w:sz w:val="28"/>
      <w:szCs w:val="28"/>
      <w:lang w:val="fr-FR"/>
    </w:rPr>
  </w:style>
  <w:style w:type="paragraph" w:customStyle="1" w:styleId="NormalWeb">
    <w:name w:val="Normal(Web)"/>
    <w:basedOn w:val="Normal"/>
    <w:pPr>
      <w:suppressAutoHyphens w:val="0"/>
      <w:spacing w:before="100" w:beforeAutospacing="1" w:after="100" w:afterAutospacing="1" w:line="260" w:lineRule="atLeast"/>
      <w:jc w:val="both"/>
    </w:pPr>
    <w:rPr>
      <w:rFonts w:ascii="Verdana" w:hAnsi="Verdana" w:cs="Verdana"/>
      <w:sz w:val="16"/>
      <w:szCs w:val="16"/>
    </w:rPr>
  </w:style>
  <w:style w:type="paragraph" w:customStyle="1" w:styleId="Level4">
    <w:name w:val="Level 4"/>
    <w:basedOn w:val="Normal"/>
    <w:pPr>
      <w:tabs>
        <w:tab w:val="num" w:pos="2160"/>
      </w:tabs>
      <w:suppressAutoHyphens w:val="0"/>
      <w:spacing w:after="260" w:line="260" w:lineRule="atLeast"/>
      <w:ind w:left="2160" w:hanging="720"/>
      <w:jc w:val="both"/>
      <w:outlineLvl w:val="3"/>
    </w:pPr>
    <w:rPr>
      <w:sz w:val="21"/>
      <w:szCs w:val="21"/>
    </w:rPr>
  </w:style>
  <w:style w:type="paragraph" w:customStyle="1" w:styleId="Level5">
    <w:name w:val="Level 5"/>
    <w:basedOn w:val="Normal"/>
    <w:pPr>
      <w:tabs>
        <w:tab w:val="num" w:pos="2880"/>
      </w:tabs>
      <w:suppressAutoHyphens w:val="0"/>
      <w:spacing w:after="260" w:line="260" w:lineRule="atLeast"/>
      <w:ind w:left="2880" w:hanging="720"/>
      <w:jc w:val="both"/>
      <w:outlineLvl w:val="4"/>
    </w:pPr>
    <w:rPr>
      <w:sz w:val="21"/>
      <w:szCs w:val="21"/>
    </w:rPr>
  </w:style>
  <w:style w:type="paragraph" w:customStyle="1" w:styleId="Level6">
    <w:name w:val="Level 6"/>
    <w:basedOn w:val="Normal"/>
    <w:pPr>
      <w:tabs>
        <w:tab w:val="num" w:pos="3600"/>
      </w:tabs>
      <w:suppressAutoHyphens w:val="0"/>
      <w:spacing w:after="260" w:line="260" w:lineRule="atLeast"/>
      <w:ind w:left="3600" w:hanging="720"/>
      <w:jc w:val="both"/>
      <w:outlineLvl w:val="5"/>
    </w:pPr>
    <w:rPr>
      <w:sz w:val="21"/>
      <w:szCs w:val="21"/>
    </w:rPr>
  </w:style>
  <w:style w:type="paragraph" w:customStyle="1" w:styleId="Text1">
    <w:name w:val="Text 1"/>
    <w:basedOn w:val="Normal"/>
    <w:pPr>
      <w:suppressAutoHyphens w:val="0"/>
      <w:spacing w:after="260" w:line="260" w:lineRule="atLeast"/>
      <w:ind w:left="720"/>
      <w:jc w:val="both"/>
      <w:outlineLvl w:val="0"/>
    </w:pPr>
    <w:rPr>
      <w:sz w:val="21"/>
      <w:szCs w:val="21"/>
    </w:rPr>
  </w:style>
  <w:style w:type="paragraph" w:customStyle="1" w:styleId="Text2">
    <w:name w:val="Text 2"/>
    <w:basedOn w:val="Normal"/>
    <w:pPr>
      <w:suppressAutoHyphens w:val="0"/>
      <w:spacing w:after="260" w:line="260" w:lineRule="atLeast"/>
      <w:ind w:left="720"/>
      <w:jc w:val="both"/>
      <w:outlineLvl w:val="1"/>
    </w:pPr>
    <w:rPr>
      <w:sz w:val="21"/>
      <w:szCs w:val="21"/>
    </w:rPr>
  </w:style>
  <w:style w:type="paragraph" w:customStyle="1" w:styleId="Text3">
    <w:name w:val="Text 3"/>
    <w:basedOn w:val="Normal"/>
    <w:pPr>
      <w:suppressAutoHyphens w:val="0"/>
      <w:spacing w:after="260" w:line="260" w:lineRule="atLeast"/>
      <w:ind w:left="1440"/>
      <w:jc w:val="both"/>
      <w:outlineLvl w:val="2"/>
    </w:pPr>
    <w:rPr>
      <w:sz w:val="21"/>
      <w:szCs w:val="21"/>
    </w:rPr>
  </w:style>
  <w:style w:type="paragraph" w:customStyle="1" w:styleId="Text4">
    <w:name w:val="Text 4"/>
    <w:basedOn w:val="Normal"/>
    <w:pPr>
      <w:suppressAutoHyphens w:val="0"/>
      <w:spacing w:after="260" w:line="260" w:lineRule="atLeast"/>
      <w:ind w:left="2160"/>
      <w:jc w:val="both"/>
      <w:outlineLvl w:val="3"/>
    </w:pPr>
    <w:rPr>
      <w:sz w:val="21"/>
      <w:szCs w:val="21"/>
    </w:rPr>
  </w:style>
  <w:style w:type="paragraph" w:customStyle="1" w:styleId="Text5">
    <w:name w:val="Text 5"/>
    <w:basedOn w:val="Normal"/>
    <w:pPr>
      <w:suppressAutoHyphens w:val="0"/>
      <w:spacing w:after="260" w:line="260" w:lineRule="atLeast"/>
      <w:ind w:left="2880"/>
      <w:jc w:val="both"/>
      <w:outlineLvl w:val="4"/>
    </w:pPr>
    <w:rPr>
      <w:sz w:val="21"/>
      <w:szCs w:val="21"/>
    </w:rPr>
  </w:style>
  <w:style w:type="paragraph" w:customStyle="1" w:styleId="Text6">
    <w:name w:val="Text 6"/>
    <w:basedOn w:val="Normal"/>
    <w:pPr>
      <w:suppressAutoHyphens w:val="0"/>
      <w:spacing w:after="260" w:line="260" w:lineRule="atLeast"/>
      <w:ind w:left="3600"/>
      <w:jc w:val="both"/>
      <w:outlineLvl w:val="5"/>
    </w:pPr>
    <w:rPr>
      <w:sz w:val="21"/>
      <w:szCs w:val="21"/>
    </w:rPr>
  </w:style>
  <w:style w:type="paragraph" w:styleId="TOC4">
    <w:name w:val="toc 4"/>
    <w:basedOn w:val="Normal"/>
    <w:next w:val="Normal"/>
    <w:pPr>
      <w:suppressAutoHyphens w:val="0"/>
      <w:spacing w:after="260" w:line="260" w:lineRule="atLeast"/>
      <w:jc w:val="both"/>
    </w:pPr>
    <w:rPr>
      <w:sz w:val="21"/>
      <w:szCs w:val="21"/>
    </w:rPr>
  </w:style>
  <w:style w:type="paragraph" w:styleId="TOC5">
    <w:name w:val="toc 5"/>
    <w:basedOn w:val="Normal"/>
    <w:next w:val="Normal"/>
    <w:pPr>
      <w:suppressAutoHyphens w:val="0"/>
      <w:spacing w:after="260" w:line="260" w:lineRule="atLeast"/>
      <w:jc w:val="both"/>
    </w:pPr>
    <w:rPr>
      <w:sz w:val="21"/>
      <w:szCs w:val="21"/>
    </w:rPr>
  </w:style>
  <w:style w:type="paragraph" w:styleId="TOC6">
    <w:name w:val="toc 6"/>
    <w:basedOn w:val="Normal"/>
    <w:next w:val="Normal"/>
    <w:pPr>
      <w:suppressAutoHyphens w:val="0"/>
      <w:spacing w:after="260" w:line="260" w:lineRule="atLeast"/>
      <w:jc w:val="both"/>
    </w:pPr>
    <w:rPr>
      <w:sz w:val="21"/>
      <w:szCs w:val="21"/>
    </w:rPr>
  </w:style>
  <w:style w:type="paragraph" w:styleId="TOC7">
    <w:name w:val="toc 7"/>
    <w:basedOn w:val="Normal"/>
    <w:next w:val="Normal"/>
    <w:pPr>
      <w:suppressAutoHyphens w:val="0"/>
      <w:spacing w:after="260" w:line="260" w:lineRule="atLeast"/>
      <w:jc w:val="both"/>
    </w:pPr>
    <w:rPr>
      <w:sz w:val="21"/>
      <w:szCs w:val="21"/>
    </w:rPr>
  </w:style>
  <w:style w:type="paragraph" w:styleId="TOC8">
    <w:name w:val="toc 8"/>
    <w:basedOn w:val="Normal"/>
    <w:next w:val="Normal"/>
    <w:pPr>
      <w:suppressAutoHyphens w:val="0"/>
      <w:spacing w:after="260" w:line="260" w:lineRule="atLeast"/>
      <w:jc w:val="both"/>
    </w:pPr>
    <w:rPr>
      <w:sz w:val="21"/>
      <w:szCs w:val="21"/>
    </w:rPr>
  </w:style>
  <w:style w:type="paragraph" w:styleId="TOC9">
    <w:name w:val="toc 9"/>
    <w:basedOn w:val="Normal"/>
    <w:next w:val="Normal"/>
    <w:pPr>
      <w:suppressAutoHyphens w:val="0"/>
      <w:spacing w:after="260" w:line="260" w:lineRule="atLeast"/>
      <w:jc w:val="both"/>
    </w:pPr>
    <w:rPr>
      <w:sz w:val="21"/>
      <w:szCs w:val="21"/>
    </w:rPr>
  </w:style>
  <w:style w:type="paragraph" w:customStyle="1" w:styleId="ScheduleNumber">
    <w:name w:val="ScheduleNumber"/>
    <w:basedOn w:val="Normal"/>
    <w:next w:val="Normal"/>
    <w:pPr>
      <w:numPr>
        <w:numId w:val="6"/>
      </w:numPr>
      <w:suppressAutoHyphens w:val="0"/>
      <w:spacing w:after="260" w:line="260" w:lineRule="atLeast"/>
      <w:jc w:val="center"/>
    </w:pPr>
    <w:rPr>
      <w:b/>
      <w:bCs/>
      <w:sz w:val="21"/>
      <w:szCs w:val="21"/>
    </w:rPr>
  </w:style>
  <w:style w:type="paragraph" w:customStyle="1" w:styleId="SchLevel1">
    <w:name w:val="SchLevel 1"/>
    <w:basedOn w:val="Normal"/>
    <w:pPr>
      <w:keepNext/>
      <w:numPr>
        <w:ilvl w:val="1"/>
        <w:numId w:val="6"/>
      </w:numPr>
      <w:suppressAutoHyphens w:val="0"/>
      <w:spacing w:after="260" w:line="260" w:lineRule="atLeast"/>
      <w:jc w:val="both"/>
    </w:pPr>
    <w:rPr>
      <w:b/>
      <w:bCs/>
      <w:caps/>
      <w:sz w:val="21"/>
      <w:szCs w:val="21"/>
    </w:rPr>
  </w:style>
  <w:style w:type="paragraph" w:customStyle="1" w:styleId="SchLevel2">
    <w:name w:val="SchLevel 2"/>
    <w:basedOn w:val="Normal"/>
    <w:pPr>
      <w:numPr>
        <w:ilvl w:val="2"/>
        <w:numId w:val="6"/>
      </w:numPr>
      <w:suppressAutoHyphens w:val="0"/>
      <w:spacing w:after="260" w:line="260" w:lineRule="atLeast"/>
      <w:jc w:val="both"/>
    </w:pPr>
    <w:rPr>
      <w:sz w:val="21"/>
      <w:szCs w:val="21"/>
    </w:rPr>
  </w:style>
  <w:style w:type="paragraph" w:customStyle="1" w:styleId="SchLevel3">
    <w:name w:val="SchLevel 3"/>
    <w:basedOn w:val="Normal"/>
    <w:pPr>
      <w:numPr>
        <w:ilvl w:val="3"/>
        <w:numId w:val="6"/>
      </w:numPr>
      <w:suppressAutoHyphens w:val="0"/>
      <w:spacing w:after="260" w:line="260" w:lineRule="atLeast"/>
      <w:jc w:val="both"/>
    </w:pPr>
    <w:rPr>
      <w:sz w:val="21"/>
      <w:szCs w:val="21"/>
    </w:rPr>
  </w:style>
  <w:style w:type="paragraph" w:customStyle="1" w:styleId="SchLevel4">
    <w:name w:val="SchLevel 4"/>
    <w:basedOn w:val="Normal"/>
    <w:pPr>
      <w:numPr>
        <w:ilvl w:val="4"/>
        <w:numId w:val="6"/>
      </w:numPr>
      <w:suppressAutoHyphens w:val="0"/>
      <w:spacing w:after="260" w:line="260" w:lineRule="atLeast"/>
      <w:jc w:val="both"/>
    </w:pPr>
    <w:rPr>
      <w:sz w:val="21"/>
      <w:szCs w:val="21"/>
    </w:rPr>
  </w:style>
  <w:style w:type="paragraph" w:customStyle="1" w:styleId="SchLevel5">
    <w:name w:val="SchLevel 5"/>
    <w:basedOn w:val="Normal"/>
    <w:pPr>
      <w:numPr>
        <w:ilvl w:val="5"/>
        <w:numId w:val="6"/>
      </w:numPr>
      <w:suppressAutoHyphens w:val="0"/>
      <w:spacing w:after="260" w:line="260" w:lineRule="atLeast"/>
      <w:ind w:right="144"/>
      <w:jc w:val="both"/>
    </w:pPr>
    <w:rPr>
      <w:sz w:val="21"/>
      <w:szCs w:val="21"/>
    </w:rPr>
  </w:style>
  <w:style w:type="paragraph" w:customStyle="1" w:styleId="SchLevel6">
    <w:name w:val="SchLevel 6"/>
    <w:basedOn w:val="Normal"/>
    <w:pPr>
      <w:numPr>
        <w:ilvl w:val="6"/>
        <w:numId w:val="6"/>
      </w:numPr>
      <w:suppressAutoHyphens w:val="0"/>
      <w:spacing w:after="260" w:line="260" w:lineRule="atLeast"/>
      <w:jc w:val="both"/>
    </w:pPr>
    <w:rPr>
      <w:sz w:val="21"/>
      <w:szCs w:val="21"/>
    </w:rPr>
  </w:style>
  <w:style w:type="paragraph" w:customStyle="1" w:styleId="Introduction">
    <w:name w:val="Introduction"/>
    <w:basedOn w:val="Normal"/>
    <w:pPr>
      <w:numPr>
        <w:numId w:val="5"/>
      </w:numPr>
      <w:suppressAutoHyphens w:val="0"/>
      <w:spacing w:after="260" w:line="260" w:lineRule="atLeast"/>
      <w:jc w:val="both"/>
    </w:pPr>
    <w:rPr>
      <w:sz w:val="21"/>
      <w:szCs w:val="21"/>
    </w:rPr>
  </w:style>
  <w:style w:type="paragraph" w:customStyle="1" w:styleId="Indent4">
    <w:name w:val="Indent 4"/>
    <w:basedOn w:val="Normal"/>
    <w:pPr>
      <w:suppressAutoHyphens w:val="0"/>
      <w:ind w:left="2160"/>
      <w:jc w:val="both"/>
    </w:pPr>
    <w:rPr>
      <w:rFonts w:ascii="Times New Roman" w:hAnsi="Times New Roman" w:cs="Times New Roman"/>
    </w:rPr>
  </w:style>
  <w:style w:type="paragraph" w:customStyle="1" w:styleId="Indent1">
    <w:name w:val="Indent 1"/>
    <w:basedOn w:val="Normal"/>
    <w:pPr>
      <w:suppressAutoHyphens w:val="0"/>
      <w:ind w:left="720"/>
      <w:jc w:val="both"/>
    </w:pPr>
    <w:rPr>
      <w:rFonts w:ascii="Times New Roman" w:hAnsi="Times New Roman" w:cs="Times New Roman"/>
    </w:rPr>
  </w:style>
  <w:style w:type="paragraph" w:customStyle="1" w:styleId="DETRLevel1">
    <w:name w:val="DETR Level 1"/>
    <w:basedOn w:val="ListNumber"/>
    <w:pPr>
      <w:tabs>
        <w:tab w:val="clear" w:pos="1080"/>
        <w:tab w:val="left" w:pos="-720"/>
      </w:tabs>
      <w:suppressAutoHyphens/>
      <w:ind w:left="0" w:firstLine="0"/>
      <w:jc w:val="both"/>
    </w:pPr>
    <w:rPr>
      <w:spacing w:val="-2"/>
      <w:sz w:val="24"/>
      <w:szCs w:val="24"/>
    </w:rPr>
  </w:style>
  <w:style w:type="paragraph" w:styleId="ListNumber">
    <w:name w:val="List Number"/>
    <w:aliases w:val="ln"/>
    <w:basedOn w:val="Normal"/>
    <w:pPr>
      <w:tabs>
        <w:tab w:val="num" w:pos="1080"/>
      </w:tabs>
      <w:suppressAutoHyphens w:val="0"/>
      <w:ind w:left="1080" w:hanging="360"/>
    </w:pPr>
    <w:rPr>
      <w:rFonts w:ascii="Times New Roman" w:hAnsi="Times New Roman" w:cs="Times New Roman"/>
      <w:sz w:val="20"/>
      <w:szCs w:val="20"/>
    </w:rPr>
  </w:style>
  <w:style w:type="character" w:customStyle="1" w:styleId="DeltaViewDeletion">
    <w:name w:val="DeltaView Deletion"/>
    <w:rPr>
      <w:strike/>
      <w:color w:val="FF0000"/>
    </w:rPr>
  </w:style>
  <w:style w:type="paragraph" w:customStyle="1" w:styleId="CharChar1CharCharCharCharCharCharCharCharCharCharCharCharChar">
    <w:name w:val="Char Char1 Char Char Char Char Char Char Char Char Char Char Char Char Char"/>
    <w:basedOn w:val="Normal"/>
    <w:pPr>
      <w:suppressAutoHyphens w:val="0"/>
      <w:spacing w:after="160" w:line="240" w:lineRule="exact"/>
    </w:pPr>
    <w:rPr>
      <w:rFonts w:ascii="Verdana" w:hAnsi="Verdana" w:cs="Verdana"/>
      <w:sz w:val="20"/>
      <w:szCs w:val="20"/>
    </w:rPr>
  </w:style>
  <w:style w:type="paragraph" w:customStyle="1" w:styleId="DefNum">
    <w:name w:val="DefNum"/>
    <w:basedOn w:val="Normal"/>
    <w:pPr>
      <w:suppressAutoHyphens w:val="0"/>
      <w:spacing w:after="240" w:line="260" w:lineRule="atLeast"/>
      <w:jc w:val="both"/>
    </w:pPr>
    <w:rPr>
      <w:sz w:val="21"/>
      <w:szCs w:val="21"/>
    </w:rPr>
  </w:style>
  <w:style w:type="paragraph" w:customStyle="1" w:styleId="Body1">
    <w:name w:val="Body 1"/>
    <w:basedOn w:val="Normal"/>
    <w:pPr>
      <w:tabs>
        <w:tab w:val="left" w:pos="851"/>
      </w:tabs>
      <w:suppressAutoHyphens w:val="0"/>
      <w:spacing w:after="240" w:line="312" w:lineRule="auto"/>
      <w:ind w:left="851"/>
      <w:jc w:val="both"/>
    </w:pPr>
    <w:rPr>
      <w:rFonts w:ascii="Times New Roman" w:hAnsi="Times New Roman" w:cs="Times New Roman"/>
    </w:rPr>
  </w:style>
  <w:style w:type="character" w:customStyle="1" w:styleId="Level2asHeadingtext">
    <w:name w:val="Level 2 as Heading (text)"/>
    <w:rPr>
      <w:rFonts w:ascii="Arial" w:hAnsi="Arial" w:cs="Arial"/>
      <w:b/>
      <w:bCs/>
      <w:sz w:val="24"/>
      <w:szCs w:val="24"/>
      <w:lang w:val="fr-FR"/>
    </w:rPr>
  </w:style>
  <w:style w:type="paragraph" w:styleId="ListBullet3">
    <w:name w:val="List Bullet 3"/>
    <w:aliases w:val="lb3"/>
    <w:basedOn w:val="Normal"/>
    <w:pPr>
      <w:numPr>
        <w:numId w:val="7"/>
      </w:numPr>
      <w:suppressAutoHyphens w:val="0"/>
      <w:jc w:val="both"/>
    </w:pPr>
    <w:rPr>
      <w:rFonts w:ascii="Times New Roman" w:hAnsi="Times New Roman" w:cs="Times New Roman"/>
    </w:rPr>
  </w:style>
  <w:style w:type="character" w:customStyle="1" w:styleId="Party">
    <w:name w:val="Party"/>
    <w:rPr>
      <w:rFonts w:ascii="Arial" w:hAnsi="Arial" w:cs="Arial"/>
      <w:b/>
      <w:bCs/>
      <w:caps/>
      <w:sz w:val="21"/>
      <w:szCs w:val="21"/>
      <w:lang w:val="fr-FR"/>
    </w:rPr>
  </w:style>
  <w:style w:type="character" w:customStyle="1" w:styleId="Level1asHeadingtext">
    <w:name w:val="Level 1 as Heading (text)"/>
    <w:rPr>
      <w:rFonts w:ascii="Arial" w:hAnsi="Arial" w:cs="Arial"/>
      <w:b/>
      <w:bCs/>
      <w:sz w:val="24"/>
      <w:szCs w:val="24"/>
      <w:lang w:val="fr-FR"/>
    </w:rPr>
  </w:style>
  <w:style w:type="paragraph" w:customStyle="1" w:styleId="PageNumber0">
    <w:name w:val="PageNumber"/>
    <w:basedOn w:val="Footer"/>
    <w:pPr>
      <w:suppressAutoHyphens w:val="0"/>
      <w:jc w:val="center"/>
    </w:pPr>
    <w:rPr>
      <w:sz w:val="21"/>
      <w:szCs w:val="21"/>
    </w:rPr>
  </w:style>
  <w:style w:type="paragraph" w:customStyle="1" w:styleId="StandardWording">
    <w:name w:val="StandardWording"/>
    <w:basedOn w:val="Normal"/>
    <w:pPr>
      <w:suppressAutoHyphens w:val="0"/>
      <w:spacing w:after="240" w:line="260" w:lineRule="atLeast"/>
      <w:ind w:right="4978"/>
      <w:jc w:val="both"/>
    </w:pPr>
    <w:rPr>
      <w:sz w:val="21"/>
      <w:szCs w:val="21"/>
    </w:rPr>
  </w:style>
  <w:style w:type="paragraph" w:customStyle="1" w:styleId="StandardWordingTable">
    <w:name w:val="StandardWordingTable"/>
    <w:basedOn w:val="StandardWording"/>
  </w:style>
  <w:style w:type="character" w:customStyle="1" w:styleId="FooterLabel">
    <w:name w:val="Footer Label"/>
    <w:rPr>
      <w:rFonts w:ascii="Arial" w:hAnsi="Arial" w:cs="Arial"/>
      <w:b/>
      <w:bCs/>
      <w:sz w:val="24"/>
      <w:szCs w:val="24"/>
      <w:lang w:val="fr-FR"/>
    </w:rPr>
  </w:style>
  <w:style w:type="character" w:customStyle="1" w:styleId="Filename">
    <w:name w:val="Filename"/>
    <w:rPr>
      <w:rFonts w:ascii="Arial" w:hAnsi="Arial" w:cs="Arial"/>
      <w:sz w:val="12"/>
      <w:szCs w:val="12"/>
      <w:lang w:val="fr-FR"/>
    </w:rPr>
  </w:style>
  <w:style w:type="character" w:customStyle="1" w:styleId="Text2Char">
    <w:name w:val="Text 2 Char"/>
    <w:rPr>
      <w:rFonts w:ascii="Arial" w:hAnsi="Arial" w:cs="Arial"/>
      <w:sz w:val="21"/>
      <w:szCs w:val="21"/>
      <w:lang w:val="fr-FR"/>
    </w:rPr>
  </w:style>
  <w:style w:type="paragraph" w:customStyle="1" w:styleId="Body2">
    <w:name w:val="Body 2"/>
    <w:basedOn w:val="Normal"/>
    <w:pPr>
      <w:tabs>
        <w:tab w:val="left" w:pos="851"/>
      </w:tabs>
      <w:suppressAutoHyphens w:val="0"/>
      <w:spacing w:after="240" w:line="312" w:lineRule="auto"/>
      <w:ind w:left="851"/>
      <w:jc w:val="both"/>
    </w:pPr>
    <w:rPr>
      <w:rFonts w:ascii="Times New Roman" w:hAnsi="Times New Roman" w:cs="Times New Roman"/>
    </w:rPr>
  </w:style>
  <w:style w:type="paragraph" w:customStyle="1" w:styleId="CharCharCharCharChar1CharCharCharChar">
    <w:name w:val="Char Char Char Char Char1 Char Char Char Char"/>
    <w:basedOn w:val="Normal"/>
    <w:pPr>
      <w:suppressAutoHyphens w:val="0"/>
      <w:spacing w:after="160" w:line="240" w:lineRule="exact"/>
    </w:pPr>
    <w:rPr>
      <w:rFonts w:ascii="Verdana" w:hAnsi="Verdana" w:cs="Verdana"/>
      <w:sz w:val="20"/>
      <w:szCs w:val="20"/>
    </w:rPr>
  </w:style>
  <w:style w:type="paragraph" w:customStyle="1" w:styleId="MainTableText">
    <w:name w:val="Main Table Text"/>
    <w:basedOn w:val="Normal"/>
    <w:pPr>
      <w:suppressAutoHyphens w:val="0"/>
      <w:spacing w:before="80" w:after="40" w:line="360" w:lineRule="auto"/>
    </w:pPr>
    <w:rPr>
      <w:sz w:val="16"/>
      <w:szCs w:val="16"/>
    </w:rPr>
  </w:style>
  <w:style w:type="paragraph" w:customStyle="1" w:styleId="DeltaViewTableHeading">
    <w:name w:val="DeltaView Table Heading"/>
    <w:basedOn w:val="Normal"/>
    <w:pPr>
      <w:widowControl/>
      <w:suppressAutoHyphens w:val="0"/>
      <w:spacing w:after="120"/>
    </w:pPr>
    <w:rPr>
      <w:b/>
      <w:bCs/>
    </w:rPr>
  </w:style>
  <w:style w:type="paragraph" w:customStyle="1" w:styleId="DeltaViewTableBody">
    <w:name w:val="DeltaView Table Body"/>
    <w:basedOn w:val="Normal"/>
    <w:pPr>
      <w:widowControl/>
      <w:suppressAutoHyphens w:val="0"/>
    </w:pPr>
  </w:style>
  <w:style w:type="paragraph" w:customStyle="1" w:styleId="DeltaViewAnnounce">
    <w:name w:val="DeltaView Announce"/>
    <w:pPr>
      <w:autoSpaceDE w:val="0"/>
      <w:autoSpaceDN w:val="0"/>
      <w:adjustRightInd w:val="0"/>
      <w:spacing w:before="100" w:beforeAutospacing="1" w:after="100" w:afterAutospacing="1"/>
    </w:pPr>
    <w:rPr>
      <w:rFonts w:ascii="Arial" w:hAnsi="Arial" w:cs="Arial"/>
      <w:sz w:val="24"/>
      <w:szCs w:val="24"/>
      <w:lang w:eastAsia="en-US"/>
    </w:rPr>
  </w:style>
  <w:style w:type="character" w:customStyle="1" w:styleId="DeltaViewInsertion">
    <w:name w:val="DeltaView Insertion"/>
    <w:rPr>
      <w:color w:val="0000FF"/>
      <w:u w:val="double"/>
    </w:rPr>
  </w:style>
  <w:style w:type="character" w:customStyle="1" w:styleId="DeltaViewMoveSource">
    <w:name w:val="DeltaView Move Source"/>
    <w:rPr>
      <w:i/>
      <w:iCs/>
      <w:strike/>
      <w:color w:val="00C000"/>
    </w:rPr>
  </w:style>
  <w:style w:type="character" w:customStyle="1" w:styleId="DeltaViewMoveDestination">
    <w:name w:val="DeltaView Move Destination"/>
    <w:rPr>
      <w:i/>
      <w:iCs/>
      <w:color w:val="00C000"/>
      <w:u w:val="double"/>
    </w:rPr>
  </w:style>
  <w:style w:type="character" w:customStyle="1" w:styleId="DeltaViewChangeNumber">
    <w:name w:val="DeltaView Change Number"/>
    <w:rPr>
      <w:color w:val="000000"/>
      <w:vertAlign w:val="superscript"/>
    </w:rPr>
  </w:style>
  <w:style w:type="character" w:customStyle="1" w:styleId="DeltaViewDelimiter">
    <w:name w:val="DeltaView Delimiter"/>
  </w:style>
  <w:style w:type="paragraph" w:styleId="DocumentMap">
    <w:name w:val="Document Map"/>
    <w:basedOn w:val="Normal"/>
    <w:pPr>
      <w:widowControl/>
      <w:shd w:val="clear" w:color="auto" w:fill="000080"/>
      <w:suppressAutoHyphens w:val="0"/>
    </w:pPr>
    <w:rPr>
      <w:rFonts w:ascii="Tahoma" w:hAnsi="Tahoma" w:cs="Tahoma"/>
    </w:rPr>
  </w:style>
  <w:style w:type="character" w:customStyle="1" w:styleId="DeltaViewFormatChange">
    <w:name w:val="DeltaView Format Change"/>
    <w:rPr>
      <w:color w:val="000000"/>
    </w:rPr>
  </w:style>
  <w:style w:type="character" w:customStyle="1" w:styleId="DeltaViewMovedDeletion">
    <w:name w:val="DeltaView Moved Deletion"/>
    <w:rPr>
      <w:strike/>
      <w:color w:val="C08080"/>
    </w:rPr>
  </w:style>
  <w:style w:type="character" w:customStyle="1" w:styleId="DeltaViewComment">
    <w:name w:val="DeltaView Comment"/>
    <w:rPr>
      <w:color w:val="000000"/>
    </w:rPr>
  </w:style>
  <w:style w:type="character" w:customStyle="1" w:styleId="DeltaViewStyleChangeText">
    <w:name w:val="DeltaView Style Change Text"/>
    <w:rPr>
      <w:color w:val="000000"/>
      <w:u w:val="double"/>
    </w:rPr>
  </w:style>
  <w:style w:type="character" w:customStyle="1" w:styleId="DeltaViewStyleChangeLabel">
    <w:name w:val="DeltaView Style Change Label"/>
    <w:rPr>
      <w:color w:val="000000"/>
    </w:rPr>
  </w:style>
  <w:style w:type="character" w:customStyle="1" w:styleId="DeltaViewInsertedComment">
    <w:name w:val="DeltaView Inserted Comment"/>
    <w:rPr>
      <w:color w:val="0000FF"/>
      <w:u w:val="double"/>
    </w:rPr>
  </w:style>
  <w:style w:type="character" w:customStyle="1" w:styleId="DeltaViewDeletedComment">
    <w:name w:val="DeltaView Deleted Comment"/>
    <w:rPr>
      <w:strike/>
      <w:color w:val="FF0000"/>
    </w:rPr>
  </w:style>
  <w:style w:type="paragraph" w:customStyle="1" w:styleId="MRMainHeading">
    <w:name w:val="M&amp;R Main Heading"/>
    <w:basedOn w:val="Normal"/>
    <w:rsid w:val="00BF19A8"/>
    <w:pPr>
      <w:widowControl/>
      <w:suppressAutoHyphens w:val="0"/>
      <w:autoSpaceDE/>
      <w:autoSpaceDN/>
      <w:adjustRightInd/>
      <w:spacing w:before="240" w:line="288" w:lineRule="auto"/>
    </w:pPr>
    <w:rPr>
      <w:rFonts w:ascii="AmericanTypewriter Light" w:hAnsi="AmericanTypewriter Light" w:cs="Times New Roman"/>
      <w:color w:val="663366"/>
      <w:sz w:val="30"/>
      <w:szCs w:val="22"/>
      <w:lang w:eastAsia="en-GB"/>
    </w:rPr>
  </w:style>
  <w:style w:type="paragraph" w:customStyle="1" w:styleId="MRNumberedHeading2">
    <w:name w:val="M&amp;R Numbered Heading 2"/>
    <w:basedOn w:val="Normal"/>
    <w:rsid w:val="00BF19A8"/>
    <w:pPr>
      <w:widowControl/>
      <w:tabs>
        <w:tab w:val="num" w:pos="720"/>
      </w:tabs>
      <w:suppressAutoHyphens w:val="0"/>
      <w:autoSpaceDE/>
      <w:autoSpaceDN/>
      <w:adjustRightInd/>
      <w:spacing w:before="240" w:line="288" w:lineRule="auto"/>
      <w:ind w:left="720" w:hanging="720"/>
      <w:jc w:val="both"/>
      <w:outlineLvl w:val="1"/>
    </w:pPr>
    <w:rPr>
      <w:rFonts w:cs="Times New Roman"/>
      <w:color w:val="000000"/>
      <w:sz w:val="20"/>
      <w:lang w:eastAsia="en-GB"/>
    </w:rPr>
  </w:style>
  <w:style w:type="paragraph" w:customStyle="1" w:styleId="MRNumberedHeading3">
    <w:name w:val="M&amp;R Numbered Heading 3"/>
    <w:basedOn w:val="Normal"/>
    <w:rsid w:val="00BF19A8"/>
    <w:pPr>
      <w:widowControl/>
      <w:tabs>
        <w:tab w:val="num" w:pos="3240"/>
      </w:tabs>
      <w:suppressAutoHyphens w:val="0"/>
      <w:autoSpaceDE/>
      <w:autoSpaceDN/>
      <w:adjustRightInd/>
      <w:spacing w:before="240" w:line="288" w:lineRule="auto"/>
      <w:ind w:left="3240" w:hanging="720"/>
      <w:jc w:val="both"/>
      <w:outlineLvl w:val="2"/>
    </w:pPr>
    <w:rPr>
      <w:rFonts w:cs="Times New Roman"/>
      <w:color w:val="000000"/>
      <w:sz w:val="20"/>
      <w:lang w:eastAsia="en-GB"/>
    </w:rPr>
  </w:style>
  <w:style w:type="paragraph" w:customStyle="1" w:styleId="MRNumberedHeading4">
    <w:name w:val="M&amp;R Numbered Heading 4"/>
    <w:basedOn w:val="Normal"/>
    <w:rsid w:val="00BF19A8"/>
    <w:pPr>
      <w:widowControl/>
      <w:tabs>
        <w:tab w:val="num" w:pos="2520"/>
      </w:tabs>
      <w:suppressAutoHyphens w:val="0"/>
      <w:autoSpaceDE/>
      <w:autoSpaceDN/>
      <w:adjustRightInd/>
      <w:spacing w:before="240" w:line="288" w:lineRule="auto"/>
      <w:ind w:left="2520" w:hanging="720"/>
      <w:jc w:val="both"/>
      <w:outlineLvl w:val="3"/>
    </w:pPr>
    <w:rPr>
      <w:rFonts w:cs="Times New Roman"/>
      <w:color w:val="000000"/>
      <w:sz w:val="20"/>
      <w:szCs w:val="22"/>
      <w:lang w:eastAsia="en-GB"/>
    </w:rPr>
  </w:style>
  <w:style w:type="paragraph" w:customStyle="1" w:styleId="MRNumberedHeading5">
    <w:name w:val="M&amp;R Numbered Heading 5"/>
    <w:basedOn w:val="Normal"/>
    <w:rsid w:val="00BF19A8"/>
    <w:pPr>
      <w:widowControl/>
      <w:tabs>
        <w:tab w:val="num" w:pos="3240"/>
      </w:tabs>
      <w:suppressAutoHyphens w:val="0"/>
      <w:autoSpaceDE/>
      <w:autoSpaceDN/>
      <w:adjustRightInd/>
      <w:spacing w:before="240" w:line="288" w:lineRule="auto"/>
      <w:ind w:left="3240" w:hanging="720"/>
      <w:jc w:val="both"/>
      <w:outlineLvl w:val="4"/>
    </w:pPr>
    <w:rPr>
      <w:rFonts w:cs="Times New Roman"/>
      <w:color w:val="000000"/>
      <w:sz w:val="20"/>
      <w:szCs w:val="22"/>
      <w:lang w:eastAsia="en-GB"/>
    </w:rPr>
  </w:style>
  <w:style w:type="paragraph" w:customStyle="1" w:styleId="MRNumberedHeading6">
    <w:name w:val="M&amp;R Numbered Heading 6"/>
    <w:basedOn w:val="Normal"/>
    <w:rsid w:val="00BF19A8"/>
    <w:pPr>
      <w:widowControl/>
      <w:tabs>
        <w:tab w:val="num" w:pos="3960"/>
      </w:tabs>
      <w:suppressAutoHyphens w:val="0"/>
      <w:autoSpaceDE/>
      <w:autoSpaceDN/>
      <w:adjustRightInd/>
      <w:spacing w:before="240" w:line="288" w:lineRule="auto"/>
      <w:ind w:left="3960" w:hanging="720"/>
      <w:jc w:val="both"/>
      <w:outlineLvl w:val="5"/>
    </w:pPr>
    <w:rPr>
      <w:rFonts w:cs="Times New Roman"/>
      <w:color w:val="000000"/>
      <w:sz w:val="20"/>
      <w:lang w:eastAsia="en-GB"/>
    </w:rPr>
  </w:style>
  <w:style w:type="paragraph" w:customStyle="1" w:styleId="MRNumberedHeading7">
    <w:name w:val="M&amp;R Numbered Heading 7"/>
    <w:basedOn w:val="Normal"/>
    <w:rsid w:val="00BF19A8"/>
    <w:pPr>
      <w:widowControl/>
      <w:tabs>
        <w:tab w:val="num" w:pos="4680"/>
      </w:tabs>
      <w:suppressAutoHyphens w:val="0"/>
      <w:autoSpaceDE/>
      <w:autoSpaceDN/>
      <w:adjustRightInd/>
      <w:spacing w:before="240" w:line="288" w:lineRule="auto"/>
      <w:ind w:left="4680" w:hanging="720"/>
      <w:jc w:val="both"/>
      <w:outlineLvl w:val="6"/>
    </w:pPr>
    <w:rPr>
      <w:rFonts w:cs="Times New Roman"/>
      <w:color w:val="000000"/>
      <w:sz w:val="20"/>
      <w:lang w:eastAsia="en-GB"/>
    </w:rPr>
  </w:style>
  <w:style w:type="paragraph" w:styleId="Revision">
    <w:name w:val="Revision"/>
    <w:hidden/>
    <w:uiPriority w:val="99"/>
    <w:semiHidden/>
    <w:rsid w:val="0050057A"/>
    <w:rPr>
      <w:rFonts w:ascii="Arial" w:hAnsi="Arial" w:cs="Arial"/>
      <w:sz w:val="24"/>
      <w:szCs w:val="24"/>
      <w:lang w:eastAsia="en-US"/>
    </w:rPr>
  </w:style>
  <w:style w:type="table" w:styleId="TableGrid">
    <w:name w:val="Table Grid"/>
    <w:basedOn w:val="TableNormal"/>
    <w:rsid w:val="00F17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RNumberedParas1">
    <w:name w:val="M&amp;R Numbered Paras 1"/>
    <w:basedOn w:val="Normal"/>
    <w:rsid w:val="00E00C40"/>
    <w:pPr>
      <w:widowControl/>
      <w:numPr>
        <w:numId w:val="28"/>
      </w:numPr>
      <w:suppressAutoHyphens w:val="0"/>
      <w:autoSpaceDE/>
      <w:autoSpaceDN/>
      <w:adjustRightInd/>
      <w:spacing w:before="240" w:line="288" w:lineRule="auto"/>
    </w:pPr>
    <w:rPr>
      <w:rFonts w:cs="Times New Roman"/>
      <w:sz w:val="20"/>
      <w:lang w:eastAsia="en-GB"/>
    </w:rPr>
  </w:style>
  <w:style w:type="paragraph" w:customStyle="1" w:styleId="MRNumberedParas2">
    <w:name w:val="M&amp;R Numbered Paras 2"/>
    <w:basedOn w:val="Normal"/>
    <w:rsid w:val="00E00C40"/>
    <w:pPr>
      <w:widowControl/>
      <w:numPr>
        <w:ilvl w:val="1"/>
        <w:numId w:val="28"/>
      </w:numPr>
      <w:suppressAutoHyphens w:val="0"/>
      <w:autoSpaceDE/>
      <w:autoSpaceDN/>
      <w:adjustRightInd/>
      <w:spacing w:before="240" w:line="288" w:lineRule="auto"/>
    </w:pPr>
    <w:rPr>
      <w:rFonts w:cs="Times New Roman"/>
      <w:sz w:val="20"/>
      <w:lang w:eastAsia="en-GB"/>
    </w:rPr>
  </w:style>
  <w:style w:type="paragraph" w:customStyle="1" w:styleId="MRNumberedParas3">
    <w:name w:val="M&amp;R Numbered Paras 3"/>
    <w:basedOn w:val="Normal"/>
    <w:rsid w:val="00E00C40"/>
    <w:pPr>
      <w:widowControl/>
      <w:numPr>
        <w:ilvl w:val="2"/>
        <w:numId w:val="28"/>
      </w:numPr>
      <w:suppressAutoHyphens w:val="0"/>
      <w:autoSpaceDE/>
      <w:autoSpaceDN/>
      <w:adjustRightInd/>
      <w:spacing w:before="240" w:line="288" w:lineRule="auto"/>
    </w:pPr>
    <w:rPr>
      <w:rFonts w:cs="Times New Roman"/>
      <w:sz w:val="20"/>
      <w:lang w:eastAsia="en-GB"/>
    </w:rPr>
  </w:style>
  <w:style w:type="paragraph" w:customStyle="1" w:styleId="MRNumberedParas4">
    <w:name w:val="M&amp;R Numbered Paras 4"/>
    <w:basedOn w:val="Normal"/>
    <w:rsid w:val="00E00C40"/>
    <w:pPr>
      <w:widowControl/>
      <w:numPr>
        <w:ilvl w:val="3"/>
        <w:numId w:val="28"/>
      </w:numPr>
      <w:suppressAutoHyphens w:val="0"/>
      <w:autoSpaceDE/>
      <w:autoSpaceDN/>
      <w:adjustRightInd/>
      <w:spacing w:before="240" w:line="288" w:lineRule="auto"/>
    </w:pPr>
    <w:rPr>
      <w:rFonts w:cs="Times New Roman"/>
      <w:sz w:val="20"/>
      <w:lang w:eastAsia="en-GB"/>
    </w:rPr>
  </w:style>
  <w:style w:type="paragraph" w:customStyle="1" w:styleId="MRNumberedParas5">
    <w:name w:val="M&amp;R Numbered Paras 5"/>
    <w:basedOn w:val="Normal"/>
    <w:rsid w:val="00E00C40"/>
    <w:pPr>
      <w:widowControl/>
      <w:numPr>
        <w:ilvl w:val="4"/>
        <w:numId w:val="28"/>
      </w:numPr>
      <w:suppressAutoHyphens w:val="0"/>
      <w:autoSpaceDE/>
      <w:autoSpaceDN/>
      <w:adjustRightInd/>
      <w:spacing w:before="240" w:line="288" w:lineRule="auto"/>
    </w:pPr>
    <w:rPr>
      <w:rFonts w:cs="Times New Roman"/>
      <w:sz w:val="20"/>
      <w:lang w:eastAsia="en-GB"/>
    </w:rPr>
  </w:style>
  <w:style w:type="paragraph" w:customStyle="1" w:styleId="MRNumberedParas6">
    <w:name w:val="M&amp;R Numbered Paras 6"/>
    <w:basedOn w:val="Normal"/>
    <w:rsid w:val="00E00C40"/>
    <w:pPr>
      <w:widowControl/>
      <w:numPr>
        <w:ilvl w:val="5"/>
        <w:numId w:val="28"/>
      </w:numPr>
      <w:suppressAutoHyphens w:val="0"/>
      <w:autoSpaceDE/>
      <w:autoSpaceDN/>
      <w:adjustRightInd/>
      <w:spacing w:before="240" w:line="288" w:lineRule="auto"/>
    </w:pPr>
    <w:rPr>
      <w:rFonts w:cs="Times New Roman"/>
      <w:sz w:val="20"/>
      <w:lang w:eastAsia="en-GB"/>
    </w:rPr>
  </w:style>
  <w:style w:type="paragraph" w:customStyle="1" w:styleId="MRNumberedParas7">
    <w:name w:val="M&amp;R Numbered Paras 7"/>
    <w:basedOn w:val="Normal"/>
    <w:rsid w:val="00E00C40"/>
    <w:pPr>
      <w:widowControl/>
      <w:numPr>
        <w:ilvl w:val="6"/>
        <w:numId w:val="28"/>
      </w:numPr>
      <w:suppressAutoHyphens w:val="0"/>
      <w:autoSpaceDE/>
      <w:autoSpaceDN/>
      <w:adjustRightInd/>
      <w:spacing w:before="240" w:line="288" w:lineRule="auto"/>
    </w:pPr>
    <w:rPr>
      <w:rFonts w:cs="Times New Roman"/>
      <w:sz w:val="20"/>
      <w:lang w:eastAsia="en-GB"/>
    </w:rPr>
  </w:style>
  <w:style w:type="paragraph" w:customStyle="1" w:styleId="MRNumberedParas8">
    <w:name w:val="M&amp;R Numbered Paras 8"/>
    <w:basedOn w:val="Normal"/>
    <w:rsid w:val="00E00C40"/>
    <w:pPr>
      <w:widowControl/>
      <w:numPr>
        <w:ilvl w:val="7"/>
        <w:numId w:val="28"/>
      </w:numPr>
      <w:suppressAutoHyphens w:val="0"/>
      <w:autoSpaceDE/>
      <w:autoSpaceDN/>
      <w:adjustRightInd/>
      <w:spacing w:before="240" w:line="288" w:lineRule="auto"/>
    </w:pPr>
    <w:rPr>
      <w:rFonts w:cs="Times New Roman"/>
      <w:sz w:val="20"/>
      <w:lang w:eastAsia="en-GB"/>
    </w:rPr>
  </w:style>
  <w:style w:type="paragraph" w:customStyle="1" w:styleId="MRNumberedParas9">
    <w:name w:val="M&amp;R Numbered Paras 9"/>
    <w:basedOn w:val="Normal"/>
    <w:rsid w:val="00E00C40"/>
    <w:pPr>
      <w:widowControl/>
      <w:numPr>
        <w:ilvl w:val="8"/>
        <w:numId w:val="28"/>
      </w:numPr>
      <w:suppressAutoHyphens w:val="0"/>
      <w:autoSpaceDE/>
      <w:autoSpaceDN/>
      <w:adjustRightInd/>
      <w:spacing w:before="240" w:line="288" w:lineRule="auto"/>
    </w:pPr>
    <w:rPr>
      <w:rFonts w:cs="Times New Roman"/>
      <w:sz w:val="20"/>
      <w:lang w:eastAsia="en-GB"/>
    </w:rPr>
  </w:style>
  <w:style w:type="character" w:customStyle="1" w:styleId="FooterChar">
    <w:name w:val="Footer Char"/>
    <w:link w:val="Footer"/>
    <w:uiPriority w:val="99"/>
    <w:rsid w:val="00E00C40"/>
    <w:rPr>
      <w:rFonts w:ascii="Arial" w:hAnsi="Arial" w:cs="Arial"/>
      <w:sz w:val="24"/>
      <w:szCs w:val="24"/>
      <w:lang w:eastAsia="en-US"/>
    </w:rPr>
  </w:style>
  <w:style w:type="paragraph" w:styleId="ListParagraph">
    <w:name w:val="List Paragraph"/>
    <w:basedOn w:val="Normal"/>
    <w:uiPriority w:val="34"/>
    <w:qFormat/>
    <w:rsid w:val="009E166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2317">
      <w:marLeft w:val="0"/>
      <w:marRight w:val="0"/>
      <w:marTop w:val="0"/>
      <w:marBottom w:val="0"/>
      <w:divBdr>
        <w:top w:val="none" w:sz="0" w:space="0" w:color="auto"/>
        <w:left w:val="none" w:sz="0" w:space="0" w:color="auto"/>
        <w:bottom w:val="none" w:sz="0" w:space="0" w:color="auto"/>
        <w:right w:val="none" w:sz="0" w:space="0" w:color="auto"/>
      </w:divBdr>
    </w:div>
    <w:div w:id="669480555">
      <w:marLeft w:val="0"/>
      <w:marRight w:val="0"/>
      <w:marTop w:val="0"/>
      <w:marBottom w:val="0"/>
      <w:divBdr>
        <w:top w:val="none" w:sz="0" w:space="0" w:color="auto"/>
        <w:left w:val="none" w:sz="0" w:space="0" w:color="auto"/>
        <w:bottom w:val="none" w:sz="0" w:space="0" w:color="auto"/>
        <w:right w:val="none" w:sz="0" w:space="0" w:color="auto"/>
      </w:divBdr>
    </w:div>
    <w:div w:id="875200249">
      <w:bodyDiv w:val="1"/>
      <w:marLeft w:val="0"/>
      <w:marRight w:val="0"/>
      <w:marTop w:val="0"/>
      <w:marBottom w:val="0"/>
      <w:divBdr>
        <w:top w:val="none" w:sz="0" w:space="0" w:color="auto"/>
        <w:left w:val="none" w:sz="0" w:space="0" w:color="auto"/>
        <w:bottom w:val="none" w:sz="0" w:space="0" w:color="auto"/>
        <w:right w:val="none" w:sz="0" w:space="0" w:color="auto"/>
      </w:divBdr>
    </w:div>
    <w:div w:id="1089233299">
      <w:bodyDiv w:val="1"/>
      <w:marLeft w:val="0"/>
      <w:marRight w:val="0"/>
      <w:marTop w:val="0"/>
      <w:marBottom w:val="0"/>
      <w:divBdr>
        <w:top w:val="none" w:sz="0" w:space="0" w:color="auto"/>
        <w:left w:val="none" w:sz="0" w:space="0" w:color="auto"/>
        <w:bottom w:val="none" w:sz="0" w:space="0" w:color="auto"/>
        <w:right w:val="none" w:sz="0" w:space="0" w:color="auto"/>
      </w:divBdr>
    </w:div>
    <w:div w:id="1139878809">
      <w:bodyDiv w:val="1"/>
      <w:marLeft w:val="0"/>
      <w:marRight w:val="0"/>
      <w:marTop w:val="0"/>
      <w:marBottom w:val="0"/>
      <w:divBdr>
        <w:top w:val="none" w:sz="0" w:space="0" w:color="auto"/>
        <w:left w:val="none" w:sz="0" w:space="0" w:color="auto"/>
        <w:bottom w:val="none" w:sz="0" w:space="0" w:color="auto"/>
        <w:right w:val="none" w:sz="0" w:space="0" w:color="auto"/>
      </w:divBdr>
      <w:divsChild>
        <w:div w:id="1522165495">
          <w:marLeft w:val="0"/>
          <w:marRight w:val="0"/>
          <w:marTop w:val="0"/>
          <w:marBottom w:val="0"/>
          <w:divBdr>
            <w:top w:val="none" w:sz="0" w:space="0" w:color="auto"/>
            <w:left w:val="none" w:sz="0" w:space="0" w:color="auto"/>
            <w:bottom w:val="none" w:sz="0" w:space="0" w:color="auto"/>
            <w:right w:val="none" w:sz="0" w:space="0" w:color="auto"/>
          </w:divBdr>
        </w:div>
      </w:divsChild>
    </w:div>
    <w:div w:id="1143346690">
      <w:bodyDiv w:val="1"/>
      <w:marLeft w:val="0"/>
      <w:marRight w:val="0"/>
      <w:marTop w:val="0"/>
      <w:marBottom w:val="0"/>
      <w:divBdr>
        <w:top w:val="none" w:sz="0" w:space="0" w:color="auto"/>
        <w:left w:val="none" w:sz="0" w:space="0" w:color="auto"/>
        <w:bottom w:val="none" w:sz="0" w:space="0" w:color="auto"/>
        <w:right w:val="none" w:sz="0" w:space="0" w:color="auto"/>
      </w:divBdr>
      <w:divsChild>
        <w:div w:id="787047346">
          <w:marLeft w:val="0"/>
          <w:marRight w:val="0"/>
          <w:marTop w:val="0"/>
          <w:marBottom w:val="0"/>
          <w:divBdr>
            <w:top w:val="none" w:sz="0" w:space="0" w:color="auto"/>
            <w:left w:val="none" w:sz="0" w:space="0" w:color="auto"/>
            <w:bottom w:val="none" w:sz="0" w:space="0" w:color="auto"/>
            <w:right w:val="none" w:sz="0" w:space="0" w:color="auto"/>
          </w:divBdr>
        </w:div>
      </w:divsChild>
    </w:div>
    <w:div w:id="1206020033">
      <w:bodyDiv w:val="1"/>
      <w:marLeft w:val="0"/>
      <w:marRight w:val="0"/>
      <w:marTop w:val="0"/>
      <w:marBottom w:val="0"/>
      <w:divBdr>
        <w:top w:val="none" w:sz="0" w:space="0" w:color="auto"/>
        <w:left w:val="none" w:sz="0" w:space="0" w:color="auto"/>
        <w:bottom w:val="none" w:sz="0" w:space="0" w:color="auto"/>
        <w:right w:val="none" w:sz="0" w:space="0" w:color="auto"/>
      </w:divBdr>
    </w:div>
    <w:div w:id="1979414100">
      <w:bodyDiv w:val="1"/>
      <w:marLeft w:val="0"/>
      <w:marRight w:val="0"/>
      <w:marTop w:val="0"/>
      <w:marBottom w:val="0"/>
      <w:divBdr>
        <w:top w:val="none" w:sz="0" w:space="0" w:color="auto"/>
        <w:left w:val="none" w:sz="0" w:space="0" w:color="auto"/>
        <w:bottom w:val="none" w:sz="0" w:space="0" w:color="auto"/>
        <w:right w:val="none" w:sz="0" w:space="0" w:color="auto"/>
      </w:divBdr>
    </w:div>
    <w:div w:id="2105606417">
      <w:bodyDiv w:val="1"/>
      <w:marLeft w:val="0"/>
      <w:marRight w:val="0"/>
      <w:marTop w:val="0"/>
      <w:marBottom w:val="0"/>
      <w:divBdr>
        <w:top w:val="none" w:sz="0" w:space="0" w:color="auto"/>
        <w:left w:val="none" w:sz="0" w:space="0" w:color="auto"/>
        <w:bottom w:val="none" w:sz="0" w:space="0" w:color="auto"/>
        <w:right w:val="none" w:sz="0" w:space="0" w:color="auto"/>
      </w:divBdr>
      <w:divsChild>
        <w:div w:id="598373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unstats.un.org/sdgs/metadata/files/Metadata-15-05-01.pdf"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unstats.un.org/sdgs/metadata/files/Metadata-15-01-0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2AB63-EA2B-4600-8C84-F4C02ECB5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3183</Words>
  <Characters>16627</Characters>
  <Application>Microsoft Office Word</Application>
  <DocSecurity>0</DocSecurity>
  <Lines>138</Lines>
  <Paragraphs>39</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19771</CharactersWithSpaces>
  <SharedDoc>false</SharedDoc>
  <HLinks>
    <vt:vector size="12" baseType="variant">
      <vt:variant>
        <vt:i4>5898263</vt:i4>
      </vt:variant>
      <vt:variant>
        <vt:i4>3</vt:i4>
      </vt:variant>
      <vt:variant>
        <vt:i4>0</vt:i4>
      </vt:variant>
      <vt:variant>
        <vt:i4>5</vt:i4>
      </vt:variant>
      <vt:variant>
        <vt:lpwstr>https://unstats.un.org/sdgs/metadata/files/Metadata-15-05-01.pdf</vt:lpwstr>
      </vt:variant>
      <vt:variant>
        <vt:lpwstr/>
      </vt:variant>
      <vt:variant>
        <vt:i4>5832723</vt:i4>
      </vt:variant>
      <vt:variant>
        <vt:i4>0</vt:i4>
      </vt:variant>
      <vt:variant>
        <vt:i4>0</vt:i4>
      </vt:variant>
      <vt:variant>
        <vt:i4>5</vt:i4>
      </vt:variant>
      <vt:variant>
        <vt:lpwstr>https://unstats.un.org/sdgs/metadata/files/Metadata-15-01-02.pdf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Thompson</dc:creator>
  <cp:keywords/>
  <cp:lastModifiedBy>UNEP/CMS Secretariat</cp:lastModifiedBy>
  <cp:revision>2</cp:revision>
  <cp:lastPrinted>2019-11-05T21:42:00Z</cp:lastPrinted>
  <dcterms:created xsi:type="dcterms:W3CDTF">2019-12-19T11:22:00Z</dcterms:created>
  <dcterms:modified xsi:type="dcterms:W3CDTF">2019-12-19T11:22:00Z</dcterms:modified>
</cp:coreProperties>
</file>