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CC46C6"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D77C54">
              <w:rPr>
                <w:rFonts w:ascii="Arial" w:hAnsi="Arial" w:cs="Arial"/>
                <w:sz w:val="22"/>
                <w:szCs w:val="22"/>
                <w:lang w:val="fr-FR"/>
              </w:rPr>
              <w:t>4</w:t>
            </w:r>
          </w:p>
          <w:p w:rsidR="00260772" w:rsidRPr="005B42D9" w:rsidRDefault="00D77C54"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25</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0255FA">
      <w:pPr>
        <w:rPr>
          <w:rFonts w:ascii="Arial" w:hAnsi="Arial" w:cs="Arial"/>
          <w:b/>
          <w:bCs/>
          <w:sz w:val="22"/>
          <w:szCs w:val="22"/>
          <w:lang w:val="fr-FR"/>
        </w:rPr>
      </w:pPr>
    </w:p>
    <w:p w:rsidR="00D77C54" w:rsidRDefault="00D77C54" w:rsidP="00D77C54">
      <w:pPr>
        <w:pBdr>
          <w:top w:val="single" w:sz="6" w:space="0" w:color="FFFFFF"/>
          <w:left w:val="single" w:sz="6" w:space="0" w:color="FFFFFF"/>
          <w:bottom w:val="single" w:sz="6" w:space="0" w:color="FFFFFF"/>
          <w:right w:val="single" w:sz="6" w:space="0" w:color="FFFFFF"/>
        </w:pBdr>
        <w:ind w:left="-90" w:right="-367"/>
        <w:jc w:val="center"/>
        <w:outlineLvl w:val="1"/>
        <w:rPr>
          <w:rFonts w:ascii="Arial" w:eastAsia="Arial" w:hAnsi="Arial" w:cs="Arial"/>
          <w:b/>
          <w:bCs/>
          <w:sz w:val="22"/>
          <w:szCs w:val="22"/>
          <w:bdr w:val="none" w:sz="0" w:space="0" w:color="auto" w:frame="1"/>
          <w:lang w:val="fr-FR"/>
        </w:rPr>
      </w:pPr>
      <w:r>
        <w:rPr>
          <w:rFonts w:ascii="Arial" w:eastAsia="Arial" w:hAnsi="Arial" w:cs="Arial"/>
          <w:b/>
          <w:bCs/>
          <w:sz w:val="22"/>
          <w:szCs w:val="22"/>
          <w:bdr w:val="none" w:sz="0" w:space="0" w:color="auto" w:frame="1"/>
          <w:lang w:val="fr-FR"/>
        </w:rPr>
        <w:t>PARTICIPATION DES COMMUNAUTÉS ET MOYENS D’EXISTENCE</w:t>
      </w:r>
    </w:p>
    <w:p w:rsidR="00D77C54" w:rsidRDefault="00D77C54" w:rsidP="00D77C54">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p>
    <w:p w:rsidR="00BC6025" w:rsidRPr="00BC6025" w:rsidRDefault="00BC6025" w:rsidP="00D77C54">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Pr="00BC6025">
        <w:rPr>
          <w:rFonts w:ascii="Arial" w:hAnsi="Arial" w:cs="Arial"/>
          <w:bCs/>
          <w:caps/>
          <w:sz w:val="22"/>
          <w:szCs w:val="22"/>
          <w:lang w:val="fr-FR"/>
        </w:rPr>
        <w:t>.24.</w:t>
      </w:r>
      <w:r w:rsidR="00D77C54">
        <w:rPr>
          <w:rFonts w:ascii="Arial" w:hAnsi="Arial" w:cs="Arial"/>
          <w:bCs/>
          <w:caps/>
          <w:sz w:val="22"/>
          <w:szCs w:val="22"/>
          <w:lang w:val="fr-FR"/>
        </w:rPr>
        <w:t>4.13</w:t>
      </w:r>
      <w:r w:rsidRPr="00BC6025">
        <w:rPr>
          <w:rFonts w:ascii="Arial" w:hAnsi="Arial" w:cs="Arial"/>
          <w:bCs/>
          <w:caps/>
          <w:sz w:val="22"/>
          <w:szCs w:val="22"/>
          <w:lang w:val="fr-FR"/>
        </w:rPr>
        <w:t xml:space="preserve">) </w:t>
      </w:r>
    </w:p>
    <w:p w:rsidR="00BC6025" w:rsidRDefault="00BC6025" w:rsidP="00BC6025">
      <w:pPr>
        <w:jc w:val="center"/>
        <w:rPr>
          <w:rFonts w:ascii="Arial" w:hAnsi="Arial" w:cs="Arial"/>
          <w:b/>
          <w:caps/>
          <w:sz w:val="22"/>
          <w:szCs w:val="22"/>
          <w:lang w:val="fr-FR"/>
        </w:rPr>
      </w:pPr>
    </w:p>
    <w:p w:rsidR="000255FA" w:rsidRDefault="000255FA" w:rsidP="000255FA">
      <w:pPr>
        <w:jc w:val="center"/>
        <w:rPr>
          <w:rFonts w:ascii="Arial" w:hAnsi="Arial" w:cs="Arial"/>
          <w:bCs/>
          <w:i/>
          <w:iCs/>
          <w:sz w:val="22"/>
          <w:szCs w:val="22"/>
          <w:lang w:val="fr-FR"/>
        </w:rPr>
      </w:pPr>
      <w:r w:rsidRPr="00CC46C6">
        <w:rPr>
          <w:rFonts w:ascii="Arial" w:hAnsi="Arial" w:cs="Arial"/>
          <w:bCs/>
          <w:i/>
          <w:iCs/>
          <w:sz w:val="22"/>
          <w:szCs w:val="22"/>
          <w:lang w:val="fr-FR"/>
        </w:rPr>
        <w:t xml:space="preserve">(Préparé par </w:t>
      </w:r>
      <w:r w:rsidR="000615BF" w:rsidRPr="00CC46C6">
        <w:rPr>
          <w:rFonts w:ascii="Arial" w:hAnsi="Arial" w:cs="Arial"/>
          <w:bCs/>
          <w:i/>
          <w:iCs/>
          <w:sz w:val="22"/>
          <w:szCs w:val="22"/>
          <w:lang w:val="fr-FR"/>
        </w:rPr>
        <w:t>le Groupe de travail terrestre</w:t>
      </w:r>
      <w:r w:rsidRPr="00CC46C6">
        <w:rPr>
          <w:rFonts w:ascii="Arial" w:hAnsi="Arial" w:cs="Arial"/>
          <w:bCs/>
          <w:i/>
          <w:iCs/>
          <w:sz w:val="22"/>
          <w:szCs w:val="22"/>
          <w:lang w:val="fr-FR"/>
        </w:rPr>
        <w:t>)</w:t>
      </w:r>
    </w:p>
    <w:p w:rsidR="000255FA" w:rsidRDefault="000255FA" w:rsidP="00BC6025">
      <w:pPr>
        <w:jc w:val="center"/>
        <w:rPr>
          <w:rFonts w:ascii="Arial" w:hAnsi="Arial" w:cs="Arial"/>
          <w:b/>
          <w:caps/>
          <w:sz w:val="22"/>
          <w:szCs w:val="22"/>
          <w:lang w:val="fr-FR"/>
        </w:rPr>
      </w:pPr>
      <w:bookmarkStart w:id="0" w:name="_GoBack"/>
      <w:bookmarkEnd w:id="0"/>
    </w:p>
    <w:p w:rsidR="00D77C54" w:rsidRPr="00BC6025" w:rsidRDefault="00D77C54" w:rsidP="00BC6025">
      <w:pPr>
        <w:jc w:val="center"/>
        <w:rPr>
          <w:rFonts w:ascii="Arial" w:hAnsi="Arial" w:cs="Arial"/>
          <w:b/>
          <w:caps/>
          <w:sz w:val="22"/>
          <w:szCs w:val="22"/>
          <w:lang w:val="fr-FR"/>
        </w:rPr>
      </w:pPr>
    </w:p>
    <w:p w:rsidR="00D77C54" w:rsidRPr="00D77C54" w:rsidRDefault="00D77C54" w:rsidP="00D77C54">
      <w:pPr>
        <w:jc w:val="center"/>
        <w:rPr>
          <w:rFonts w:ascii="Arial" w:hAnsi="Arial" w:cs="Arial"/>
          <w:sz w:val="22"/>
          <w:szCs w:val="22"/>
          <w:lang w:val="fr-FR"/>
        </w:rPr>
      </w:pPr>
      <w:r>
        <w:rPr>
          <w:rFonts w:ascii="Arial" w:eastAsia="Arial" w:hAnsi="Arial" w:cs="Arial"/>
          <w:sz w:val="22"/>
          <w:szCs w:val="22"/>
          <w:bdr w:val="none" w:sz="0" w:space="0" w:color="auto" w:frame="1"/>
          <w:lang w:val="fr-FR"/>
        </w:rPr>
        <w:t>PROJETS DE DÉCISIONS</w:t>
      </w:r>
    </w:p>
    <w:p w:rsidR="00D77C54" w:rsidRDefault="00D77C54" w:rsidP="00D77C54">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fr-FR"/>
        </w:rPr>
      </w:pPr>
    </w:p>
    <w:p w:rsidR="00D77C54" w:rsidRDefault="00D77C54" w:rsidP="00D77C54">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fr-FR"/>
        </w:rPr>
      </w:pPr>
    </w:p>
    <w:p w:rsidR="00D77C54" w:rsidRDefault="00D77C54" w:rsidP="00D77C54">
      <w:pPr>
        <w:jc w:val="both"/>
        <w:rPr>
          <w:rFonts w:ascii="Arial" w:hAnsi="Arial" w:cs="Arial"/>
          <w:b/>
          <w:i/>
          <w:sz w:val="22"/>
          <w:szCs w:val="22"/>
          <w:lang w:val="fr-FR"/>
        </w:rPr>
      </w:pPr>
      <w:r>
        <w:rPr>
          <w:rFonts w:ascii="Arial" w:eastAsia="Arial" w:hAnsi="Arial" w:cs="Arial"/>
          <w:b/>
          <w:bCs/>
          <w:i/>
          <w:iCs/>
          <w:sz w:val="22"/>
          <w:szCs w:val="22"/>
          <w:bdr w:val="none" w:sz="0" w:space="0" w:color="auto" w:frame="1"/>
          <w:lang w:val="fr-FR"/>
        </w:rPr>
        <w:t>À l’adresse du Secrétariat </w:t>
      </w:r>
    </w:p>
    <w:p w:rsidR="00D77C54" w:rsidRDefault="00D77C54" w:rsidP="00D77C54">
      <w:pPr>
        <w:jc w:val="both"/>
        <w:rPr>
          <w:rFonts w:ascii="Arial" w:hAnsi="Arial" w:cs="Arial"/>
          <w:sz w:val="22"/>
          <w:szCs w:val="22"/>
          <w:lang w:val="fr-FR"/>
        </w:rPr>
      </w:pPr>
    </w:p>
    <w:p w:rsidR="00D77C54" w:rsidRDefault="00D77C54" w:rsidP="00D77C54">
      <w:pPr>
        <w:ind w:left="720" w:hanging="720"/>
        <w:jc w:val="both"/>
        <w:rPr>
          <w:rFonts w:ascii="Arial" w:hAnsi="Arial" w:cs="Arial"/>
          <w:iCs/>
          <w:sz w:val="22"/>
          <w:szCs w:val="22"/>
          <w:lang w:val="fr-FR"/>
        </w:rPr>
      </w:pPr>
      <w:r>
        <w:rPr>
          <w:rFonts w:ascii="Arial" w:eastAsia="Arial" w:hAnsi="Arial" w:cs="Arial"/>
          <w:sz w:val="22"/>
          <w:szCs w:val="22"/>
          <w:bdr w:val="none" w:sz="0" w:space="0" w:color="auto" w:frame="1"/>
          <w:lang w:val="fr-FR"/>
        </w:rPr>
        <w:t>12.AA</w:t>
      </w:r>
      <w:r>
        <w:rPr>
          <w:rFonts w:ascii="Arial" w:eastAsia="Arial" w:hAnsi="Arial" w:cs="Arial"/>
          <w:sz w:val="22"/>
          <w:szCs w:val="22"/>
          <w:bdr w:val="none" w:sz="0" w:space="0" w:color="auto" w:frame="1"/>
          <w:lang w:val="fr-FR"/>
        </w:rPr>
        <w:tab/>
        <w:t>Le Secrétariat, sous réserve de la disponibilité de ressources externes,</w:t>
      </w:r>
    </w:p>
    <w:p w:rsidR="00D77C54" w:rsidRDefault="00D77C54" w:rsidP="00D77C54">
      <w:pPr>
        <w:ind w:left="720" w:hanging="720"/>
        <w:jc w:val="both"/>
        <w:rPr>
          <w:rFonts w:ascii="Arial" w:hAnsi="Arial" w:cs="Arial"/>
          <w:iCs/>
          <w:sz w:val="22"/>
          <w:szCs w:val="22"/>
          <w:lang w:val="fr-FR"/>
        </w:rPr>
      </w:pPr>
    </w:p>
    <w:p w:rsidR="00D77C54" w:rsidRDefault="00D77C54" w:rsidP="00D77C54">
      <w:pPr>
        <w:numPr>
          <w:ilvl w:val="0"/>
          <w:numId w:val="47"/>
        </w:numPr>
        <w:jc w:val="both"/>
        <w:rPr>
          <w:rFonts w:ascii="Arial" w:hAnsi="Arial" w:cs="Arial"/>
          <w:sz w:val="22"/>
          <w:szCs w:val="22"/>
          <w:lang w:val="fr-FR"/>
        </w:rPr>
      </w:pPr>
      <w:r>
        <w:rPr>
          <w:rFonts w:ascii="Arial" w:eastAsia="Arial" w:hAnsi="Arial" w:cs="Arial"/>
          <w:sz w:val="22"/>
          <w:szCs w:val="22"/>
          <w:bdr w:val="none" w:sz="0" w:space="0" w:color="auto" w:frame="1"/>
          <w:lang w:val="fr-FR"/>
        </w:rPr>
        <w:t>Prépare une étude des meilleures pratiques de participation des communautés dans la conservation et la gestion des espèces inscrites aux annexes de la CMS, incluant des facteurs tels que les droits fonciers, les responsabilités de gestion, l’autorité sur la répartition des avantages par les communautés, ainsi que les valeurs spirituelles ;</w:t>
      </w:r>
    </w:p>
    <w:p w:rsidR="00D77C54" w:rsidRDefault="00D77C54" w:rsidP="00D77C54">
      <w:pPr>
        <w:ind w:left="720"/>
        <w:jc w:val="both"/>
        <w:rPr>
          <w:rFonts w:ascii="Arial" w:hAnsi="Arial" w:cs="Arial"/>
          <w:sz w:val="22"/>
          <w:szCs w:val="22"/>
          <w:lang w:val="fr-FR"/>
        </w:rPr>
      </w:pPr>
    </w:p>
    <w:p w:rsidR="00D77C54" w:rsidRDefault="00D77C54" w:rsidP="00D77C54">
      <w:pPr>
        <w:numPr>
          <w:ilvl w:val="0"/>
          <w:numId w:val="47"/>
        </w:numPr>
        <w:jc w:val="both"/>
        <w:rPr>
          <w:rFonts w:ascii="Arial" w:hAnsi="Arial" w:cs="Arial"/>
          <w:sz w:val="22"/>
          <w:szCs w:val="22"/>
          <w:lang w:val="fr-FR"/>
        </w:rPr>
      </w:pPr>
      <w:r>
        <w:rPr>
          <w:rFonts w:ascii="Arial" w:eastAsia="Arial" w:hAnsi="Arial" w:cs="Arial"/>
          <w:sz w:val="22"/>
          <w:szCs w:val="22"/>
          <w:bdr w:val="none" w:sz="0" w:space="0" w:color="auto" w:frame="1"/>
          <w:lang w:val="fr-FR"/>
        </w:rPr>
        <w:t xml:space="preserve">Sur la base des résultats de l’étude de cas sur les meilleures pratiques et, dans la mesure du possible en coopération avec le Secrétariat de la Convention sur le commerce international des espèces de faune et de flore sauvages menacées d’extinction (CITES), facilite l’organisation d’ateliers et d’événements parallèles pour faire connaître les expériences en matière de moyens d’existence et d’échange des leçons apprises, en collaboration avec les Parties intéressées et les organisations internationales et régionales concernées ; </w:t>
      </w:r>
    </w:p>
    <w:p w:rsidR="00D77C54" w:rsidRDefault="00D77C54" w:rsidP="00D77C54">
      <w:pPr>
        <w:ind w:left="720"/>
        <w:jc w:val="both"/>
        <w:rPr>
          <w:rFonts w:ascii="Arial" w:hAnsi="Arial" w:cs="Arial"/>
          <w:sz w:val="22"/>
          <w:szCs w:val="22"/>
          <w:lang w:val="fr-FR"/>
        </w:rPr>
      </w:pPr>
    </w:p>
    <w:p w:rsidR="00D77C54" w:rsidRDefault="00D77C54" w:rsidP="00D77C54">
      <w:pPr>
        <w:numPr>
          <w:ilvl w:val="0"/>
          <w:numId w:val="47"/>
        </w:numPr>
        <w:jc w:val="both"/>
        <w:rPr>
          <w:rFonts w:ascii="Arial" w:hAnsi="Arial" w:cs="Arial"/>
          <w:sz w:val="22"/>
          <w:szCs w:val="22"/>
          <w:lang w:val="fr-FR"/>
        </w:rPr>
      </w:pPr>
      <w:r>
        <w:rPr>
          <w:rFonts w:ascii="Arial" w:eastAsia="Arial" w:hAnsi="Arial" w:cs="Arial"/>
          <w:sz w:val="22"/>
          <w:szCs w:val="22"/>
          <w:bdr w:val="none" w:sz="0" w:space="0" w:color="auto" w:frame="1"/>
          <w:lang w:val="fr-FR"/>
        </w:rPr>
        <w:t>Fait rapport sur les progrès réalisés dans la mise en œuvre de cette décision au Comité permanent à ses 48</w:t>
      </w:r>
      <w:r>
        <w:rPr>
          <w:rFonts w:ascii="Arial" w:eastAsia="Arial" w:hAnsi="Arial" w:cs="Arial"/>
          <w:sz w:val="22"/>
          <w:szCs w:val="22"/>
          <w:bdr w:val="none" w:sz="0" w:space="0" w:color="auto" w:frame="1"/>
          <w:vertAlign w:val="superscript"/>
          <w:lang w:val="fr-FR"/>
        </w:rPr>
        <w:t>ème</w:t>
      </w:r>
      <w:r>
        <w:rPr>
          <w:rFonts w:ascii="Arial" w:eastAsia="Arial" w:hAnsi="Arial" w:cs="Arial"/>
          <w:sz w:val="22"/>
          <w:szCs w:val="22"/>
          <w:bdr w:val="none" w:sz="0" w:space="0" w:color="auto" w:frame="1"/>
          <w:lang w:val="fr-FR"/>
        </w:rPr>
        <w:t xml:space="preserve"> et 49</w:t>
      </w:r>
      <w:r>
        <w:rPr>
          <w:rFonts w:ascii="Arial" w:eastAsia="Arial" w:hAnsi="Arial" w:cs="Arial"/>
          <w:sz w:val="22"/>
          <w:szCs w:val="22"/>
          <w:bdr w:val="none" w:sz="0" w:space="0" w:color="auto" w:frame="1"/>
          <w:vertAlign w:val="superscript"/>
          <w:lang w:val="fr-FR"/>
        </w:rPr>
        <w:t>ème</w:t>
      </w:r>
      <w:r>
        <w:rPr>
          <w:rFonts w:ascii="Arial" w:eastAsia="Arial" w:hAnsi="Arial" w:cs="Arial"/>
          <w:sz w:val="22"/>
          <w:szCs w:val="22"/>
          <w:bdr w:val="none" w:sz="0" w:space="0" w:color="auto" w:frame="1"/>
          <w:lang w:val="fr-FR"/>
        </w:rPr>
        <w:t xml:space="preserve"> réunions ainsi qu’à la Conférence des Parties à sa 13</w:t>
      </w:r>
      <w:r>
        <w:rPr>
          <w:rFonts w:ascii="Arial" w:eastAsia="Arial" w:hAnsi="Arial" w:cs="Arial"/>
          <w:sz w:val="22"/>
          <w:szCs w:val="22"/>
          <w:bdr w:val="none" w:sz="0" w:space="0" w:color="auto" w:frame="1"/>
          <w:vertAlign w:val="superscript"/>
          <w:lang w:val="fr-FR"/>
        </w:rPr>
        <w:t>ème</w:t>
      </w:r>
      <w:r>
        <w:rPr>
          <w:rFonts w:ascii="Arial" w:eastAsia="Arial" w:hAnsi="Arial" w:cs="Arial"/>
          <w:sz w:val="22"/>
          <w:szCs w:val="22"/>
          <w:bdr w:val="none" w:sz="0" w:space="0" w:color="auto" w:frame="1"/>
          <w:lang w:val="fr-FR"/>
        </w:rPr>
        <w:t xml:space="preserve"> session.</w:t>
      </w:r>
    </w:p>
    <w:p w:rsidR="00D77C54" w:rsidRDefault="00D77C54" w:rsidP="00D77C54">
      <w:pPr>
        <w:jc w:val="both"/>
        <w:rPr>
          <w:rFonts w:ascii="Arial" w:hAnsi="Arial" w:cs="Arial"/>
          <w:b/>
          <w:i/>
          <w:sz w:val="22"/>
          <w:szCs w:val="22"/>
          <w:lang w:val="fr-FR"/>
        </w:rPr>
      </w:pPr>
    </w:p>
    <w:p w:rsidR="00D77C54" w:rsidRDefault="00D77C54" w:rsidP="00D77C54">
      <w:pPr>
        <w:jc w:val="both"/>
        <w:rPr>
          <w:rFonts w:ascii="Arial" w:hAnsi="Arial" w:cs="Arial"/>
          <w:b/>
          <w:i/>
          <w:sz w:val="22"/>
          <w:szCs w:val="22"/>
          <w:lang w:val="fr-FR"/>
        </w:rPr>
      </w:pPr>
      <w:r>
        <w:rPr>
          <w:rFonts w:ascii="Arial" w:eastAsia="Arial" w:hAnsi="Arial" w:cs="Arial"/>
          <w:b/>
          <w:bCs/>
          <w:i/>
          <w:iCs/>
          <w:sz w:val="22"/>
          <w:szCs w:val="22"/>
          <w:bdr w:val="none" w:sz="0" w:space="0" w:color="auto" w:frame="1"/>
          <w:lang w:val="fr-FR"/>
        </w:rPr>
        <w:t xml:space="preserve">À l’adresse des Parties </w:t>
      </w:r>
    </w:p>
    <w:p w:rsidR="00D77C54" w:rsidRDefault="00D77C54" w:rsidP="00D77C54">
      <w:pPr>
        <w:jc w:val="both"/>
        <w:rPr>
          <w:rFonts w:ascii="Arial" w:hAnsi="Arial" w:cs="Arial"/>
          <w:sz w:val="22"/>
          <w:szCs w:val="22"/>
          <w:lang w:val="fr-FR"/>
        </w:rPr>
      </w:pPr>
    </w:p>
    <w:p w:rsidR="00D77C54" w:rsidRDefault="00D77C54" w:rsidP="00D77C54">
      <w:pPr>
        <w:ind w:left="720" w:hanging="720"/>
        <w:jc w:val="both"/>
        <w:rPr>
          <w:rFonts w:ascii="Arial" w:hAnsi="Arial" w:cs="Arial"/>
          <w:iCs/>
          <w:sz w:val="22"/>
          <w:szCs w:val="22"/>
          <w:lang w:val="fr-FR"/>
        </w:rPr>
      </w:pPr>
      <w:r>
        <w:rPr>
          <w:rFonts w:ascii="Arial" w:eastAsia="Arial" w:hAnsi="Arial" w:cs="Arial"/>
          <w:sz w:val="22"/>
          <w:szCs w:val="22"/>
          <w:bdr w:val="none" w:sz="0" w:space="0" w:color="auto" w:frame="1"/>
          <w:lang w:val="fr-FR"/>
        </w:rPr>
        <w:t>12.BB</w:t>
      </w:r>
      <w:r>
        <w:rPr>
          <w:rFonts w:ascii="Arial" w:eastAsia="Arial" w:hAnsi="Arial" w:cs="Arial"/>
          <w:sz w:val="22"/>
          <w:szCs w:val="22"/>
          <w:bdr w:val="none" w:sz="0" w:space="0" w:color="auto" w:frame="1"/>
          <w:lang w:val="fr-FR"/>
        </w:rPr>
        <w:tab/>
        <w:t xml:space="preserve">Les Parties sont </w:t>
      </w:r>
      <w:r w:rsidR="000615BF">
        <w:rPr>
          <w:rFonts w:ascii="Arial" w:eastAsia="Arial" w:hAnsi="Arial" w:cs="Arial"/>
          <w:sz w:val="22"/>
          <w:szCs w:val="22"/>
          <w:bdr w:val="none" w:sz="0" w:space="0" w:color="auto" w:frame="1"/>
          <w:lang w:val="fr-FR"/>
        </w:rPr>
        <w:t xml:space="preserve">invitées </w:t>
      </w:r>
      <w:r>
        <w:rPr>
          <w:rFonts w:ascii="Arial" w:eastAsia="Arial" w:hAnsi="Arial" w:cs="Arial"/>
          <w:sz w:val="22"/>
          <w:szCs w:val="22"/>
          <w:bdr w:val="none" w:sz="0" w:space="0" w:color="auto" w:frame="1"/>
          <w:lang w:val="fr-FR"/>
        </w:rPr>
        <w:t>de coopérer avec le Secrétariat pour recueillir des informations sur les instruments, y compris les législations, les politiques et les plans d’action qui favorisent la participation des communautés à la conservation des espèces inscrites aux annexes de la CMS.</w:t>
      </w:r>
    </w:p>
    <w:p w:rsidR="00D77C54" w:rsidRDefault="00D77C54" w:rsidP="00D77C54">
      <w:pPr>
        <w:ind w:left="720"/>
        <w:jc w:val="both"/>
        <w:rPr>
          <w:rFonts w:ascii="Arial" w:hAnsi="Arial" w:cs="Arial"/>
          <w:iCs/>
          <w:sz w:val="22"/>
          <w:szCs w:val="22"/>
          <w:lang w:val="fr-FR"/>
        </w:rPr>
      </w:pPr>
    </w:p>
    <w:p w:rsidR="00D77C54" w:rsidRDefault="00D77C54" w:rsidP="00D77C54">
      <w:pPr>
        <w:jc w:val="both"/>
        <w:rPr>
          <w:rFonts w:ascii="Arial" w:hAnsi="Arial" w:cs="Arial"/>
          <w:b/>
          <w:i/>
          <w:sz w:val="22"/>
          <w:szCs w:val="22"/>
          <w:lang w:val="fr-FR"/>
        </w:rPr>
      </w:pPr>
      <w:r>
        <w:rPr>
          <w:rFonts w:ascii="Arial" w:eastAsia="Arial" w:hAnsi="Arial" w:cs="Arial"/>
          <w:b/>
          <w:bCs/>
          <w:i/>
          <w:iCs/>
          <w:sz w:val="22"/>
          <w:szCs w:val="22"/>
          <w:bdr w:val="none" w:sz="0" w:space="0" w:color="auto" w:frame="1"/>
          <w:lang w:val="fr-FR"/>
        </w:rPr>
        <w:t>À l’adresse des Parties, des organisations intergouvernementales et non gouvernementales</w:t>
      </w:r>
    </w:p>
    <w:p w:rsidR="00D77C54" w:rsidRDefault="00D77C54" w:rsidP="00D77C54">
      <w:pPr>
        <w:jc w:val="both"/>
        <w:rPr>
          <w:rFonts w:ascii="Arial" w:hAnsi="Arial" w:cs="Arial"/>
          <w:sz w:val="22"/>
          <w:szCs w:val="22"/>
          <w:lang w:val="fr-FR"/>
        </w:rPr>
      </w:pPr>
    </w:p>
    <w:p w:rsidR="00D77C54" w:rsidRDefault="00D77C54" w:rsidP="00D77C54">
      <w:pPr>
        <w:ind w:left="720" w:hanging="720"/>
        <w:jc w:val="both"/>
        <w:rPr>
          <w:rFonts w:ascii="Arial" w:hAnsi="Arial" w:cs="Arial"/>
          <w:sz w:val="22"/>
          <w:szCs w:val="22"/>
          <w:lang w:val="fr-FR"/>
        </w:rPr>
      </w:pPr>
      <w:r>
        <w:rPr>
          <w:rFonts w:ascii="Arial" w:eastAsia="Arial" w:hAnsi="Arial" w:cs="Arial"/>
          <w:sz w:val="22"/>
          <w:szCs w:val="22"/>
          <w:bdr w:val="none" w:sz="0" w:space="0" w:color="auto" w:frame="1"/>
          <w:lang w:val="fr-FR"/>
        </w:rPr>
        <w:t>12.CC</w:t>
      </w:r>
      <w:r>
        <w:rPr>
          <w:rFonts w:ascii="Arial" w:eastAsia="Arial" w:hAnsi="Arial" w:cs="Arial"/>
          <w:sz w:val="22"/>
          <w:szCs w:val="22"/>
          <w:bdr w:val="none" w:sz="0" w:space="0" w:color="auto" w:frame="1"/>
          <w:lang w:val="fr-FR"/>
        </w:rPr>
        <w:tab/>
        <w:t xml:space="preserve">Les Parties, les organisations intergouvernementales et non gouvernementales sont encouragées à fournir un appui financier et technique au Secrétariat pour l’élaboration de l’étude mentionnée aux alinéas a) et b) de la décision </w:t>
      </w:r>
      <w:proofErr w:type="gramStart"/>
      <w:r>
        <w:rPr>
          <w:rFonts w:ascii="Arial" w:eastAsia="Arial" w:hAnsi="Arial" w:cs="Arial"/>
          <w:sz w:val="22"/>
          <w:szCs w:val="22"/>
          <w:bdr w:val="none" w:sz="0" w:space="0" w:color="auto" w:frame="1"/>
          <w:lang w:val="fr-FR"/>
        </w:rPr>
        <w:t>12.AA</w:t>
      </w:r>
      <w:proofErr w:type="gramEnd"/>
      <w:r>
        <w:rPr>
          <w:rFonts w:ascii="Arial" w:eastAsia="Arial" w:hAnsi="Arial" w:cs="Arial"/>
          <w:sz w:val="22"/>
          <w:szCs w:val="22"/>
          <w:bdr w:val="none" w:sz="0" w:space="0" w:color="auto" w:frame="1"/>
          <w:lang w:val="fr-FR"/>
        </w:rPr>
        <w:t>, et à la décision 12.BB.</w:t>
      </w:r>
    </w:p>
    <w:p w:rsidR="00D77C54" w:rsidRDefault="00D77C54" w:rsidP="00D77C54">
      <w:pPr>
        <w:tabs>
          <w:tab w:val="left" w:pos="1020"/>
        </w:tabs>
        <w:rPr>
          <w:rFonts w:ascii="Arial" w:hAnsi="Arial" w:cs="Arial"/>
          <w:sz w:val="22"/>
          <w:szCs w:val="22"/>
          <w:lang w:val="fr-FR"/>
        </w:rPr>
      </w:pPr>
    </w:p>
    <w:p w:rsidR="003F6700" w:rsidRPr="003F6700" w:rsidRDefault="003F6700" w:rsidP="00D77C54">
      <w:pPr>
        <w:jc w:val="cente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D77C54">
      <w:rPr>
        <w:rFonts w:asciiTheme="minorBidi" w:hAnsiTheme="minorBidi" w:cstheme="minorBidi"/>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47C66B8"/>
    <w:multiLevelType w:val="hybridMultilevel"/>
    <w:tmpl w:val="3514A814"/>
    <w:lvl w:ilvl="0" w:tplc="DDA22000">
      <w:start w:val="1"/>
      <w:numFmt w:val="lowerLetter"/>
      <w:lvlText w:val="%1)"/>
      <w:lvlJc w:val="left"/>
      <w:pPr>
        <w:ind w:left="720" w:hanging="360"/>
      </w:pPr>
    </w:lvl>
    <w:lvl w:ilvl="1" w:tplc="08F063B4">
      <w:start w:val="1"/>
      <w:numFmt w:val="lowerLetter"/>
      <w:lvlText w:val="%2."/>
      <w:lvlJc w:val="left"/>
      <w:pPr>
        <w:ind w:left="1440" w:hanging="360"/>
      </w:pPr>
    </w:lvl>
    <w:lvl w:ilvl="2" w:tplc="8A042608">
      <w:start w:val="1"/>
      <w:numFmt w:val="lowerRoman"/>
      <w:lvlText w:val="%3."/>
      <w:lvlJc w:val="right"/>
      <w:pPr>
        <w:ind w:left="2160" w:hanging="180"/>
      </w:pPr>
    </w:lvl>
    <w:lvl w:ilvl="3" w:tplc="4880B962">
      <w:start w:val="1"/>
      <w:numFmt w:val="decimal"/>
      <w:lvlText w:val="%4."/>
      <w:lvlJc w:val="left"/>
      <w:pPr>
        <w:ind w:left="2880" w:hanging="360"/>
      </w:pPr>
    </w:lvl>
    <w:lvl w:ilvl="4" w:tplc="6F3CCE52">
      <w:start w:val="1"/>
      <w:numFmt w:val="lowerLetter"/>
      <w:lvlText w:val="%5."/>
      <w:lvlJc w:val="left"/>
      <w:pPr>
        <w:ind w:left="3600" w:hanging="360"/>
      </w:pPr>
    </w:lvl>
    <w:lvl w:ilvl="5" w:tplc="C7F22E56">
      <w:start w:val="1"/>
      <w:numFmt w:val="lowerRoman"/>
      <w:lvlText w:val="%6."/>
      <w:lvlJc w:val="right"/>
      <w:pPr>
        <w:ind w:left="4320" w:hanging="180"/>
      </w:pPr>
    </w:lvl>
    <w:lvl w:ilvl="6" w:tplc="174C3F9C">
      <w:start w:val="1"/>
      <w:numFmt w:val="decimal"/>
      <w:lvlText w:val="%7."/>
      <w:lvlJc w:val="left"/>
      <w:pPr>
        <w:ind w:left="5040" w:hanging="360"/>
      </w:pPr>
    </w:lvl>
    <w:lvl w:ilvl="7" w:tplc="B428E9BE">
      <w:start w:val="1"/>
      <w:numFmt w:val="lowerLetter"/>
      <w:lvlText w:val="%8."/>
      <w:lvlJc w:val="left"/>
      <w:pPr>
        <w:ind w:left="5760" w:hanging="360"/>
      </w:pPr>
    </w:lvl>
    <w:lvl w:ilvl="8" w:tplc="C17427F0">
      <w:start w:val="1"/>
      <w:numFmt w:val="lowerRoman"/>
      <w:lvlText w:val="%9."/>
      <w:lvlJc w:val="right"/>
      <w:pPr>
        <w:ind w:left="6480" w:hanging="180"/>
      </w:pPr>
    </w:lvl>
  </w:abstractNum>
  <w:abstractNum w:abstractNumId="34"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3"/>
  </w:num>
  <w:num w:numId="5">
    <w:abstractNumId w:val="12"/>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7"/>
  </w:num>
  <w:num w:numId="10">
    <w:abstractNumId w:val="22"/>
  </w:num>
  <w:num w:numId="11">
    <w:abstractNumId w:val="40"/>
  </w:num>
  <w:num w:numId="12">
    <w:abstractNumId w:val="3"/>
  </w:num>
  <w:num w:numId="13">
    <w:abstractNumId w:val="19"/>
  </w:num>
  <w:num w:numId="14">
    <w:abstractNumId w:val="38"/>
  </w:num>
  <w:num w:numId="15">
    <w:abstractNumId w:val="2"/>
  </w:num>
  <w:num w:numId="16">
    <w:abstractNumId w:val="10"/>
  </w:num>
  <w:num w:numId="17">
    <w:abstractNumId w:val="41"/>
  </w:num>
  <w:num w:numId="18">
    <w:abstractNumId w:val="21"/>
  </w:num>
  <w:num w:numId="19">
    <w:abstractNumId w:val="39"/>
  </w:num>
  <w:num w:numId="20">
    <w:abstractNumId w:val="45"/>
  </w:num>
  <w:num w:numId="21">
    <w:abstractNumId w:val="4"/>
  </w:num>
  <w:num w:numId="22">
    <w:abstractNumId w:val="17"/>
  </w:num>
  <w:num w:numId="23">
    <w:abstractNumId w:val="26"/>
  </w:num>
  <w:num w:numId="24">
    <w:abstractNumId w:val="16"/>
  </w:num>
  <w:num w:numId="25">
    <w:abstractNumId w:val="31"/>
  </w:num>
  <w:num w:numId="26">
    <w:abstractNumId w:val="0"/>
  </w:num>
  <w:num w:numId="27">
    <w:abstractNumId w:val="42"/>
  </w:num>
  <w:num w:numId="28">
    <w:abstractNumId w:val="6"/>
  </w:num>
  <w:num w:numId="29">
    <w:abstractNumId w:val="20"/>
  </w:num>
  <w:num w:numId="30">
    <w:abstractNumId w:val="13"/>
  </w:num>
  <w:num w:numId="31">
    <w:abstractNumId w:val="29"/>
  </w:num>
  <w:num w:numId="32">
    <w:abstractNumId w:val="28"/>
  </w:num>
  <w:num w:numId="33">
    <w:abstractNumId w:val="5"/>
  </w:num>
  <w:num w:numId="34">
    <w:abstractNumId w:val="18"/>
  </w:num>
  <w:num w:numId="35">
    <w:abstractNumId w:val="15"/>
  </w:num>
  <w:num w:numId="36">
    <w:abstractNumId w:val="32"/>
  </w:num>
  <w:num w:numId="37">
    <w:abstractNumId w:val="37"/>
  </w:num>
  <w:num w:numId="38">
    <w:abstractNumId w:val="9"/>
  </w:num>
  <w:num w:numId="39">
    <w:abstractNumId w:val="30"/>
  </w:num>
  <w:num w:numId="40">
    <w:abstractNumId w:val="43"/>
  </w:num>
  <w:num w:numId="41">
    <w:abstractNumId w:val="24"/>
  </w:num>
  <w:num w:numId="42">
    <w:abstractNumId w:val="25"/>
  </w:num>
  <w:num w:numId="43">
    <w:abstractNumId w:val="34"/>
  </w:num>
  <w:num w:numId="44">
    <w:abstractNumId w:val="8"/>
  </w:num>
  <w:num w:numId="45">
    <w:abstractNumId w:val="27"/>
  </w:num>
  <w:num w:numId="46">
    <w:abstractNumId w:val="1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55FA"/>
    <w:rsid w:val="00036C53"/>
    <w:rsid w:val="000518C2"/>
    <w:rsid w:val="000564C8"/>
    <w:rsid w:val="00056DC1"/>
    <w:rsid w:val="00060156"/>
    <w:rsid w:val="000615BF"/>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6C6"/>
    <w:rsid w:val="00CC4C21"/>
    <w:rsid w:val="00CC57AD"/>
    <w:rsid w:val="00CE5B83"/>
    <w:rsid w:val="00CF6EDD"/>
    <w:rsid w:val="00D05922"/>
    <w:rsid w:val="00D30B30"/>
    <w:rsid w:val="00D42AE1"/>
    <w:rsid w:val="00D605A4"/>
    <w:rsid w:val="00D61B13"/>
    <w:rsid w:val="00D7746A"/>
    <w:rsid w:val="00D77C54"/>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C7FDB"/>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1368792392">
      <w:bodyDiv w:val="1"/>
      <w:marLeft w:val="0"/>
      <w:marRight w:val="0"/>
      <w:marTop w:val="0"/>
      <w:marBottom w:val="0"/>
      <w:divBdr>
        <w:top w:val="none" w:sz="0" w:space="0" w:color="auto"/>
        <w:left w:val="none" w:sz="0" w:space="0" w:color="auto"/>
        <w:bottom w:val="none" w:sz="0" w:space="0" w:color="auto"/>
        <w:right w:val="none" w:sz="0" w:space="0" w:color="auto"/>
      </w:divBdr>
    </w:div>
    <w:div w:id="18040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1</Pages>
  <Words>302</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2017-10-25T09:07:00Z</dcterms:created>
  <dcterms:modified xsi:type="dcterms:W3CDTF">2017-10-25T09:08:00Z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