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94"/>
        <w:tblW w:w="9540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594"/>
        <w:gridCol w:w="3420"/>
      </w:tblGrid>
      <w:tr w:rsidR="00B25614" w:rsidRPr="00FD56E6" w:rsidTr="00F73717">
        <w:trPr>
          <w:cantSplit/>
          <w:trHeight w:val="725"/>
        </w:trPr>
        <w:tc>
          <w:tcPr>
            <w:tcW w:w="9540" w:type="dxa"/>
            <w:gridSpan w:val="3"/>
            <w:tcBorders>
              <w:bottom w:val="single" w:sz="12" w:space="0" w:color="auto"/>
            </w:tcBorders>
            <w:tcMar>
              <w:top w:w="85" w:type="dxa"/>
            </w:tcMar>
          </w:tcPr>
          <w:p w:rsidR="00B25614" w:rsidRPr="00FD56E6" w:rsidRDefault="00F73717" w:rsidP="00F10A48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8955"/>
              </w:tabs>
              <w:jc w:val="both"/>
              <w:rPr>
                <w:sz w:val="22"/>
                <w:szCs w:val="22"/>
                <w:lang w:val="en-GB"/>
              </w:rPr>
            </w:pPr>
            <w:r w:rsidRPr="00F9613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DF19FE9" wp14:editId="69909E69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207645</wp:posOffset>
                  </wp:positionV>
                  <wp:extent cx="255960" cy="359410"/>
                  <wp:effectExtent l="0" t="0" r="0" b="2540"/>
                  <wp:wrapNone/>
                  <wp:docPr id="7" name="Picture 8" descr="cms_logo-for_letterhea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 descr="cms_logo-for_letterhea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28BD365" wp14:editId="693996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169545</wp:posOffset>
                  </wp:positionV>
                  <wp:extent cx="939165" cy="506730"/>
                  <wp:effectExtent l="0" t="0" r="0" b="0"/>
                  <wp:wrapTight wrapText="bothSides">
                    <wp:wrapPolygon edited="0">
                      <wp:start x="2191" y="2436"/>
                      <wp:lineTo x="1314" y="14617"/>
                      <wp:lineTo x="1314" y="18677"/>
                      <wp:lineTo x="19716" y="18677"/>
                      <wp:lineTo x="19278" y="5684"/>
                      <wp:lineTo x="18840" y="2436"/>
                      <wp:lineTo x="2191" y="2436"/>
                    </wp:wrapPolygon>
                  </wp:wrapTight>
                  <wp:docPr id="12" name="Picture 12" descr="UNEnvironment_Logo_Spanish_Shor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Environment_Logo_Spanish_Short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5614" w:rsidRPr="00FD56E6">
              <w:rPr>
                <w:sz w:val="22"/>
                <w:szCs w:val="22"/>
                <w:lang w:val="en-GB"/>
              </w:rPr>
              <w:tab/>
            </w:r>
          </w:p>
        </w:tc>
      </w:tr>
      <w:tr w:rsidR="00B25614" w:rsidRPr="007A676A" w:rsidTr="00F73717">
        <w:trPr>
          <w:trHeight w:val="1586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85" w:type="dxa"/>
            </w:tcMar>
          </w:tcPr>
          <w:p w:rsidR="00B25614" w:rsidRPr="00FD56E6" w:rsidRDefault="00B25614" w:rsidP="00F10A48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A1A0D1" wp14:editId="16A32CA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-15240</wp:posOffset>
                  </wp:positionV>
                  <wp:extent cx="1029970" cy="8794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4031" r="6290" b="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</w:tcMar>
          </w:tcPr>
          <w:p w:rsidR="00B25614" w:rsidRPr="00F73717" w:rsidRDefault="003F19C8" w:rsidP="00F73717">
            <w:pPr>
              <w:spacing w:before="40"/>
              <w:ind w:left="274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F7371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MEMORANDO DE ENTENDIMIENTO SOBRE LA CONSERVACI</w:t>
            </w:r>
            <w:r w:rsidRPr="009A55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Ó</w:t>
            </w:r>
            <w:r w:rsidRPr="00F7371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 DE TIBURONES MIGRATORIOS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85" w:type="dxa"/>
            </w:tcMar>
          </w:tcPr>
          <w:p w:rsidR="00B25614" w:rsidRDefault="007631D7" w:rsidP="007631D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bookmarkStart w:id="0" w:name="_Hlk532330802"/>
            <w:r>
              <w:rPr>
                <w:rFonts w:ascii="Arial" w:hAnsi="Arial" w:cs="Arial"/>
                <w:sz w:val="22"/>
                <w:szCs w:val="22"/>
                <w:lang w:val="fr-FR"/>
              </w:rPr>
              <w:t>CMS/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Sharks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/MOS</w:t>
            </w:r>
            <w:r w:rsidR="006E6D52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/CRP</w:t>
            </w:r>
            <w:r w:rsidR="008E7CA4"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</w:p>
          <w:bookmarkEnd w:id="0"/>
          <w:p w:rsidR="007631D7" w:rsidRPr="00766125" w:rsidRDefault="007631D7" w:rsidP="007631D7">
            <w:pPr>
              <w:spacing w:before="40" w:after="40"/>
              <w:jc w:val="both"/>
              <w:rPr>
                <w:sz w:val="22"/>
                <w:szCs w:val="22"/>
                <w:lang w:val="fr-FR"/>
              </w:rPr>
            </w:pPr>
            <w:r w:rsidRPr="008E7CA4">
              <w:rPr>
                <w:rFonts w:ascii="Arial" w:hAnsi="Arial" w:cs="Arial"/>
                <w:sz w:val="22"/>
                <w:szCs w:val="22"/>
                <w:lang w:val="fr-FR"/>
              </w:rPr>
              <w:t>11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diciembre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de 2018</w:t>
            </w:r>
          </w:p>
        </w:tc>
      </w:tr>
    </w:tbl>
    <w:p w:rsidR="003F19C8" w:rsidRPr="00F73717" w:rsidRDefault="003F19C8" w:rsidP="0076612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73717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B25614" w:rsidRDefault="00B25614" w:rsidP="00B2561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631D7" w:rsidRPr="006E6D52" w:rsidRDefault="007631D7" w:rsidP="007631D7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6E6D52">
        <w:rPr>
          <w:rFonts w:ascii="Arial" w:hAnsi="Arial" w:cs="Arial"/>
          <w:sz w:val="22"/>
          <w:szCs w:val="22"/>
          <w:lang w:val="es-ES"/>
        </w:rPr>
        <w:t>(del CMS/</w:t>
      </w:r>
      <w:proofErr w:type="spellStart"/>
      <w:r w:rsidRPr="006E6D52">
        <w:rPr>
          <w:rFonts w:ascii="Arial" w:hAnsi="Arial" w:cs="Arial"/>
          <w:sz w:val="22"/>
          <w:szCs w:val="22"/>
          <w:lang w:val="es-ES"/>
        </w:rPr>
        <w:t>Sharks</w:t>
      </w:r>
      <w:proofErr w:type="spellEnd"/>
      <w:r w:rsidRPr="006E6D52">
        <w:rPr>
          <w:rFonts w:ascii="Arial" w:hAnsi="Arial" w:cs="Arial"/>
          <w:sz w:val="22"/>
          <w:szCs w:val="22"/>
          <w:lang w:val="es-ES"/>
        </w:rPr>
        <w:t>/MOS3/</w:t>
      </w:r>
      <w:r w:rsidRPr="008E7CA4">
        <w:rPr>
          <w:rFonts w:ascii="Arial" w:hAnsi="Arial" w:cs="Arial"/>
          <w:sz w:val="22"/>
          <w:szCs w:val="22"/>
          <w:lang w:val="es-ES"/>
        </w:rPr>
        <w:t>Doc.9.1/Rev.1/Anexo</w:t>
      </w:r>
      <w:r w:rsidR="008E7CA4" w:rsidRPr="008E7CA4">
        <w:rPr>
          <w:rFonts w:ascii="Arial" w:hAnsi="Arial" w:cs="Arial"/>
          <w:sz w:val="22"/>
          <w:szCs w:val="22"/>
          <w:lang w:val="es-ES"/>
        </w:rPr>
        <w:t>3</w:t>
      </w:r>
      <w:r w:rsidRPr="008E7CA4">
        <w:rPr>
          <w:rFonts w:ascii="Arial" w:hAnsi="Arial" w:cs="Arial"/>
          <w:sz w:val="22"/>
          <w:szCs w:val="22"/>
          <w:lang w:val="es-ES"/>
        </w:rPr>
        <w:t>)</w:t>
      </w:r>
    </w:p>
    <w:p w:rsidR="00766125" w:rsidRPr="006E6D52" w:rsidRDefault="00766125" w:rsidP="00B2561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E7CA4" w:rsidRPr="008E7CA4" w:rsidRDefault="008E7CA4" w:rsidP="008E7CA4">
      <w:pPr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b/>
          <w:bCs/>
          <w:color w:val="000000"/>
          <w:sz w:val="22"/>
          <w:szCs w:val="22"/>
          <w:lang w:val="es-ES" w:eastAsia="ar-SA"/>
        </w:rPr>
        <w:t xml:space="preserve">MODIFICACIÓN DE LA LISTA DE ESPECIES (ANEXO 1) DEL </w:t>
      </w:r>
      <w:proofErr w:type="spellStart"/>
      <w:r w:rsidRPr="008E7CA4">
        <w:rPr>
          <w:rFonts w:ascii="Arial" w:eastAsia="Arial" w:hAnsi="Arial" w:cs="Arial"/>
          <w:b/>
          <w:bCs/>
          <w:color w:val="000000"/>
          <w:sz w:val="22"/>
          <w:szCs w:val="22"/>
          <w:lang w:val="es-ES" w:eastAsia="ar-SA"/>
        </w:rPr>
        <w:t>MdE</w:t>
      </w:r>
      <w:proofErr w:type="spellEnd"/>
    </w:p>
    <w:p w:rsidR="008E7CA4" w:rsidRPr="008E7CA4" w:rsidRDefault="008E7CA4" w:rsidP="008E7CA4">
      <w:pPr>
        <w:suppressAutoHyphens/>
        <w:autoSpaceDN/>
        <w:adjustRightInd/>
        <w:jc w:val="center"/>
        <w:rPr>
          <w:rFonts w:ascii="Arial" w:eastAsia="Arial" w:hAnsi="Arial" w:cs="Arial"/>
          <w:sz w:val="22"/>
          <w:szCs w:val="22"/>
          <w:lang w:val="es-ES" w:eastAsia="ar-SA"/>
        </w:rPr>
      </w:pPr>
    </w:p>
    <w:p w:rsidR="008E7CA4" w:rsidRPr="008E7CA4" w:rsidRDefault="008E7CA4" w:rsidP="008E7CA4">
      <w:pPr>
        <w:suppressAutoHyphens/>
        <w:autoSpaceDN/>
        <w:adjustRightInd/>
        <w:rPr>
          <w:rFonts w:ascii="Arial" w:eastAsia="Arial" w:hAnsi="Arial" w:cs="Arial"/>
          <w:sz w:val="22"/>
          <w:szCs w:val="22"/>
          <w:lang w:val="es-ES" w:eastAsia="ar-SA"/>
        </w:rPr>
      </w:pPr>
    </w:p>
    <w:p w:rsidR="008E7CA4" w:rsidRPr="008E7CA4" w:rsidRDefault="008E7CA4" w:rsidP="008E7CA4">
      <w:pPr>
        <w:suppressAutoHyphens/>
        <w:autoSpaceDN/>
        <w:adjustRightInd/>
        <w:rPr>
          <w:rFonts w:ascii="Arial" w:eastAsia="Arial" w:hAnsi="Arial" w:cs="Arial"/>
          <w:b/>
          <w:bCs/>
          <w:sz w:val="22"/>
          <w:szCs w:val="22"/>
          <w:lang w:val="en-GB" w:eastAsia="ar-SA"/>
        </w:rPr>
      </w:pPr>
      <w:proofErr w:type="spellStart"/>
      <w:r w:rsidRPr="008E7CA4">
        <w:rPr>
          <w:rFonts w:ascii="Arial" w:eastAsia="Arial" w:hAnsi="Arial" w:cs="Arial"/>
          <w:b/>
          <w:bCs/>
          <w:sz w:val="22"/>
          <w:szCs w:val="22"/>
          <w:lang w:val="en-GB" w:eastAsia="ar-SA"/>
        </w:rPr>
        <w:t>Antecedentes</w:t>
      </w:r>
      <w:proofErr w:type="spellEnd"/>
      <w:r w:rsidRPr="008E7CA4">
        <w:rPr>
          <w:rFonts w:ascii="Arial" w:eastAsia="Arial" w:hAnsi="Arial" w:cs="Arial"/>
          <w:b/>
          <w:bCs/>
          <w:sz w:val="22"/>
          <w:szCs w:val="22"/>
          <w:lang w:val="en-GB" w:eastAsia="ar-SA"/>
        </w:rPr>
        <w:t xml:space="preserve">: </w:t>
      </w:r>
    </w:p>
    <w:p w:rsidR="008E7CA4" w:rsidRPr="008E7CA4" w:rsidRDefault="008E7CA4" w:rsidP="008E7CA4">
      <w:pPr>
        <w:suppressAutoHyphens/>
        <w:autoSpaceDN/>
        <w:adjustRightInd/>
        <w:rPr>
          <w:rFonts w:ascii="Arial" w:eastAsia="Arial" w:hAnsi="Arial" w:cs="Arial"/>
          <w:sz w:val="22"/>
          <w:szCs w:val="22"/>
          <w:lang w:val="en-GB" w:eastAsia="ar-SA"/>
        </w:rPr>
      </w:pPr>
    </w:p>
    <w:p w:rsidR="008E7CA4" w:rsidRPr="008E7CA4" w:rsidRDefault="008E7CA4" w:rsidP="008E7CA4">
      <w:pPr>
        <w:numPr>
          <w:ilvl w:val="0"/>
          <w:numId w:val="4"/>
        </w:numPr>
        <w:suppressAutoHyphens/>
        <w:autoSpaceDN/>
        <w:adjustRightInd/>
        <w:ind w:left="540" w:hanging="540"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Según el párrafo 2 del Memorando de Entendimiento sobre la Conservación de Tiburones Migratorios, el </w:t>
      </w:r>
      <w:proofErr w:type="spellStart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>MdE</w:t>
      </w:r>
      <w:proofErr w:type="spellEnd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 está destinado a aplicarse a todas las especies migratorias de tiburones incluidas en el Anexo 1 de este Memorando de Entendimiento</w:t>
      </w:r>
      <w:r w:rsidR="007A676A">
        <w:rPr>
          <w:rFonts w:ascii="Arial" w:eastAsia="Arial" w:hAnsi="Arial" w:cs="Arial"/>
          <w:sz w:val="22"/>
          <w:szCs w:val="22"/>
          <w:lang w:val="es-ES" w:eastAsia="ar-SA"/>
        </w:rPr>
        <w:t>.</w:t>
      </w:r>
    </w:p>
    <w:p w:rsidR="008E7CA4" w:rsidRPr="008E7CA4" w:rsidRDefault="008E7CA4" w:rsidP="008E7CA4">
      <w:pPr>
        <w:suppressAutoHyphens/>
        <w:autoSpaceDN/>
        <w:adjustRightInd/>
        <w:ind w:left="540" w:hanging="540"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</w:p>
    <w:p w:rsidR="008E7CA4" w:rsidRPr="008E7CA4" w:rsidRDefault="008E7CA4" w:rsidP="008E7CA4">
      <w:pPr>
        <w:numPr>
          <w:ilvl w:val="0"/>
          <w:numId w:val="4"/>
        </w:numPr>
        <w:suppressAutoHyphens/>
        <w:autoSpaceDN/>
        <w:adjustRightInd/>
        <w:ind w:left="540" w:hanging="540"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Además, en el párrafo 3p del Memorando de Entendimiento, los tiburones se definen como "cualquier especie, subespecie o población migratoria de la clase </w:t>
      </w:r>
      <w:proofErr w:type="spellStart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>Chondrichthyes</w:t>
      </w:r>
      <w:proofErr w:type="spellEnd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 (que incluye a tiburones, rayas, mantas y quimeras) que estén incluidas en el Anexo 1 del presente Memorando de Entendimiento".</w:t>
      </w:r>
    </w:p>
    <w:p w:rsidR="008E7CA4" w:rsidRPr="008E7CA4" w:rsidRDefault="008E7CA4" w:rsidP="008E7CA4">
      <w:pPr>
        <w:ind w:left="540" w:hanging="540"/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8E7CA4" w:rsidRPr="008E7CA4" w:rsidRDefault="008E7CA4" w:rsidP="008E7CA4">
      <w:pPr>
        <w:numPr>
          <w:ilvl w:val="0"/>
          <w:numId w:val="4"/>
        </w:numPr>
        <w:ind w:left="540" w:hanging="540"/>
        <w:contextualSpacing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En la tercera reunión preparatoria, en que se finalizó el </w:t>
      </w:r>
      <w:proofErr w:type="spellStart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>MdE</w:t>
      </w:r>
      <w:proofErr w:type="spellEnd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 (Manila, marzo de 2010), los participantes concluyeron que no debería establecerse ninguna lista automática de esas especies ya incluidas en el Apéndice I o II de la Convención debería tener lugar, por el hecho de que los Signatarios del </w:t>
      </w:r>
      <w:proofErr w:type="spellStart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>MdE</w:t>
      </w:r>
      <w:proofErr w:type="spellEnd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 no son necesariamente Partes en la Convención.</w:t>
      </w:r>
    </w:p>
    <w:p w:rsidR="008E7CA4" w:rsidRPr="008E7CA4" w:rsidRDefault="008E7CA4" w:rsidP="008E7CA4">
      <w:pPr>
        <w:ind w:left="540" w:hanging="540"/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8E7CA4" w:rsidRPr="008E7CA4" w:rsidRDefault="008E7CA4" w:rsidP="008E7CA4">
      <w:pPr>
        <w:numPr>
          <w:ilvl w:val="0"/>
          <w:numId w:val="4"/>
        </w:numPr>
        <w:ind w:left="540" w:hanging="54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8E7CA4">
        <w:rPr>
          <w:rFonts w:ascii="Arial" w:hAnsi="Arial" w:cs="Arial"/>
          <w:sz w:val="22"/>
          <w:szCs w:val="22"/>
          <w:lang w:val="es-ES"/>
        </w:rPr>
        <w:t xml:space="preserve">En el párrafo 20 del </w:t>
      </w:r>
      <w:proofErr w:type="spellStart"/>
      <w:r w:rsidRPr="008E7CA4">
        <w:rPr>
          <w:rFonts w:ascii="Arial" w:hAnsi="Arial" w:cs="Arial"/>
          <w:sz w:val="22"/>
          <w:szCs w:val="22"/>
          <w:lang w:val="es-ES"/>
        </w:rPr>
        <w:t>MdE</w:t>
      </w:r>
      <w:proofErr w:type="spellEnd"/>
      <w:r w:rsidRPr="008E7CA4">
        <w:rPr>
          <w:rFonts w:ascii="Arial" w:hAnsi="Arial" w:cs="Arial"/>
          <w:sz w:val="22"/>
          <w:szCs w:val="22"/>
          <w:lang w:val="es-ES"/>
        </w:rPr>
        <w:t xml:space="preserve"> se especifica que toda enmienda propuesta al Anexo 1 debería ser evaluada por los Signatarios en cada reunión de Signatarios. En el párrafo 33 se establece que las modificaciones deberán realizarse por consenso</w:t>
      </w:r>
      <w:r w:rsidR="007A676A">
        <w:rPr>
          <w:rFonts w:ascii="Arial" w:hAnsi="Arial" w:cs="Arial"/>
          <w:sz w:val="22"/>
          <w:szCs w:val="22"/>
          <w:lang w:val="es-ES"/>
        </w:rPr>
        <w:t>.</w:t>
      </w:r>
    </w:p>
    <w:p w:rsidR="008E7CA4" w:rsidRPr="008E7CA4" w:rsidRDefault="008E7CA4" w:rsidP="008E7CA4">
      <w:pPr>
        <w:ind w:left="540" w:hanging="540"/>
        <w:contextualSpacing/>
        <w:rPr>
          <w:rFonts w:ascii="Arial" w:hAnsi="Arial" w:cs="Arial"/>
          <w:sz w:val="22"/>
          <w:szCs w:val="22"/>
          <w:lang w:val="fr-FR"/>
        </w:rPr>
      </w:pPr>
    </w:p>
    <w:p w:rsidR="008E7CA4" w:rsidRPr="008E7CA4" w:rsidRDefault="008E7CA4" w:rsidP="008E7CA4">
      <w:pPr>
        <w:suppressAutoHyphens/>
        <w:autoSpaceDN/>
        <w:adjustRightInd/>
        <w:ind w:left="540" w:hanging="540"/>
        <w:rPr>
          <w:rFonts w:ascii="Arial" w:eastAsia="Arial" w:hAnsi="Arial" w:cs="Arial"/>
          <w:b/>
          <w:bCs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b/>
          <w:bCs/>
          <w:sz w:val="22"/>
          <w:szCs w:val="22"/>
          <w:lang w:val="es-ES" w:eastAsia="ar-SA"/>
        </w:rPr>
        <w:t xml:space="preserve">Procedimiento para modificar la lista de especies (Anexo 1) del </w:t>
      </w:r>
      <w:proofErr w:type="spellStart"/>
      <w:r w:rsidRPr="008E7CA4">
        <w:rPr>
          <w:rFonts w:ascii="Arial" w:eastAsia="Arial" w:hAnsi="Arial" w:cs="Arial"/>
          <w:b/>
          <w:bCs/>
          <w:sz w:val="22"/>
          <w:szCs w:val="22"/>
          <w:lang w:val="es-ES" w:eastAsia="ar-SA"/>
        </w:rPr>
        <w:t>MdE</w:t>
      </w:r>
      <w:proofErr w:type="spellEnd"/>
      <w:r w:rsidRPr="008E7CA4">
        <w:rPr>
          <w:rFonts w:ascii="Arial" w:eastAsia="Arial" w:hAnsi="Arial" w:cs="Arial"/>
          <w:b/>
          <w:bCs/>
          <w:sz w:val="22"/>
          <w:szCs w:val="22"/>
          <w:lang w:val="es-ES" w:eastAsia="ar-SA"/>
        </w:rPr>
        <w:t>:</w:t>
      </w:r>
    </w:p>
    <w:p w:rsidR="008E7CA4" w:rsidRPr="008E7CA4" w:rsidRDefault="008E7CA4" w:rsidP="008E7CA4">
      <w:pPr>
        <w:suppressAutoHyphens/>
        <w:autoSpaceDN/>
        <w:adjustRightInd/>
        <w:ind w:left="540" w:hanging="540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</w:p>
    <w:p w:rsidR="008E7CA4" w:rsidRPr="008E7CA4" w:rsidRDefault="008E7CA4" w:rsidP="008E7CA4">
      <w:pPr>
        <w:numPr>
          <w:ilvl w:val="0"/>
          <w:numId w:val="4"/>
        </w:numPr>
        <w:suppressAutoHyphens/>
        <w:autoSpaceDN/>
        <w:adjustRightInd/>
        <w:ind w:left="540" w:hanging="540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El Anexo 1 podrá modificarse por consenso en cualquier sesión de la Reunión de los Signatarios;</w:t>
      </w:r>
    </w:p>
    <w:p w:rsidR="008E7CA4" w:rsidRPr="008E7CA4" w:rsidRDefault="008E7CA4" w:rsidP="008E7CA4">
      <w:pPr>
        <w:suppressAutoHyphens/>
        <w:autoSpaceDN/>
        <w:adjustRightInd/>
        <w:ind w:left="540" w:hanging="540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</w:p>
    <w:p w:rsidR="008E7CA4" w:rsidRPr="008E7CA4" w:rsidRDefault="008E7CA4" w:rsidP="008E7CA4">
      <w:pPr>
        <w:numPr>
          <w:ilvl w:val="0"/>
          <w:numId w:val="4"/>
        </w:numPr>
        <w:suppressAutoHyphens/>
        <w:autoSpaceDN/>
        <w:adjustRightInd/>
        <w:ind w:left="540" w:hanging="540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Las propuestas de modificación puede formularlas cualquiera de los Signatarios;</w:t>
      </w:r>
    </w:p>
    <w:p w:rsidR="008E7CA4" w:rsidRPr="008E7CA4" w:rsidRDefault="008E7CA4" w:rsidP="008E7CA4">
      <w:pPr>
        <w:suppressAutoHyphens/>
        <w:autoSpaceDN/>
        <w:adjustRightInd/>
        <w:ind w:left="540" w:hanging="540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</w:p>
    <w:p w:rsidR="008E7CA4" w:rsidRPr="008E7CA4" w:rsidRDefault="008E7CA4" w:rsidP="007C3608">
      <w:pPr>
        <w:numPr>
          <w:ilvl w:val="0"/>
          <w:numId w:val="4"/>
        </w:numPr>
        <w:suppressAutoHyphens/>
        <w:autoSpaceDN/>
        <w:adjustRightInd/>
        <w:spacing w:after="120"/>
        <w:ind w:left="547" w:hanging="547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El proceso y el momento de presentación debe ser como sigue:</w:t>
      </w:r>
    </w:p>
    <w:p w:rsidR="008E7CA4" w:rsidRPr="008E7CA4" w:rsidRDefault="008E7CA4" w:rsidP="007C3608">
      <w:pPr>
        <w:numPr>
          <w:ilvl w:val="0"/>
          <w:numId w:val="5"/>
        </w:numPr>
        <w:suppressAutoHyphens/>
        <w:autoSpaceDN/>
        <w:adjustRightInd/>
        <w:spacing w:after="40"/>
        <w:ind w:left="907" w:hanging="360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 xml:space="preserve">los Signatarios deberán intentar proporcionar el texto de la modificación propuesta y las razones de </w:t>
      </w:r>
      <w:proofErr w:type="gramStart"/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la misma</w:t>
      </w:r>
      <w:proofErr w:type="gramEnd"/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, sobre la base de los mejores datos científicos disponibles, a la Secretaría por lo men</w:t>
      </w:r>
      <w:r w:rsidR="007A676A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os 150 días antes de la reunión;</w:t>
      </w:r>
    </w:p>
    <w:p w:rsidR="008E7CA4" w:rsidRPr="008E7CA4" w:rsidRDefault="007A676A" w:rsidP="007C3608">
      <w:pPr>
        <w:numPr>
          <w:ilvl w:val="0"/>
          <w:numId w:val="5"/>
        </w:numPr>
        <w:suppressAutoHyphens/>
        <w:autoSpaceDN/>
        <w:adjustRightInd/>
        <w:spacing w:after="40"/>
        <w:ind w:left="907" w:hanging="360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  <w:r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s</w:t>
      </w:r>
      <w:r w:rsidR="008E7CA4"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e espera que la Secretaría comunique la propuesta sin demora a todos los</w:t>
      </w:r>
      <w:r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 xml:space="preserve"> Signatarios y al Comité Asesor;</w:t>
      </w:r>
    </w:p>
    <w:p w:rsidR="008E7CA4" w:rsidRPr="008E7CA4" w:rsidRDefault="007A676A" w:rsidP="007C3608">
      <w:pPr>
        <w:numPr>
          <w:ilvl w:val="0"/>
          <w:numId w:val="5"/>
        </w:numPr>
        <w:suppressAutoHyphens/>
        <w:autoSpaceDN/>
        <w:adjustRightInd/>
        <w:spacing w:after="40"/>
        <w:ind w:left="907" w:hanging="360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  <w:r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l</w:t>
      </w:r>
      <w:r w:rsidR="008E7CA4"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os Signatarios deberán intentar proporcionar comentarios sobre el texto a la</w:t>
      </w:r>
      <w:r w:rsidR="008E7CA4" w:rsidRPr="008E7CA4">
        <w:rPr>
          <w:rFonts w:ascii="Helvetica" w:eastAsia="Arial" w:hAnsi="Helvetica" w:cs="Helvetica"/>
          <w:color w:val="000000"/>
          <w:sz w:val="24"/>
          <w:lang w:val="es-ES" w:eastAsia="ar-SA"/>
        </w:rPr>
        <w:t xml:space="preserve"> </w:t>
      </w:r>
      <w:r w:rsidR="008E7CA4"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Secretaría por lo menos 60 días a</w:t>
      </w:r>
      <w:r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ntes de que comience la reunión;</w:t>
      </w:r>
    </w:p>
    <w:p w:rsidR="008E7CA4" w:rsidRPr="008E7CA4" w:rsidRDefault="007A676A" w:rsidP="007C3608">
      <w:pPr>
        <w:numPr>
          <w:ilvl w:val="0"/>
          <w:numId w:val="5"/>
        </w:numPr>
        <w:suppressAutoHyphens/>
        <w:autoSpaceDN/>
        <w:adjustRightInd/>
        <w:spacing w:after="40"/>
        <w:ind w:left="907" w:hanging="360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  <w:r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s</w:t>
      </w:r>
      <w:r w:rsidR="008E7CA4"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 xml:space="preserve">e espera que la Secretaría comunique dichos comentarios a los Signatarios tan pronto </w:t>
      </w:r>
      <w:r w:rsidR="008E7CA4"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lastRenderedPageBreak/>
        <w:t>come se</w:t>
      </w:r>
      <w:r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a posible después de recibirlos;</w:t>
      </w:r>
    </w:p>
    <w:p w:rsidR="008E7CA4" w:rsidRPr="008E7CA4" w:rsidRDefault="007A676A" w:rsidP="008E7CA4">
      <w:pPr>
        <w:numPr>
          <w:ilvl w:val="0"/>
          <w:numId w:val="5"/>
        </w:numPr>
        <w:suppressAutoHyphens/>
        <w:autoSpaceDN/>
        <w:adjustRightInd/>
        <w:ind w:left="900" w:hanging="360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  <w:r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l</w:t>
      </w:r>
      <w:r w:rsidR="008E7CA4"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os Signatarios tienen derecho a rechazar la consideración de cualquier modificación propuesta que sea presentada a la Secretaría después de las fechas límites descritas en este párrafo.</w:t>
      </w:r>
    </w:p>
    <w:p w:rsidR="008E7CA4" w:rsidRPr="008E7CA4" w:rsidRDefault="008E7CA4" w:rsidP="008E7CA4">
      <w:pPr>
        <w:suppressAutoHyphens/>
        <w:autoSpaceDN/>
        <w:adjustRightInd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</w:p>
    <w:p w:rsidR="008E7CA4" w:rsidRPr="008E7CA4" w:rsidRDefault="008E7CA4" w:rsidP="008E7CA4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160" w:line="259" w:lineRule="auto"/>
        <w:ind w:left="540" w:hanging="540"/>
        <w:jc w:val="both"/>
        <w:rPr>
          <w:rFonts w:ascii="Helvetica" w:eastAsia="Arial" w:hAnsi="Helvetica" w:cs="Arial"/>
          <w:color w:val="000000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 xml:space="preserve">Las modificaciones deben hacerse por consenso, como consta </w:t>
      </w:r>
      <w:r w:rsidR="007A676A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 xml:space="preserve">en los párrafos 18 y 33 del </w:t>
      </w:r>
      <w:proofErr w:type="spellStart"/>
      <w:r w:rsidR="007A676A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MdE</w:t>
      </w:r>
      <w:proofErr w:type="spellEnd"/>
      <w:r w:rsidR="007A676A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.</w:t>
      </w:r>
    </w:p>
    <w:p w:rsidR="008E7CA4" w:rsidRPr="008E7CA4" w:rsidRDefault="008E7CA4" w:rsidP="008E7CA4">
      <w:pPr>
        <w:numPr>
          <w:ilvl w:val="0"/>
          <w:numId w:val="4"/>
        </w:numPr>
        <w:tabs>
          <w:tab w:val="left" w:pos="540"/>
        </w:tabs>
        <w:suppressAutoHyphens/>
        <w:autoSpaceDN/>
        <w:adjustRightInd/>
        <w:ind w:left="540" w:hanging="540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 xml:space="preserve">Cualquiera de las especies de tiburones o rayas en los Apéndices de la CMS será automáticamente considerada por el Comité Asesor como propuesta para su inclusión en el Anexo 1 del </w:t>
      </w:r>
      <w:proofErr w:type="spellStart"/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MdE</w:t>
      </w:r>
      <w:proofErr w:type="spellEnd"/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 xml:space="preserve">. Esto es sin perjuicio de la decisión final sobre su inclusión en el </w:t>
      </w:r>
      <w:proofErr w:type="spellStart"/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MdE</w:t>
      </w:r>
      <w:proofErr w:type="spellEnd"/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; y</w:t>
      </w:r>
    </w:p>
    <w:p w:rsidR="008E7CA4" w:rsidRPr="008E7CA4" w:rsidRDefault="008E7CA4" w:rsidP="008E7CA4">
      <w:pPr>
        <w:tabs>
          <w:tab w:val="left" w:pos="540"/>
        </w:tabs>
        <w:suppressAutoHyphens/>
        <w:autoSpaceDN/>
        <w:adjustRightInd/>
        <w:ind w:left="540" w:hanging="540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</w:p>
    <w:p w:rsidR="008E7CA4" w:rsidRPr="008E7CA4" w:rsidRDefault="008E7CA4" w:rsidP="007C3608">
      <w:pPr>
        <w:numPr>
          <w:ilvl w:val="0"/>
          <w:numId w:val="4"/>
        </w:numPr>
        <w:tabs>
          <w:tab w:val="left" w:pos="540"/>
        </w:tabs>
        <w:suppressAutoHyphens/>
        <w:autoSpaceDN/>
        <w:adjustRightInd/>
        <w:spacing w:after="120"/>
        <w:ind w:left="547" w:hanging="547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Si la COP de la CMS acuerda la inclusión de una nueva especie de tiburón o raya en el Apéndices I o II de la CMS deberá aplicarse el procedimiento siguiente y el Reglamento y los Términos de Referencia para el Comité Asesor deberán adaptarse respectivamente:</w:t>
      </w:r>
    </w:p>
    <w:p w:rsidR="008E7CA4" w:rsidRPr="008E7CA4" w:rsidRDefault="008E7CA4" w:rsidP="007C3608">
      <w:pPr>
        <w:numPr>
          <w:ilvl w:val="0"/>
          <w:numId w:val="7"/>
        </w:numPr>
        <w:spacing w:after="40"/>
        <w:ind w:left="907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8E7CA4">
        <w:rPr>
          <w:rFonts w:ascii="Arial" w:hAnsi="Arial" w:cs="Arial"/>
          <w:color w:val="000000"/>
          <w:sz w:val="22"/>
          <w:szCs w:val="22"/>
          <w:lang w:val="es-ES" w:eastAsia="en-GB"/>
        </w:rPr>
        <w:t>La Secretaría transmite los documentos relevantes para esta especie al Comité</w:t>
      </w:r>
      <w:r w:rsidR="007A676A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 Asesor del </w:t>
      </w:r>
      <w:proofErr w:type="spellStart"/>
      <w:r w:rsidR="007A676A">
        <w:rPr>
          <w:rFonts w:ascii="Arial" w:hAnsi="Arial" w:cs="Arial"/>
          <w:color w:val="000000"/>
          <w:sz w:val="22"/>
          <w:szCs w:val="22"/>
          <w:lang w:val="es-ES" w:eastAsia="en-GB"/>
        </w:rPr>
        <w:t>MdE</w:t>
      </w:r>
      <w:proofErr w:type="spellEnd"/>
      <w:r w:rsidR="007A676A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 sobre tiburones;</w:t>
      </w:r>
    </w:p>
    <w:p w:rsidR="008E7CA4" w:rsidRPr="008E7CA4" w:rsidRDefault="008E7CA4" w:rsidP="007C3608">
      <w:pPr>
        <w:numPr>
          <w:ilvl w:val="0"/>
          <w:numId w:val="7"/>
        </w:numPr>
        <w:spacing w:after="40"/>
        <w:ind w:left="907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8E7CA4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El mismo Comité Asesor deberá analizar la propuesta basado en dichos documentos (y si fuera necesario, bibliografía e información relevante adicional que esté disponible) y preparar una recomendación para la Reunión de los Signatarios concerniente a la inclusión de la especie en el </w:t>
      </w:r>
      <w:r w:rsidR="007A676A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Anexo 1 del </w:t>
      </w:r>
      <w:proofErr w:type="spellStart"/>
      <w:r w:rsidR="007A676A">
        <w:rPr>
          <w:rFonts w:ascii="Arial" w:hAnsi="Arial" w:cs="Arial"/>
          <w:color w:val="000000"/>
          <w:sz w:val="22"/>
          <w:szCs w:val="22"/>
          <w:lang w:val="es-ES" w:eastAsia="en-GB"/>
        </w:rPr>
        <w:t>MdE</w:t>
      </w:r>
      <w:proofErr w:type="spellEnd"/>
      <w:r w:rsidR="007A676A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 sobre tiburones;</w:t>
      </w:r>
    </w:p>
    <w:p w:rsidR="008E7CA4" w:rsidRPr="008E7CA4" w:rsidRDefault="008E7CA4" w:rsidP="008E7CA4">
      <w:pPr>
        <w:numPr>
          <w:ilvl w:val="0"/>
          <w:numId w:val="7"/>
        </w:numPr>
        <w:ind w:left="900"/>
        <w:jc w:val="both"/>
        <w:rPr>
          <w:rFonts w:ascii="Arial" w:hAnsi="Arial" w:cs="Arial"/>
          <w:color w:val="000000"/>
          <w:sz w:val="22"/>
          <w:szCs w:val="22"/>
          <w:lang w:val="es-ES" w:eastAsia="en-GB"/>
        </w:rPr>
      </w:pPr>
      <w:r w:rsidRPr="008E7CA4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La Reunión de los Signatarios del </w:t>
      </w:r>
      <w:proofErr w:type="spellStart"/>
      <w:r w:rsidRPr="008E7CA4">
        <w:rPr>
          <w:rFonts w:ascii="Arial" w:hAnsi="Arial" w:cs="Arial"/>
          <w:color w:val="000000"/>
          <w:sz w:val="22"/>
          <w:szCs w:val="22"/>
          <w:lang w:val="es-ES" w:eastAsia="en-GB"/>
        </w:rPr>
        <w:t>MdE</w:t>
      </w:r>
      <w:proofErr w:type="spellEnd"/>
      <w:r w:rsidRPr="008E7CA4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 sobre tiburones deberá decidir por consenso sobre la inclusión de la nueva especie en el Anexo 1 del </w:t>
      </w:r>
      <w:proofErr w:type="spellStart"/>
      <w:r w:rsidRPr="008E7CA4">
        <w:rPr>
          <w:rFonts w:ascii="Arial" w:hAnsi="Arial" w:cs="Arial"/>
          <w:color w:val="000000"/>
          <w:sz w:val="22"/>
          <w:szCs w:val="22"/>
          <w:lang w:val="es-ES" w:eastAsia="en-GB"/>
        </w:rPr>
        <w:t>MdE</w:t>
      </w:r>
      <w:proofErr w:type="spellEnd"/>
      <w:r w:rsidRPr="008E7CA4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 sobre tiburones.</w:t>
      </w:r>
    </w:p>
    <w:p w:rsidR="008E7CA4" w:rsidRPr="008E7CA4" w:rsidRDefault="008E7CA4" w:rsidP="008E7CA4">
      <w:pPr>
        <w:suppressAutoHyphens/>
        <w:autoSpaceDN/>
        <w:adjustRightInd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</w:p>
    <w:p w:rsidR="008E7CA4" w:rsidRPr="008E7CA4" w:rsidRDefault="008E7CA4" w:rsidP="008E7CA4">
      <w:pPr>
        <w:suppressAutoHyphens/>
        <w:autoSpaceDN/>
        <w:adjustRightInd/>
        <w:jc w:val="both"/>
        <w:rPr>
          <w:rFonts w:ascii="Arial" w:eastAsia="Arial" w:hAnsi="Arial" w:cs="Arial"/>
          <w:b/>
          <w:bCs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b/>
          <w:bCs/>
          <w:sz w:val="22"/>
          <w:szCs w:val="22"/>
          <w:lang w:val="es-ES" w:eastAsia="ar-SA"/>
        </w:rPr>
        <w:t xml:space="preserve">Criterios para la inclusión de especies en la lista de especies (Anexo 1) del </w:t>
      </w:r>
      <w:proofErr w:type="spellStart"/>
      <w:r w:rsidRPr="008E7CA4">
        <w:rPr>
          <w:rFonts w:ascii="Arial" w:eastAsia="Arial" w:hAnsi="Arial" w:cs="Arial"/>
          <w:b/>
          <w:bCs/>
          <w:sz w:val="22"/>
          <w:szCs w:val="22"/>
          <w:lang w:val="es-ES" w:eastAsia="ar-SA"/>
        </w:rPr>
        <w:t>MdE</w:t>
      </w:r>
      <w:proofErr w:type="spellEnd"/>
      <w:r w:rsidRPr="008E7CA4">
        <w:rPr>
          <w:rFonts w:ascii="Arial" w:eastAsia="Arial" w:hAnsi="Arial" w:cs="Arial"/>
          <w:b/>
          <w:bCs/>
          <w:sz w:val="22"/>
          <w:szCs w:val="22"/>
          <w:lang w:val="es-ES" w:eastAsia="ar-SA"/>
        </w:rPr>
        <w:t>:</w:t>
      </w:r>
    </w:p>
    <w:p w:rsidR="008E7CA4" w:rsidRPr="008E7CA4" w:rsidRDefault="008E7CA4" w:rsidP="008E7CA4">
      <w:pPr>
        <w:suppressAutoHyphens/>
        <w:autoSpaceDN/>
        <w:adjustRightInd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</w:p>
    <w:p w:rsidR="008E7CA4" w:rsidRPr="008E7CA4" w:rsidRDefault="008E7CA4" w:rsidP="008E7CA4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E7CA4">
        <w:rPr>
          <w:rFonts w:ascii="Arial" w:hAnsi="Arial" w:cs="Arial"/>
          <w:b/>
          <w:sz w:val="22"/>
          <w:szCs w:val="22"/>
        </w:rPr>
        <w:t>Antecedentes</w:t>
      </w:r>
      <w:proofErr w:type="spellEnd"/>
    </w:p>
    <w:p w:rsidR="008E7CA4" w:rsidRPr="008E7CA4" w:rsidRDefault="008E7CA4" w:rsidP="008E7CA4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8E7CA4" w:rsidRPr="008E7CA4" w:rsidRDefault="008E7CA4" w:rsidP="008E7CA4">
      <w:pPr>
        <w:numPr>
          <w:ilvl w:val="0"/>
          <w:numId w:val="4"/>
        </w:numPr>
        <w:suppressAutoHyphens/>
        <w:autoSpaceDN/>
        <w:adjustRightInd/>
        <w:ind w:left="540" w:hanging="450"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Los </w:t>
      </w:r>
      <w:proofErr w:type="spellStart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>MdE</w:t>
      </w:r>
      <w:proofErr w:type="spellEnd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 sobre los tiburones es un acuerdo que se ajusta al Artículo </w:t>
      </w:r>
      <w:proofErr w:type="gramStart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>IV(</w:t>
      </w:r>
      <w:proofErr w:type="gramEnd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>4) de la Convención sobre la Conservación de las Especies Migratorias de Animales Silvestres, que se habían elaborado para las especies de tiburones migratorios indicadas en el Apéndice II de la Convención.</w:t>
      </w:r>
    </w:p>
    <w:p w:rsidR="008E7CA4" w:rsidRPr="008E7CA4" w:rsidRDefault="008E7CA4" w:rsidP="008E7CA4">
      <w:pPr>
        <w:suppressAutoHyphens/>
        <w:autoSpaceDN/>
        <w:adjustRightInd/>
        <w:ind w:left="540" w:hanging="540"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</w:p>
    <w:p w:rsidR="008E7CA4" w:rsidRPr="008E7CA4" w:rsidRDefault="008E7CA4" w:rsidP="008E7CA4">
      <w:pPr>
        <w:numPr>
          <w:ilvl w:val="0"/>
          <w:numId w:val="4"/>
        </w:numPr>
        <w:suppressAutoHyphens/>
        <w:autoSpaceDN/>
        <w:adjustRightInd/>
        <w:ind w:left="540" w:hanging="540"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Aunque el Anexo 1 del </w:t>
      </w:r>
      <w:proofErr w:type="spellStart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>MdE</w:t>
      </w:r>
      <w:proofErr w:type="spellEnd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 es independiente de los Apéndices I y II de la CMS, Signatarios han decidido adoptar los criterios generales de la Convención para la inclusión de especies en el Apéndice II. Estos criterios se establecen en el Artículo </w:t>
      </w:r>
      <w:proofErr w:type="gramStart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>IV(</w:t>
      </w:r>
      <w:proofErr w:type="gramEnd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1) de la Convención y se han modificado para adaptarlos al </w:t>
      </w:r>
      <w:proofErr w:type="spellStart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>MdE</w:t>
      </w:r>
      <w:proofErr w:type="spellEnd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. </w:t>
      </w:r>
    </w:p>
    <w:p w:rsidR="008E7CA4" w:rsidRPr="008E7CA4" w:rsidRDefault="008E7CA4" w:rsidP="008E7CA4">
      <w:pPr>
        <w:ind w:left="540" w:hanging="540"/>
        <w:contextualSpacing/>
        <w:rPr>
          <w:rFonts w:ascii="Arial" w:hAnsi="Arial" w:cs="Arial"/>
          <w:sz w:val="22"/>
          <w:szCs w:val="22"/>
          <w:lang w:val="es-ES"/>
        </w:rPr>
      </w:pPr>
    </w:p>
    <w:p w:rsidR="008E7CA4" w:rsidRPr="008E7CA4" w:rsidRDefault="008E7CA4" w:rsidP="008E7CA4">
      <w:pPr>
        <w:suppressAutoHyphens/>
        <w:autoSpaceDN/>
        <w:adjustRightInd/>
        <w:ind w:left="540" w:right="816" w:hanging="540"/>
        <w:jc w:val="both"/>
        <w:rPr>
          <w:rFonts w:ascii="Arial" w:eastAsia="Arial" w:hAnsi="Arial" w:cs="Arial"/>
          <w:sz w:val="22"/>
          <w:szCs w:val="22"/>
          <w:lang w:val="en-GB" w:eastAsia="ar-SA"/>
        </w:rPr>
      </w:pPr>
      <w:proofErr w:type="spellStart"/>
      <w:r w:rsidRPr="008E7CA4">
        <w:rPr>
          <w:rFonts w:ascii="Arial" w:eastAsia="Arial" w:hAnsi="Arial" w:cs="Arial"/>
          <w:b/>
          <w:sz w:val="22"/>
          <w:szCs w:val="22"/>
          <w:lang w:val="en-GB" w:eastAsia="ar-SA"/>
        </w:rPr>
        <w:t>Criterios</w:t>
      </w:r>
      <w:proofErr w:type="spellEnd"/>
      <w:r w:rsidRPr="008E7CA4">
        <w:rPr>
          <w:rFonts w:ascii="Arial" w:eastAsia="Arial" w:hAnsi="Arial" w:cs="Arial"/>
          <w:b/>
          <w:sz w:val="22"/>
          <w:szCs w:val="22"/>
          <w:lang w:val="en-GB" w:eastAsia="ar-SA"/>
        </w:rPr>
        <w:t xml:space="preserve"> de </w:t>
      </w:r>
      <w:proofErr w:type="spellStart"/>
      <w:r w:rsidRPr="008E7CA4">
        <w:rPr>
          <w:rFonts w:ascii="Arial" w:eastAsia="Arial" w:hAnsi="Arial" w:cs="Arial"/>
          <w:b/>
          <w:sz w:val="22"/>
          <w:szCs w:val="22"/>
          <w:lang w:val="en-GB" w:eastAsia="ar-SA"/>
        </w:rPr>
        <w:t>inclusión</w:t>
      </w:r>
      <w:proofErr w:type="spellEnd"/>
      <w:r w:rsidRPr="008E7CA4">
        <w:rPr>
          <w:rFonts w:ascii="Arial" w:eastAsia="Arial" w:hAnsi="Arial" w:cs="Arial"/>
          <w:b/>
          <w:sz w:val="22"/>
          <w:szCs w:val="22"/>
          <w:lang w:val="en-GB" w:eastAsia="ar-SA"/>
        </w:rPr>
        <w:t xml:space="preserve"> </w:t>
      </w:r>
    </w:p>
    <w:p w:rsidR="008E7CA4" w:rsidRPr="008E7CA4" w:rsidRDefault="008E7CA4" w:rsidP="008E7CA4">
      <w:pPr>
        <w:suppressAutoHyphens/>
        <w:autoSpaceDN/>
        <w:adjustRightInd/>
        <w:ind w:left="540" w:right="816" w:hanging="540"/>
        <w:jc w:val="both"/>
        <w:rPr>
          <w:rFonts w:ascii="Arial" w:eastAsia="Arial" w:hAnsi="Arial" w:cs="Arial"/>
          <w:sz w:val="22"/>
          <w:szCs w:val="22"/>
          <w:lang w:val="en-GB" w:eastAsia="ar-SA"/>
        </w:rPr>
      </w:pPr>
    </w:p>
    <w:p w:rsidR="008E7CA4" w:rsidRPr="008E7CA4" w:rsidRDefault="008E7CA4" w:rsidP="008E7CA4">
      <w:pPr>
        <w:numPr>
          <w:ilvl w:val="0"/>
          <w:numId w:val="4"/>
        </w:numPr>
        <w:suppressAutoHyphens/>
        <w:autoSpaceDN/>
        <w:adjustRightInd/>
        <w:ind w:left="540" w:hanging="540"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En el Anexo 1 del </w:t>
      </w:r>
      <w:proofErr w:type="spellStart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>MdE</w:t>
      </w:r>
      <w:proofErr w:type="spellEnd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 se enumeran las especies migratorias cuyo estado de conservación sea desfavorable y que necesiten que se concluyan acuerdos internacionales para su conservación, cuidado y aprovechamiento, así como aquellas cuyo estado de conservación se beneficiaría considerablemente de la cooperación internacional resultante de un acuerdo internacional</w:t>
      </w:r>
      <w:r w:rsidR="007A676A">
        <w:rPr>
          <w:rFonts w:ascii="Arial" w:eastAsia="Arial" w:hAnsi="Arial" w:cs="Arial"/>
          <w:sz w:val="22"/>
          <w:szCs w:val="22"/>
          <w:lang w:val="es-ES" w:eastAsia="ar-SA"/>
        </w:rPr>
        <w:t>.</w:t>
      </w:r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 </w:t>
      </w:r>
    </w:p>
    <w:p w:rsidR="008E7CA4" w:rsidRPr="008E7CA4" w:rsidRDefault="008E7CA4" w:rsidP="008E7CA4">
      <w:pPr>
        <w:suppressAutoHyphens/>
        <w:autoSpaceDN/>
        <w:adjustRightInd/>
        <w:ind w:left="540" w:hanging="540"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</w:p>
    <w:p w:rsidR="008E7CA4" w:rsidRPr="008E7CA4" w:rsidRDefault="008E7CA4" w:rsidP="007C3608">
      <w:pPr>
        <w:numPr>
          <w:ilvl w:val="0"/>
          <w:numId w:val="4"/>
        </w:numPr>
        <w:suppressAutoHyphens/>
        <w:autoSpaceDN/>
        <w:adjustRightInd/>
        <w:spacing w:after="120"/>
        <w:ind w:left="547" w:hanging="547"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 xml:space="preserve">De conformidad con el párrafo 3 d) del </w:t>
      </w:r>
      <w:proofErr w:type="spellStart"/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MdE</w:t>
      </w:r>
      <w:proofErr w:type="spellEnd"/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, el estado de conservación se considera "favorable" cuando se cumplen todas las condiciones siguientes:</w:t>
      </w:r>
    </w:p>
    <w:p w:rsidR="008E7CA4" w:rsidRPr="008E7CA4" w:rsidRDefault="008E7CA4" w:rsidP="007C3608">
      <w:pPr>
        <w:numPr>
          <w:ilvl w:val="0"/>
          <w:numId w:val="6"/>
        </w:numPr>
        <w:suppressAutoHyphens/>
        <w:autoSpaceDN/>
        <w:adjustRightInd/>
        <w:spacing w:after="40"/>
        <w:ind w:left="907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 xml:space="preserve">los datos de la dinámica poblacional en relación con adecuados puntos de referencia biológicos indican que los tiburones migratorios son sostenibles a largo plazo como un </w:t>
      </w:r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lastRenderedPageBreak/>
        <w:t>componente viable de sus ecosistemas;</w:t>
      </w:r>
    </w:p>
    <w:p w:rsidR="008E7CA4" w:rsidRPr="008E7CA4" w:rsidRDefault="008E7CA4" w:rsidP="007C3608">
      <w:pPr>
        <w:numPr>
          <w:ilvl w:val="0"/>
          <w:numId w:val="6"/>
        </w:numPr>
        <w:suppressAutoHyphens/>
        <w:autoSpaceDN/>
        <w:adjustRightInd/>
        <w:spacing w:after="40"/>
        <w:ind w:left="907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el área de distribución de los tiburones migratorios no está actualmente siendo reducida, ni es probable que se reduzca en el futuro a niveles que afecten la viabilidad de sus poblaciones a largo plazo; y</w:t>
      </w:r>
    </w:p>
    <w:p w:rsidR="008E7CA4" w:rsidRPr="008E7CA4" w:rsidRDefault="008E7CA4" w:rsidP="008E7CA4">
      <w:pPr>
        <w:numPr>
          <w:ilvl w:val="0"/>
          <w:numId w:val="6"/>
        </w:numPr>
        <w:suppressAutoHyphens/>
        <w:autoSpaceDN/>
        <w:adjustRightInd/>
        <w:ind w:left="900"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la abundancia y estructura de las poblaciones de los tiburones migratorios permanece en niveles adecuados para mantener la integridad de los ecosistemas.</w:t>
      </w:r>
    </w:p>
    <w:p w:rsidR="008E7CA4" w:rsidRPr="008E7CA4" w:rsidRDefault="008E7CA4" w:rsidP="008E7CA4">
      <w:pPr>
        <w:suppressAutoHyphens/>
        <w:autoSpaceDN/>
        <w:adjustRightInd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</w:p>
    <w:p w:rsidR="008E7CA4" w:rsidRDefault="008E7CA4" w:rsidP="008E7CA4">
      <w:pPr>
        <w:numPr>
          <w:ilvl w:val="0"/>
          <w:numId w:val="4"/>
        </w:numPr>
        <w:ind w:left="540" w:hanging="540"/>
        <w:contextualSpacing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 xml:space="preserve">De conformidad con el párrafo 3 e) del </w:t>
      </w:r>
      <w:proofErr w:type="spellStart"/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MdE</w:t>
      </w:r>
      <w:proofErr w:type="spellEnd"/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, el estado de conservación se considerará “desfavorable” si alguna de las condiciones establecidas más arriba no se cumple.</w:t>
      </w:r>
    </w:p>
    <w:p w:rsidR="008E7CA4" w:rsidRDefault="008E7CA4" w:rsidP="008E7CA4">
      <w:pPr>
        <w:ind w:left="540"/>
        <w:contextualSpacing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</w:p>
    <w:p w:rsidR="008E7CA4" w:rsidRPr="008E7CA4" w:rsidRDefault="008E7CA4" w:rsidP="007C3608">
      <w:pPr>
        <w:numPr>
          <w:ilvl w:val="0"/>
          <w:numId w:val="4"/>
        </w:numPr>
        <w:spacing w:after="120"/>
        <w:ind w:left="547" w:hanging="547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sz w:val="22"/>
          <w:szCs w:val="22"/>
          <w:lang w:val="es-ES_tradnl" w:eastAsia="ar-SA"/>
        </w:rPr>
        <w:t>El término “especies migratorias” está definido por la CMS en el Artículo I (1), II (1) y IV (1) y se especifica con más detalle en las notas explicativas del formato para las propuestas de enmienda a los Apéndices de la CMS. Para diferenciar mejor el alcance geográfico de las migraciones se aplicarán las siguientes categorías:</w:t>
      </w:r>
    </w:p>
    <w:p w:rsidR="008E7CA4" w:rsidRPr="008E7CA4" w:rsidRDefault="008E7CA4" w:rsidP="007C3608">
      <w:pPr>
        <w:numPr>
          <w:ilvl w:val="0"/>
          <w:numId w:val="8"/>
        </w:numPr>
        <w:suppressAutoHyphens/>
        <w:autoSpaceDN/>
        <w:adjustRightInd/>
        <w:spacing w:after="40"/>
        <w:jc w:val="both"/>
        <w:rPr>
          <w:rFonts w:ascii="Arial" w:eastAsia="Arial" w:hAnsi="Arial" w:cs="Arial"/>
          <w:sz w:val="22"/>
          <w:szCs w:val="22"/>
          <w:lang w:val="es-ES_tradnl" w:eastAsia="ar-SA"/>
        </w:rPr>
      </w:pPr>
      <w:r w:rsidRPr="008E7CA4">
        <w:rPr>
          <w:rFonts w:ascii="Arial" w:eastAsia="Arial" w:hAnsi="Arial" w:cs="Arial"/>
          <w:sz w:val="22"/>
          <w:szCs w:val="22"/>
          <w:lang w:val="es-ES_tradnl" w:eastAsia="ar-SA"/>
        </w:rPr>
        <w:t xml:space="preserve">Altamente migratorias: Aquellas especies cuyas migraciones se extienden a escala de cuencas oceánicas, abarcando </w:t>
      </w:r>
      <w:r w:rsidR="007A676A">
        <w:rPr>
          <w:rFonts w:ascii="Arial" w:eastAsia="Arial" w:hAnsi="Arial" w:cs="Arial"/>
          <w:sz w:val="22"/>
          <w:szCs w:val="22"/>
          <w:lang w:val="es-ES_tradnl" w:eastAsia="ar-SA"/>
        </w:rPr>
        <w:t>así aguas nacionales y alta mar;</w:t>
      </w:r>
      <w:r w:rsidRPr="008E7CA4">
        <w:rPr>
          <w:rFonts w:ascii="Arial" w:eastAsia="Arial" w:hAnsi="Arial" w:cs="Arial"/>
          <w:sz w:val="22"/>
          <w:szCs w:val="22"/>
          <w:lang w:val="es-ES_tradnl" w:eastAsia="ar-SA"/>
        </w:rPr>
        <w:t xml:space="preserve"> </w:t>
      </w:r>
    </w:p>
    <w:p w:rsidR="008E7CA4" w:rsidRPr="008E7CA4" w:rsidRDefault="007A676A" w:rsidP="007C3608">
      <w:pPr>
        <w:numPr>
          <w:ilvl w:val="0"/>
          <w:numId w:val="8"/>
        </w:numPr>
        <w:suppressAutoHyphens/>
        <w:autoSpaceDN/>
        <w:adjustRightInd/>
        <w:spacing w:after="40"/>
        <w:jc w:val="both"/>
        <w:rPr>
          <w:rFonts w:ascii="Arial" w:eastAsia="Arial" w:hAnsi="Arial" w:cs="Arial"/>
          <w:sz w:val="22"/>
          <w:szCs w:val="22"/>
          <w:lang w:val="es-ES_tradnl" w:eastAsia="ar-SA"/>
        </w:rPr>
      </w:pPr>
      <w:r>
        <w:rPr>
          <w:rFonts w:ascii="Arial" w:eastAsia="Arial" w:hAnsi="Arial" w:cs="Arial"/>
          <w:sz w:val="22"/>
          <w:szCs w:val="22"/>
          <w:lang w:val="es-ES_tradnl" w:eastAsia="ar-SA"/>
        </w:rPr>
        <w:t>m</w:t>
      </w:r>
      <w:r w:rsidR="008E7CA4" w:rsidRPr="008E7CA4">
        <w:rPr>
          <w:rFonts w:ascii="Arial" w:eastAsia="Arial" w:hAnsi="Arial" w:cs="Arial"/>
          <w:sz w:val="22"/>
          <w:szCs w:val="22"/>
          <w:lang w:val="es-ES_tradnl" w:eastAsia="ar-SA"/>
        </w:rPr>
        <w:t>igración regional: Aquellas especies cuyas migraciones se extienden a escala de mares regionales (a menudo de plataforma continental), aunque una pequeña proporción de la población puede realizar desplazamientos de mayor distancia, incluyendo viajes a las</w:t>
      </w:r>
      <w:r>
        <w:rPr>
          <w:rFonts w:ascii="Arial" w:eastAsia="Arial" w:hAnsi="Arial" w:cs="Arial"/>
          <w:sz w:val="22"/>
          <w:szCs w:val="22"/>
          <w:lang w:val="es-ES_tradnl" w:eastAsia="ar-SA"/>
        </w:rPr>
        <w:t xml:space="preserve"> cuencas oceánicas;</w:t>
      </w:r>
      <w:r w:rsidR="008E7CA4" w:rsidRPr="008E7CA4">
        <w:rPr>
          <w:rFonts w:ascii="Arial" w:eastAsia="Arial" w:hAnsi="Arial" w:cs="Arial"/>
          <w:sz w:val="22"/>
          <w:szCs w:val="22"/>
          <w:lang w:val="es-ES_tradnl" w:eastAsia="ar-SA"/>
        </w:rPr>
        <w:t xml:space="preserve"> </w:t>
      </w:r>
    </w:p>
    <w:p w:rsidR="008E7CA4" w:rsidRPr="008E7CA4" w:rsidRDefault="007A676A" w:rsidP="007C3608">
      <w:pPr>
        <w:numPr>
          <w:ilvl w:val="0"/>
          <w:numId w:val="8"/>
        </w:numPr>
        <w:suppressAutoHyphens/>
        <w:autoSpaceDN/>
        <w:adjustRightInd/>
        <w:spacing w:after="40"/>
        <w:jc w:val="both"/>
        <w:rPr>
          <w:rFonts w:ascii="Arial" w:eastAsia="Arial" w:hAnsi="Arial" w:cs="Arial"/>
          <w:sz w:val="22"/>
          <w:szCs w:val="22"/>
          <w:lang w:val="es-ES_tradnl" w:eastAsia="ar-SA"/>
        </w:rPr>
      </w:pPr>
      <w:r>
        <w:rPr>
          <w:rFonts w:ascii="Arial" w:eastAsia="Arial" w:hAnsi="Arial" w:cs="Arial"/>
          <w:sz w:val="22"/>
          <w:szCs w:val="22"/>
          <w:lang w:val="es-ES_tradnl" w:eastAsia="ar-SA"/>
        </w:rPr>
        <w:t>m</w:t>
      </w:r>
      <w:r w:rsidR="008E7CA4" w:rsidRPr="008E7CA4">
        <w:rPr>
          <w:rFonts w:ascii="Arial" w:eastAsia="Arial" w:hAnsi="Arial" w:cs="Arial"/>
          <w:sz w:val="22"/>
          <w:szCs w:val="22"/>
          <w:lang w:val="es-ES_tradnl" w:eastAsia="ar-SA"/>
        </w:rPr>
        <w:t>igración subregional: Las especies que migran a escalas espaciales más pequeñas, pero con una evidencia clara de migraciones cíclicas y predecibles a través de</w:t>
      </w:r>
      <w:r>
        <w:rPr>
          <w:rFonts w:ascii="Arial" w:eastAsia="Arial" w:hAnsi="Arial" w:cs="Arial"/>
          <w:sz w:val="22"/>
          <w:szCs w:val="22"/>
          <w:lang w:val="es-ES_tradnl" w:eastAsia="ar-SA"/>
        </w:rPr>
        <w:t xml:space="preserve"> las fronteras jurisdiccionales;</w:t>
      </w:r>
      <w:bookmarkStart w:id="1" w:name="_GoBack"/>
      <w:bookmarkEnd w:id="1"/>
      <w:r w:rsidR="008E7CA4" w:rsidRPr="008E7CA4">
        <w:rPr>
          <w:rFonts w:ascii="Arial" w:eastAsia="Arial" w:hAnsi="Arial" w:cs="Arial"/>
          <w:sz w:val="22"/>
          <w:szCs w:val="22"/>
          <w:lang w:val="es-ES_tradnl" w:eastAsia="ar-SA"/>
        </w:rPr>
        <w:t xml:space="preserve"> </w:t>
      </w:r>
    </w:p>
    <w:p w:rsidR="008E7CA4" w:rsidRPr="008E7CA4" w:rsidRDefault="007A676A" w:rsidP="008E7CA4">
      <w:pPr>
        <w:numPr>
          <w:ilvl w:val="0"/>
          <w:numId w:val="8"/>
        </w:numPr>
        <w:suppressAutoHyphens/>
        <w:autoSpaceDN/>
        <w:adjustRightInd/>
        <w:jc w:val="both"/>
        <w:rPr>
          <w:rFonts w:ascii="Arial" w:eastAsia="Arial" w:hAnsi="Arial" w:cs="Arial"/>
          <w:sz w:val="22"/>
          <w:szCs w:val="22"/>
          <w:lang w:val="es-ES_tradnl" w:eastAsia="ar-SA"/>
        </w:rPr>
      </w:pPr>
      <w:r>
        <w:rPr>
          <w:rFonts w:ascii="Arial" w:eastAsia="Arial" w:hAnsi="Arial" w:cs="Arial"/>
          <w:sz w:val="22"/>
          <w:szCs w:val="22"/>
          <w:lang w:val="es-ES_tradnl" w:eastAsia="ar-SA"/>
        </w:rPr>
        <w:t>m</w:t>
      </w:r>
      <w:r w:rsidR="008E7CA4" w:rsidRPr="008E7CA4">
        <w:rPr>
          <w:rFonts w:ascii="Arial" w:eastAsia="Arial" w:hAnsi="Arial" w:cs="Arial"/>
          <w:sz w:val="22"/>
          <w:szCs w:val="22"/>
          <w:lang w:val="es-ES_tradnl" w:eastAsia="ar-SA"/>
        </w:rPr>
        <w:t xml:space="preserve">igraciones costeras a pequeña escala o no migratorias: Aquellas especies que generalmente son específicas de un área o que sólo realizan trayectos de distancia más corta (p.ej. migraciones estacionales ente la costa y alta mar o de norte a sur). Estas especies son consideradas como que no cumplen con los criterios de “especies migratorias” según lo que define el Artículo I (1) y IV (1) de la CMS. </w:t>
      </w:r>
    </w:p>
    <w:p w:rsidR="008E7CA4" w:rsidRPr="008E7CA4" w:rsidRDefault="008E7CA4" w:rsidP="008E7CA4">
      <w:pPr>
        <w:suppressAutoHyphens/>
        <w:autoSpaceDN/>
        <w:adjustRightInd/>
        <w:jc w:val="both"/>
        <w:rPr>
          <w:rFonts w:ascii="Arial" w:eastAsia="Arial" w:hAnsi="Arial" w:cs="Arial"/>
          <w:color w:val="000000"/>
          <w:sz w:val="22"/>
          <w:szCs w:val="22"/>
          <w:lang w:val="es-ES" w:eastAsia="ar-SA"/>
        </w:rPr>
      </w:pPr>
    </w:p>
    <w:p w:rsidR="008E7CA4" w:rsidRPr="00A80ADB" w:rsidRDefault="008E7CA4" w:rsidP="008E7CA4">
      <w:pPr>
        <w:suppressAutoHyphens/>
        <w:autoSpaceDN/>
        <w:adjustRightInd/>
        <w:jc w:val="both"/>
        <w:rPr>
          <w:rFonts w:ascii="Arial" w:eastAsia="Arial" w:hAnsi="Arial" w:cs="Arial"/>
          <w:b/>
          <w:sz w:val="22"/>
          <w:szCs w:val="22"/>
          <w:lang w:val="es-ES" w:eastAsia="ar-SA"/>
        </w:rPr>
      </w:pPr>
      <w:r w:rsidRPr="00A80ADB">
        <w:rPr>
          <w:rFonts w:ascii="Arial" w:eastAsia="Arial" w:hAnsi="Arial" w:cs="Arial"/>
          <w:b/>
          <w:sz w:val="22"/>
          <w:szCs w:val="22"/>
          <w:lang w:val="es-ES" w:eastAsia="ar-SA"/>
        </w:rPr>
        <w:t>Consideraciones adicionales para el Comité Asesor, en relación con los criterios de inclusión</w:t>
      </w:r>
    </w:p>
    <w:p w:rsidR="008E7CA4" w:rsidRPr="008E7CA4" w:rsidRDefault="008E7CA4" w:rsidP="008E7CA4">
      <w:pPr>
        <w:suppressAutoHyphens/>
        <w:autoSpaceDN/>
        <w:adjustRightInd/>
        <w:jc w:val="both"/>
        <w:rPr>
          <w:rFonts w:ascii="Arial" w:eastAsia="Arial" w:hAnsi="Arial" w:cs="Arial"/>
          <w:strike/>
          <w:color w:val="000000"/>
          <w:sz w:val="22"/>
          <w:szCs w:val="22"/>
          <w:lang w:val="es-ES" w:eastAsia="ar-SA"/>
        </w:rPr>
      </w:pPr>
    </w:p>
    <w:p w:rsidR="007C3608" w:rsidRDefault="008E7CA4" w:rsidP="007C3608">
      <w:pPr>
        <w:numPr>
          <w:ilvl w:val="0"/>
          <w:numId w:val="4"/>
        </w:numPr>
        <w:suppressAutoHyphens/>
        <w:autoSpaceDN/>
        <w:adjustRightInd/>
        <w:ind w:left="540" w:hanging="540"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sz w:val="22"/>
          <w:szCs w:val="22"/>
          <w:lang w:val="es-ES" w:eastAsia="ar-SA"/>
        </w:rPr>
        <w:t xml:space="preserve">Los Criterios biológicos generales utilizados por la Convención de la CMS para determinar si una especie cumple los requisitos para su inclusión en las listas deberán ser utilizados por el </w:t>
      </w:r>
      <w:proofErr w:type="spellStart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>MdE</w:t>
      </w:r>
      <w:proofErr w:type="spellEnd"/>
      <w:r w:rsidRPr="008E7CA4">
        <w:rPr>
          <w:rFonts w:ascii="Arial" w:eastAsia="Arial" w:hAnsi="Arial" w:cs="Arial"/>
          <w:sz w:val="22"/>
          <w:szCs w:val="22"/>
          <w:lang w:val="es-ES" w:eastAsia="ar-SA"/>
        </w:rPr>
        <w:t>. Esto asegurará un método sencillo y se mantendrá la consistencia con la Convención madre.</w:t>
      </w:r>
    </w:p>
    <w:p w:rsidR="007C3608" w:rsidRDefault="007C3608" w:rsidP="007C3608">
      <w:pPr>
        <w:suppressAutoHyphens/>
        <w:autoSpaceDN/>
        <w:adjustRightInd/>
        <w:ind w:left="540"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</w:p>
    <w:p w:rsidR="008E7CA4" w:rsidRPr="008E7CA4" w:rsidRDefault="008E7CA4" w:rsidP="007C3608">
      <w:pPr>
        <w:numPr>
          <w:ilvl w:val="0"/>
          <w:numId w:val="4"/>
        </w:numPr>
        <w:suppressAutoHyphens/>
        <w:autoSpaceDN/>
        <w:adjustRightInd/>
        <w:ind w:left="540" w:hanging="540"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  <w:r w:rsidRPr="008E7CA4">
        <w:rPr>
          <w:rFonts w:ascii="Arial" w:eastAsia="Calibri" w:hAnsi="Arial" w:cs="Arial"/>
          <w:sz w:val="22"/>
          <w:szCs w:val="22"/>
          <w:lang w:val="es-ES_tradnl"/>
        </w:rPr>
        <w:t>A pesar de las normas de la CMS, algunas especies o grupos de especies pueden incluirse como especies “semejantes” si la diferenciación de una especie incluidas en el Anexo 1 es difícil y es probable que haya confusión con esta última. Una especie “semejante” no tiene que cumplir necesariamente todos los criterios para su inclusión en el Anexo 1.</w:t>
      </w:r>
    </w:p>
    <w:p w:rsidR="008E7CA4" w:rsidRPr="008E7CA4" w:rsidRDefault="008E7CA4" w:rsidP="008E7CA4">
      <w:pPr>
        <w:suppressAutoHyphens/>
        <w:autoSpaceDN/>
        <w:adjustRightInd/>
        <w:ind w:left="720" w:hanging="720"/>
        <w:jc w:val="both"/>
        <w:rPr>
          <w:rFonts w:ascii="Arial" w:eastAsia="Arial" w:hAnsi="Arial" w:cs="Arial"/>
          <w:strike/>
          <w:color w:val="000000"/>
          <w:szCs w:val="20"/>
          <w:lang w:val="es-ES_tradnl" w:eastAsia="ar-SA"/>
        </w:rPr>
      </w:pPr>
    </w:p>
    <w:p w:rsidR="008E7CA4" w:rsidRPr="008E7CA4" w:rsidRDefault="008E7CA4" w:rsidP="008E7CA4">
      <w:pPr>
        <w:suppressAutoHyphens/>
        <w:autoSpaceDN/>
        <w:adjustRightInd/>
        <w:jc w:val="both"/>
        <w:rPr>
          <w:rFonts w:ascii="Arial" w:eastAsia="Arial" w:hAnsi="Arial" w:cs="Arial"/>
          <w:b/>
          <w:bCs/>
          <w:sz w:val="22"/>
          <w:szCs w:val="22"/>
          <w:lang w:val="es-ES" w:eastAsia="ar-SA"/>
        </w:rPr>
      </w:pPr>
      <w:r w:rsidRPr="008E7CA4">
        <w:rPr>
          <w:rFonts w:ascii="Arial" w:eastAsia="Arial" w:hAnsi="Arial" w:cs="Arial"/>
          <w:b/>
          <w:bCs/>
          <w:sz w:val="22"/>
          <w:szCs w:val="22"/>
          <w:lang w:val="es-ES" w:eastAsia="ar-SA"/>
        </w:rPr>
        <w:t>Formato de las propuestas de inclusión</w:t>
      </w:r>
    </w:p>
    <w:p w:rsidR="008E7CA4" w:rsidRPr="008E7CA4" w:rsidRDefault="008E7CA4" w:rsidP="008E7CA4">
      <w:pPr>
        <w:suppressAutoHyphens/>
        <w:autoSpaceDN/>
        <w:adjustRightInd/>
        <w:jc w:val="both"/>
        <w:rPr>
          <w:rFonts w:ascii="Arial" w:eastAsia="Arial" w:hAnsi="Arial" w:cs="Arial"/>
          <w:sz w:val="22"/>
          <w:szCs w:val="22"/>
          <w:lang w:val="es-ES" w:eastAsia="ar-SA"/>
        </w:rPr>
      </w:pPr>
    </w:p>
    <w:p w:rsidR="00766125" w:rsidRPr="007C3608" w:rsidRDefault="008E7CA4" w:rsidP="007C3608">
      <w:pPr>
        <w:numPr>
          <w:ilvl w:val="0"/>
          <w:numId w:val="4"/>
        </w:numPr>
        <w:suppressAutoHyphens/>
        <w:autoSpaceDN/>
        <w:adjustRightInd/>
        <w:ind w:left="540" w:hanging="540"/>
        <w:jc w:val="center"/>
        <w:rPr>
          <w:rFonts w:ascii="Arial" w:hAnsi="Arial" w:cs="Arial"/>
          <w:sz w:val="22"/>
          <w:szCs w:val="22"/>
          <w:lang w:val="es-ES"/>
        </w:rPr>
      </w:pPr>
      <w:r w:rsidRPr="008E7CA4">
        <w:rPr>
          <w:rFonts w:ascii="Arial" w:eastAsia="Arial" w:hAnsi="Arial" w:cs="Arial"/>
          <w:color w:val="000000"/>
          <w:sz w:val="22"/>
          <w:szCs w:val="22"/>
          <w:lang w:val="es-ES" w:eastAsia="ar-SA"/>
        </w:rPr>
        <w:t>Un formato para las propuestas de inclusión en la lista se adjunta al presente documento</w:t>
      </w:r>
      <w:r w:rsidRPr="008E7CA4">
        <w:rPr>
          <w:rFonts w:ascii="Arial" w:eastAsia="Arial" w:hAnsi="Arial" w:cs="Arial"/>
          <w:color w:val="000000"/>
          <w:sz w:val="24"/>
          <w:vertAlign w:val="superscript"/>
          <w:lang w:val="en-GB" w:eastAsia="ar-SA"/>
        </w:rPr>
        <w:footnoteReference w:id="1"/>
      </w:r>
      <w:r w:rsidRPr="008E7CA4">
        <w:rPr>
          <w:rFonts w:ascii="Arial" w:eastAsia="Arial" w:hAnsi="Arial" w:cs="Arial"/>
          <w:color w:val="000000"/>
          <w:sz w:val="24"/>
          <w:lang w:val="es-ES" w:eastAsia="ar-SA"/>
        </w:rPr>
        <w:t>.</w:t>
      </w:r>
    </w:p>
    <w:sectPr w:rsidR="00766125" w:rsidRPr="007C3608" w:rsidSect="00766125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11" w:right="1350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23" w:rsidRDefault="00604223" w:rsidP="00766125">
      <w:r>
        <w:separator/>
      </w:r>
    </w:p>
  </w:endnote>
  <w:endnote w:type="continuationSeparator" w:id="0">
    <w:p w:rsidR="00604223" w:rsidRDefault="00604223" w:rsidP="0076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679459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125" w:rsidRPr="00766125" w:rsidRDefault="00766125" w:rsidP="0076612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766125">
          <w:rPr>
            <w:rFonts w:ascii="Arial" w:hAnsi="Arial" w:cs="Arial"/>
            <w:sz w:val="18"/>
            <w:szCs w:val="18"/>
          </w:rPr>
          <w:fldChar w:fldCharType="begin"/>
        </w:r>
        <w:r w:rsidRPr="0076612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66125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76612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445498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125" w:rsidRPr="00766125" w:rsidRDefault="00766125" w:rsidP="0076612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766125">
          <w:rPr>
            <w:rFonts w:ascii="Arial" w:hAnsi="Arial" w:cs="Arial"/>
            <w:sz w:val="18"/>
            <w:szCs w:val="18"/>
          </w:rPr>
          <w:fldChar w:fldCharType="begin"/>
        </w:r>
        <w:r w:rsidRPr="0076612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66125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76612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23" w:rsidRDefault="00604223" w:rsidP="00766125">
      <w:r>
        <w:separator/>
      </w:r>
    </w:p>
  </w:footnote>
  <w:footnote w:type="continuationSeparator" w:id="0">
    <w:p w:rsidR="00604223" w:rsidRDefault="00604223" w:rsidP="00766125">
      <w:r>
        <w:continuationSeparator/>
      </w:r>
    </w:p>
  </w:footnote>
  <w:footnote w:id="1">
    <w:p w:rsidR="008E7CA4" w:rsidRPr="00851C08" w:rsidRDefault="008E7CA4" w:rsidP="008E7CA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="007C3608">
        <w:rPr>
          <w:lang w:val="es-ES"/>
        </w:rPr>
        <w:t xml:space="preserve"> </w:t>
      </w:r>
      <w:r w:rsidRPr="00851C08">
        <w:rPr>
          <w:lang w:val="es-ES"/>
        </w:rPr>
        <w:t>El nuevo formato propuesto est</w:t>
      </w:r>
      <w:r>
        <w:rPr>
          <w:lang w:val="es-ES"/>
        </w:rPr>
        <w:t>á</w:t>
      </w:r>
      <w:r w:rsidRPr="00851C08">
        <w:rPr>
          <w:lang w:val="es-ES"/>
        </w:rPr>
        <w:t xml:space="preserve"> incluido en </w:t>
      </w:r>
      <w:r w:rsidR="007C3608">
        <w:rPr>
          <w:lang w:val="es-ES"/>
        </w:rPr>
        <w:t>CMS/</w:t>
      </w:r>
      <w:proofErr w:type="spellStart"/>
      <w:r w:rsidR="007C3608">
        <w:rPr>
          <w:lang w:val="es-ES"/>
        </w:rPr>
        <w:t>Sharks</w:t>
      </w:r>
      <w:proofErr w:type="spellEnd"/>
      <w:r w:rsidR="007C3608">
        <w:rPr>
          <w:lang w:val="es-ES"/>
        </w:rPr>
        <w:t>/MOS3/CRP2</w:t>
      </w:r>
      <w:r w:rsidRPr="00851C08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08" w:rsidRPr="007C3608" w:rsidRDefault="007C3608" w:rsidP="007C3608">
    <w:pPr>
      <w:pBdr>
        <w:bottom w:val="single" w:sz="4" w:space="1" w:color="auto"/>
      </w:pBdr>
      <w:spacing w:before="40" w:after="40"/>
      <w:jc w:val="both"/>
      <w:rPr>
        <w:rFonts w:ascii="Arial" w:hAnsi="Arial" w:cs="Arial"/>
        <w:i/>
        <w:sz w:val="18"/>
        <w:szCs w:val="18"/>
        <w:lang w:val="fr-FR"/>
      </w:rPr>
    </w:pPr>
    <w:bookmarkStart w:id="2" w:name="_Hlk532331724"/>
    <w:bookmarkStart w:id="3" w:name="_Hlk532331725"/>
    <w:r w:rsidRPr="007C3608">
      <w:rPr>
        <w:rFonts w:ascii="Arial" w:hAnsi="Arial" w:cs="Arial"/>
        <w:i/>
        <w:sz w:val="18"/>
        <w:szCs w:val="18"/>
        <w:lang w:val="fr-FR"/>
      </w:rPr>
      <w:t>CMS/</w:t>
    </w:r>
    <w:proofErr w:type="spellStart"/>
    <w:r w:rsidRPr="007C3608">
      <w:rPr>
        <w:rFonts w:ascii="Arial" w:hAnsi="Arial" w:cs="Arial"/>
        <w:i/>
        <w:sz w:val="18"/>
        <w:szCs w:val="18"/>
        <w:lang w:val="fr-FR"/>
      </w:rPr>
      <w:t>Sharks</w:t>
    </w:r>
    <w:proofErr w:type="spellEnd"/>
    <w:r w:rsidRPr="007C3608">
      <w:rPr>
        <w:rFonts w:ascii="Arial" w:hAnsi="Arial" w:cs="Arial"/>
        <w:i/>
        <w:sz w:val="18"/>
        <w:szCs w:val="18"/>
        <w:lang w:val="fr-FR"/>
      </w:rPr>
      <w:t>/MOS3/CRP1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08" w:rsidRPr="007C3608" w:rsidRDefault="007C3608" w:rsidP="007C3608">
    <w:pPr>
      <w:pBdr>
        <w:bottom w:val="single" w:sz="4" w:space="1" w:color="auto"/>
      </w:pBdr>
      <w:spacing w:before="40" w:after="40"/>
      <w:jc w:val="right"/>
      <w:rPr>
        <w:rFonts w:ascii="Arial" w:hAnsi="Arial" w:cs="Arial"/>
        <w:i/>
        <w:sz w:val="18"/>
        <w:szCs w:val="18"/>
        <w:lang w:val="fr-FR"/>
      </w:rPr>
    </w:pPr>
    <w:r w:rsidRPr="007C3608">
      <w:rPr>
        <w:rFonts w:ascii="Arial" w:hAnsi="Arial" w:cs="Arial"/>
        <w:i/>
        <w:sz w:val="18"/>
        <w:szCs w:val="18"/>
        <w:lang w:val="fr-FR"/>
      </w:rPr>
      <w:t>CMS/</w:t>
    </w:r>
    <w:proofErr w:type="spellStart"/>
    <w:r w:rsidRPr="007C3608">
      <w:rPr>
        <w:rFonts w:ascii="Arial" w:hAnsi="Arial" w:cs="Arial"/>
        <w:i/>
        <w:sz w:val="18"/>
        <w:szCs w:val="18"/>
        <w:lang w:val="fr-FR"/>
      </w:rPr>
      <w:t>Sharks</w:t>
    </w:r>
    <w:proofErr w:type="spellEnd"/>
    <w:r w:rsidRPr="007C3608">
      <w:rPr>
        <w:rFonts w:ascii="Arial" w:hAnsi="Arial" w:cs="Arial"/>
        <w:i/>
        <w:sz w:val="18"/>
        <w:szCs w:val="18"/>
        <w:lang w:val="fr-FR"/>
      </w:rPr>
      <w:t>/MOS3/CRP1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E88"/>
    <w:multiLevelType w:val="hybridMultilevel"/>
    <w:tmpl w:val="A2FE6770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34B76"/>
    <w:multiLevelType w:val="hybridMultilevel"/>
    <w:tmpl w:val="FCC0F006"/>
    <w:lvl w:ilvl="0" w:tplc="72384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6AF1"/>
    <w:multiLevelType w:val="hybridMultilevel"/>
    <w:tmpl w:val="BCD0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0FA"/>
    <w:multiLevelType w:val="hybridMultilevel"/>
    <w:tmpl w:val="E6866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35138"/>
    <w:multiLevelType w:val="hybridMultilevel"/>
    <w:tmpl w:val="A1A4BDBC"/>
    <w:lvl w:ilvl="0" w:tplc="1660C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F50389"/>
    <w:multiLevelType w:val="hybridMultilevel"/>
    <w:tmpl w:val="A1A4BDBC"/>
    <w:lvl w:ilvl="0" w:tplc="1660C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4304FF"/>
    <w:multiLevelType w:val="hybridMultilevel"/>
    <w:tmpl w:val="D2686E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66E2A0C"/>
    <w:multiLevelType w:val="hybridMultilevel"/>
    <w:tmpl w:val="7F5C842A"/>
    <w:lvl w:ilvl="0" w:tplc="00000001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14"/>
    <w:rsid w:val="003A191D"/>
    <w:rsid w:val="003B0EE6"/>
    <w:rsid w:val="003F19C8"/>
    <w:rsid w:val="005A7C90"/>
    <w:rsid w:val="00604223"/>
    <w:rsid w:val="0061372A"/>
    <w:rsid w:val="006E6D52"/>
    <w:rsid w:val="00745C0B"/>
    <w:rsid w:val="007631D7"/>
    <w:rsid w:val="00766125"/>
    <w:rsid w:val="007A676A"/>
    <w:rsid w:val="007C3608"/>
    <w:rsid w:val="008A2B1C"/>
    <w:rsid w:val="008B1B56"/>
    <w:rsid w:val="008E7CA4"/>
    <w:rsid w:val="009A4757"/>
    <w:rsid w:val="009A5554"/>
    <w:rsid w:val="00A80ADB"/>
    <w:rsid w:val="00B25614"/>
    <w:rsid w:val="00CB2DFD"/>
    <w:rsid w:val="00EF1D0A"/>
    <w:rsid w:val="00F73717"/>
    <w:rsid w:val="00FB13F9"/>
    <w:rsid w:val="00FB2B4F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CA635"/>
  <w15:chartTrackingRefBased/>
  <w15:docId w15:val="{1103D5E8-93CE-40A8-B852-C13B19C1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CA4"/>
    <w:pPr>
      <w:keepNext/>
      <w:keepLines/>
      <w:spacing w:before="240"/>
      <w:outlineLvl w:val="0"/>
    </w:pPr>
    <w:rPr>
      <w:rFonts w:ascii="Calibri Light" w:eastAsia="MS Gothic" w:hAnsi="Calibri Light"/>
      <w:color w:val="2F5496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5614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Cambria" w:hAnsi="Cambr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561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25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6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6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1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61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B25614"/>
    <w:rPr>
      <w:rFonts w:ascii="Cambria" w:eastAsia="Times New Roman" w:hAnsi="Cambri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125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125"/>
    <w:rPr>
      <w:rFonts w:ascii="Times New Roman" w:eastAsia="Times New Roman" w:hAnsi="Times New Roman" w:cs="Times New Roman"/>
      <w:sz w:val="20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8E7CA4"/>
    <w:pPr>
      <w:keepNext/>
      <w:keepLines/>
      <w:spacing w:before="240"/>
      <w:outlineLvl w:val="0"/>
    </w:pPr>
    <w:rPr>
      <w:rFonts w:ascii="Calibri Light" w:eastAsia="MS Gothic" w:hAnsi="Calibri Light"/>
      <w:color w:val="2F5496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E7CA4"/>
    <w:rPr>
      <w:rFonts w:ascii="Calibri Light" w:eastAsia="MS Gothic" w:hAnsi="Calibri Light" w:cs="Times New Roman"/>
      <w:color w:val="2F5496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CA4"/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CA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CA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E7CA4"/>
    <w:pPr>
      <w:spacing w:after="0" w:line="240" w:lineRule="auto"/>
    </w:pPr>
    <w:rPr>
      <w:rFonts w:ascii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8E7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E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EB14-0810-4F64-85F7-22B1A5C5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Meyers</dc:creator>
  <cp:keywords/>
  <dc:description/>
  <cp:lastModifiedBy>Ximena Cancino</cp:lastModifiedBy>
  <cp:revision>5</cp:revision>
  <cp:lastPrinted>2018-12-11T22:08:00Z</cp:lastPrinted>
  <dcterms:created xsi:type="dcterms:W3CDTF">2018-12-11T21:47:00Z</dcterms:created>
  <dcterms:modified xsi:type="dcterms:W3CDTF">2018-12-12T10:58:00Z</dcterms:modified>
</cp:coreProperties>
</file>