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DA74" w14:textId="77777777" w:rsidR="002F021B" w:rsidRDefault="002F021B" w:rsidP="00DD2F3E">
      <w:pPr>
        <w:spacing w:after="0"/>
      </w:pPr>
    </w:p>
    <w:p w14:paraId="50076075" w14:textId="77777777" w:rsidR="00E67E27" w:rsidRPr="00937213" w:rsidRDefault="00E67E27" w:rsidP="00E67E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937213">
        <w:rPr>
          <w:rFonts w:ascii="Times New Roman" w:hAnsi="Times New Roman" w:cs="Times New Roman"/>
          <w:b/>
          <w:sz w:val="32"/>
          <w:szCs w:val="32"/>
          <w:lang w:val="es-ES_tradnl"/>
        </w:rPr>
        <w:t>1ª Reunión del Comité del Periodo de Sesiones del</w:t>
      </w:r>
    </w:p>
    <w:p w14:paraId="460C542D" w14:textId="77777777" w:rsidR="00E67E27" w:rsidRPr="00937213" w:rsidRDefault="00E67E27" w:rsidP="00E67E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937213">
        <w:rPr>
          <w:rFonts w:ascii="Times New Roman" w:hAnsi="Times New Roman" w:cs="Times New Roman"/>
          <w:b/>
          <w:sz w:val="32"/>
          <w:szCs w:val="32"/>
          <w:lang w:val="es-ES_tradnl"/>
        </w:rPr>
        <w:t>Consejo Científico de la CMS (ScC-SC1)</w:t>
      </w:r>
    </w:p>
    <w:p w14:paraId="70410086" w14:textId="1F8E0DF3" w:rsidR="00DD2F3E" w:rsidRPr="00E67E27" w:rsidRDefault="00E67E27" w:rsidP="00E67E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937213">
        <w:rPr>
          <w:rFonts w:ascii="Times New Roman" w:hAnsi="Times New Roman" w:cs="Times New Roman"/>
          <w:i/>
          <w:sz w:val="24"/>
          <w:szCs w:val="24"/>
          <w:lang w:val="es-ES_tradnl"/>
        </w:rPr>
        <w:t>Bonn, Alemania, 18 – 21 abril 2016</w:t>
      </w:r>
    </w:p>
    <w:p w14:paraId="08BE0321" w14:textId="7CB99938" w:rsidR="006A2D39" w:rsidRPr="00811B50" w:rsidRDefault="00811B50" w:rsidP="006A2D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811B50">
        <w:rPr>
          <w:rFonts w:ascii="Times New Roman" w:hAnsi="Times New Roman" w:cs="Times New Roman"/>
          <w:sz w:val="24"/>
          <w:szCs w:val="24"/>
          <w:lang w:val="es-ES"/>
        </w:rPr>
        <w:t>UNEP</w:t>
      </w:r>
      <w:r w:rsidR="006A2D39" w:rsidRPr="00811B50">
        <w:rPr>
          <w:rFonts w:ascii="Times New Roman" w:hAnsi="Times New Roman" w:cs="Times New Roman"/>
          <w:sz w:val="24"/>
          <w:szCs w:val="24"/>
          <w:lang w:val="es-ES"/>
        </w:rPr>
        <w:t>/CMS/ScC-SC1/</w:t>
      </w:r>
      <w:r w:rsidR="006515EC" w:rsidRPr="00811B50">
        <w:rPr>
          <w:rFonts w:ascii="Times New Roman" w:hAnsi="Times New Roman" w:cs="Times New Roman"/>
          <w:sz w:val="24"/>
          <w:szCs w:val="24"/>
          <w:lang w:val="es-ES"/>
        </w:rPr>
        <w:t>Doc.</w:t>
      </w:r>
      <w:r w:rsidR="00F6198F" w:rsidRPr="00811B50">
        <w:rPr>
          <w:rFonts w:ascii="Times New Roman" w:hAnsi="Times New Roman" w:cs="Times New Roman"/>
          <w:sz w:val="24"/>
          <w:szCs w:val="24"/>
          <w:lang w:val="es-ES"/>
        </w:rPr>
        <w:t>6.1</w:t>
      </w:r>
    </w:p>
    <w:p w14:paraId="7C8AB292" w14:textId="77777777" w:rsidR="00DD2F3E" w:rsidRPr="00811B50" w:rsidRDefault="00DD2F3E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FF183F9" w14:textId="77777777" w:rsidR="00DD2F3E" w:rsidRPr="00811B50" w:rsidRDefault="00DD2F3E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1F60C7E4" w14:textId="77777777" w:rsidR="00F42F74" w:rsidRPr="00811B50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5EE146F9" w14:textId="77777777" w:rsidR="00F42F74" w:rsidRPr="00811B50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036CB3CC" w14:textId="77777777" w:rsidR="00F42F74" w:rsidRPr="00811B50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7C3A5DD1" w14:textId="77777777" w:rsidR="00F42F74" w:rsidRPr="00C7419D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213D944" w14:textId="0E82D49B" w:rsidR="00C7419D" w:rsidRPr="00C7419D" w:rsidRDefault="00C7419D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C741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ACCIONES CONCERTADAS Y COOPERATIVAS</w:t>
      </w:r>
    </w:p>
    <w:p w14:paraId="0F528F81" w14:textId="77777777" w:rsidR="00F42F74" w:rsidRPr="00C7419D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_tradnl"/>
        </w:rPr>
      </w:pPr>
    </w:p>
    <w:p w14:paraId="4C6AEBF3" w14:textId="006BB078" w:rsidR="00D02F8F" w:rsidRPr="00D02F8F" w:rsidRDefault="00D02F8F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s-ES_tradnl"/>
        </w:rPr>
      </w:pPr>
      <w:r w:rsidRPr="00D02F8F">
        <w:rPr>
          <w:rFonts w:ascii="Times New Roman" w:eastAsia="Times New Roman" w:hAnsi="Times New Roman" w:cs="Times New Roman"/>
          <w:bCs/>
          <w:i/>
          <w:sz w:val="24"/>
          <w:szCs w:val="24"/>
          <w:lang w:val="es-ES_tradnl"/>
        </w:rPr>
        <w:t>(Preparado por la Secretaría)</w:t>
      </w:r>
    </w:p>
    <w:p w14:paraId="62FEAE07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</w:p>
    <w:p w14:paraId="5F67206D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</w:p>
    <w:p w14:paraId="1253E64B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</w:p>
    <w:p w14:paraId="37B685EA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</w:pPr>
    </w:p>
    <w:p w14:paraId="703C4476" w14:textId="368C48A5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31B56A1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AD750C1" w14:textId="3ECBC380" w:rsidR="00F42F74" w:rsidRPr="00811B50" w:rsidRDefault="00DA5D0C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0601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6E49" wp14:editId="2A17CC02">
                <wp:simplePos x="0" y="0"/>
                <wp:positionH relativeFrom="margin">
                  <wp:posOffset>800100</wp:posOffset>
                </wp:positionH>
                <wp:positionV relativeFrom="paragraph">
                  <wp:posOffset>140335</wp:posOffset>
                </wp:positionV>
                <wp:extent cx="4342765" cy="1971675"/>
                <wp:effectExtent l="0" t="0" r="26035" b="349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1980" w14:textId="5CA8A387" w:rsidR="00546BDF" w:rsidRPr="00DB3115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B31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  <w:t>Resumen</w:t>
                            </w:r>
                          </w:p>
                          <w:p w14:paraId="56BB291A" w14:textId="77777777" w:rsidR="00546BDF" w:rsidRPr="00DB3115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C966728" w14:textId="2D9335E5" w:rsidR="00546BDF" w:rsidRPr="00DB3115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B3115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 xml:space="preserve">A través de la </w:t>
                            </w:r>
                            <w:hyperlink r:id="rId7" w:history="1">
                              <w:r w:rsidRPr="0051085A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-4"/>
                                  <w:sz w:val="24"/>
                                  <w:szCs w:val="24"/>
                                  <w:lang w:val="es-ES_tradnl"/>
                                </w:rPr>
                                <w:t>Resolución 10.23</w:t>
                              </w:r>
                            </w:hyperlink>
                            <w:r w:rsidRPr="00DB3115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 xml:space="preserve"> y la </w:t>
                            </w:r>
                            <w:hyperlink r:id="rId8" w:history="1">
                              <w:r w:rsidRPr="0051085A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-4"/>
                                  <w:sz w:val="24"/>
                                  <w:szCs w:val="24"/>
                                  <w:lang w:val="es-ES_tradnl"/>
                                </w:rPr>
                                <w:t>Resolución 11.13</w:t>
                              </w:r>
                            </w:hyperlink>
                            <w:r w:rsidRPr="00DB3115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 xml:space="preserve">, la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>Conferencia de las Partes formuló una serie de decisiones y recomendaciones con el propósito de mejorar la efe</w:t>
                            </w:r>
                            <w:r w:rsidR="009038ED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 xml:space="preserve">ctividad de los procesos de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val="es-ES_tradnl"/>
                              </w:rPr>
                              <w:t>Acciones Concertadas y Cooperativas. En particular la COP11 recomendó que los dos procesos fueran consolidados.</w:t>
                            </w:r>
                          </w:p>
                          <w:p w14:paraId="3791F2D6" w14:textId="77777777" w:rsidR="00546BDF" w:rsidRPr="00C7419D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MS Mincho" w:hAnsi="Times New Roman" w:cs="Times New Roman"/>
                                <w:color w:val="000000"/>
                                <w:sz w:val="24"/>
                                <w:szCs w:val="24"/>
                                <w:highlight w:val="yellow"/>
                                <w:lang w:val="es-ES_tradnl" w:eastAsia="ja-JP"/>
                              </w:rPr>
                            </w:pPr>
                          </w:p>
                          <w:p w14:paraId="6063AA3C" w14:textId="5D2593E4" w:rsidR="00546BDF" w:rsidRPr="009A4EB3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MS Mincho" w:hAnsi="Times New Roman" w:cs="Times New Roman"/>
                                <w:color w:val="000000"/>
                                <w:sz w:val="24"/>
                                <w:szCs w:val="24"/>
                                <w:lang w:val="es-ES_tradnl" w:eastAsia="ja-JP"/>
                              </w:rPr>
                            </w:pPr>
                            <w:r w:rsidRPr="009A4EB3">
                              <w:rPr>
                                <w:rFonts w:ascii="Times New Roman" w:eastAsia="MS Mincho" w:hAnsi="Times New Roman" w:cs="Times New Roman"/>
                                <w:color w:val="000000"/>
                                <w:sz w:val="24"/>
                                <w:szCs w:val="24"/>
                                <w:lang w:val="es-ES_tradnl" w:eastAsia="ja-JP"/>
                              </w:rPr>
                              <w:t>El presente documento resume el mandato del Consejo Científico en el proceso de consolidación.</w:t>
                            </w:r>
                          </w:p>
                          <w:p w14:paraId="751DBE80" w14:textId="68044BE2" w:rsidR="00546BDF" w:rsidRPr="00C7419D" w:rsidRDefault="00546BDF" w:rsidP="00F42F7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D6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11.05pt;width:341.9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d+KwIAAFIEAAAOAAAAZHJzL2Uyb0RvYy54bWysVNtu2zAMfR+wfxD0vvgyJ2mNOEWXLsOA&#10;7gK0+wBFlm1hsqhJSuzs60vJaZbdXob5QSBF6pA8JL26GXtFDsI6Cbqi2SylRGgOtdRtRb88bl9d&#10;UeI80zVToEVFj8LRm/XLF6vBlCKHDlQtLEEQ7crBVLTz3pRJ4ngneuZmYIRGYwO2Zx5V2ya1ZQOi&#10;9yrJ03SRDGBrY4EL5/D2bjLSdcRvGsH9p6ZxwhNVUczNx9PGcxfOZL1iZWuZ6SQ/pcH+IYueSY1B&#10;z1B3zDOyt/I3qF5yCw4aP+PQJ9A0kotYA1aTpb9U89AxI2ItSI4zZ5rc/4PlHw+fLZF1RXNKNOux&#10;RY9i9OQNjCQP7AzGlej0YNDNj3iNXY6VOnMP/KsjGjYd0624tRaGTrAas8vCy+Ti6YTjAshu+AA1&#10;hmF7DxFobGwfqEMyCKJjl47nzoRUOF4Wr4t8uZhTwtGWXS+zxXIeY7Dy+bmxzr8T0JMgVNRi6yM8&#10;O9w7H9Jh5bNLiOZAyXorlYqKbXcbZcmB4Zhs43dC/8lNaTIgUfMiTScK/oqRxu9PGL30OPBK9hW9&#10;OjuxMhD3VtdxHD2TapIxZ6VPTAbyJhr9uBtPndlBfUROLUyDjYuIQgf2OyUDDnVF3bc9s4IS9V5j&#10;X66zoghbEJVivsxRsZeW3aWFaY5QFfWUTOLGT5uzN1a2HUaaJkHDLfaykZHl0PQpq1PeOLiR/NOS&#10;hc241KPXj1/B+gkAAP//AwBQSwMEFAAGAAgAAAAhACzCuUPeAAAACgEAAA8AAABkcnMvZG93bnJl&#10;di54bWxMj0FLw0AUhO9C/8PyBG920w3ENmZTiuChIqJt6XmbfSbB7NuQ3TTx3/s86XGYYeabYju7&#10;TlxxCK0nDatlAgKp8ralWsPp+Hy/BhGiIWs6T6jhGwNsy8VNYXLrJ/rA6yHWgkso5EZDE2OfSxmq&#10;Bp0JS98jsffpB2ciy6GWdjATl7tOqiTJpDMt8UJjenxqsPo6jE6D3E9vqXx9zx7O+5fx5IJNZ7Ja&#10;393Ou0cQEef4F4ZffEaHkpkufiQbRMdaZfwlalBqBYID62SzAXHRkKYqA1kW8v+F8gcAAP//AwBQ&#10;SwECLQAUAAYACAAAACEAtoM4kv4AAADhAQAAEwAAAAAAAAAAAAAAAAAAAAAAW0NvbnRlbnRfVHlw&#10;ZXNdLnhtbFBLAQItABQABgAIAAAAIQA4/SH/1gAAAJQBAAALAAAAAAAAAAAAAAAAAC8BAABfcmVs&#10;cy8ucmVsc1BLAQItABQABgAIAAAAIQA2WOd+KwIAAFIEAAAOAAAAAAAAAAAAAAAAAC4CAABkcnMv&#10;ZTJvRG9jLnhtbFBLAQItABQABgAIAAAAIQAswrlD3gAAAAoBAAAPAAAAAAAAAAAAAAAAAIUEAABk&#10;cnMvZG93bnJldi54bWxQSwUGAAAAAAQABADzAAAAkAUAAAAA&#10;" strokeweight="2pt">
                <v:textbox>
                  <w:txbxContent>
                    <w:p w14:paraId="618C1980" w14:textId="5CA8A387" w:rsidR="00546BDF" w:rsidRPr="00DB3115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r w:rsidRPr="00DB311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  <w:t>Resumen</w:t>
                      </w:r>
                    </w:p>
                    <w:p w14:paraId="56BB291A" w14:textId="77777777" w:rsidR="00546BDF" w:rsidRPr="00DB3115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4C966728" w14:textId="2D9335E5" w:rsidR="00546BDF" w:rsidRPr="00DB3115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</w:pPr>
                      <w:r w:rsidRPr="00DB3115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 xml:space="preserve">A través de la </w:t>
                      </w:r>
                      <w:hyperlink r:id="rId9" w:history="1">
                        <w:r w:rsidRPr="0051085A">
                          <w:rPr>
                            <w:rStyle w:val="Hyperlink"/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lang w:val="es-ES_tradnl"/>
                          </w:rPr>
                          <w:t>Resolución 10.23</w:t>
                        </w:r>
                      </w:hyperlink>
                      <w:r w:rsidRPr="00DB3115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 xml:space="preserve"> y la </w:t>
                      </w:r>
                      <w:hyperlink r:id="rId10" w:history="1">
                        <w:r w:rsidRPr="0051085A">
                          <w:rPr>
                            <w:rStyle w:val="Hyperlink"/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lang w:val="es-ES_tradnl"/>
                          </w:rPr>
                          <w:t>Resolución 11.13</w:t>
                        </w:r>
                      </w:hyperlink>
                      <w:r w:rsidRPr="00DB3115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 xml:space="preserve">, la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>Conferencia de las Partes formuló una serie de decisiones y recomendaciones con el propósito de mejorar la efe</w:t>
                      </w:r>
                      <w:r w:rsidR="009038ED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 xml:space="preserve">ctividad de los procesos de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  <w:lang w:val="es-ES_tradnl"/>
                        </w:rPr>
                        <w:t>Acciones Concertadas y Cooperativas. En particular la COP11 recomendó que los dos procesos fueran consolidados.</w:t>
                      </w:r>
                    </w:p>
                    <w:p w14:paraId="3791F2D6" w14:textId="77777777" w:rsidR="00546BDF" w:rsidRPr="00C7419D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eastAsia="MS Mincho" w:hAnsi="Times New Roman" w:cs="Times New Roman"/>
                          <w:color w:val="000000"/>
                          <w:sz w:val="24"/>
                          <w:szCs w:val="24"/>
                          <w:highlight w:val="yellow"/>
                          <w:lang w:val="es-ES_tradnl" w:eastAsia="ja-JP"/>
                        </w:rPr>
                      </w:pPr>
                    </w:p>
                    <w:p w14:paraId="6063AA3C" w14:textId="5D2593E4" w:rsidR="00546BDF" w:rsidRPr="009A4EB3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eastAsia="MS Mincho" w:hAnsi="Times New Roman" w:cs="Times New Roman"/>
                          <w:color w:val="000000"/>
                          <w:sz w:val="24"/>
                          <w:szCs w:val="24"/>
                          <w:lang w:val="es-ES_tradnl" w:eastAsia="ja-JP"/>
                        </w:rPr>
                      </w:pPr>
                      <w:r w:rsidRPr="009A4EB3">
                        <w:rPr>
                          <w:rFonts w:ascii="Times New Roman" w:eastAsia="MS Mincho" w:hAnsi="Times New Roman" w:cs="Times New Roman"/>
                          <w:color w:val="000000"/>
                          <w:sz w:val="24"/>
                          <w:szCs w:val="24"/>
                          <w:lang w:val="es-ES_tradnl" w:eastAsia="ja-JP"/>
                        </w:rPr>
                        <w:t>El presente documento resume el mandato del Consejo Científico en el proceso de consolidación.</w:t>
                      </w:r>
                    </w:p>
                    <w:p w14:paraId="751DBE80" w14:textId="68044BE2" w:rsidR="00546BDF" w:rsidRPr="00C7419D" w:rsidRDefault="00546BDF" w:rsidP="00F42F7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1D608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25BCA32F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0CD1758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67055991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349FE45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8AC7ACD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6BEFED3A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6E6CB358" w14:textId="77777777" w:rsidR="00F42F74" w:rsidRPr="00811B50" w:rsidRDefault="00F42F74" w:rsidP="009038ED">
      <w:pPr>
        <w:widowControl w:val="0"/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B2918C0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2A7593D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79174AAE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0D98E708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3DE3CE16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6765F3F6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4D4D19A1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21DD1998" w14:textId="77777777" w:rsidR="00F42F74" w:rsidRPr="00811B50" w:rsidRDefault="00F42F74" w:rsidP="00F42F74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3A2BA978" w14:textId="77777777" w:rsidR="00F42F74" w:rsidRPr="00811B50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381144D9" w14:textId="77777777" w:rsidR="00DD2F3E" w:rsidRPr="00811B50" w:rsidRDefault="00DD2F3E" w:rsidP="00DD2F3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B1AFB0F" w14:textId="77777777" w:rsidR="00C97409" w:rsidRPr="00811B50" w:rsidRDefault="00C97409" w:rsidP="00C97409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051E70FA" w14:textId="77777777" w:rsidR="00C97409" w:rsidRPr="00811B50" w:rsidRDefault="00C97409" w:rsidP="00C97409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5D401F4A" w14:textId="77777777" w:rsidR="00F6198F" w:rsidRPr="00811B50" w:rsidRDefault="00F6198F" w:rsidP="00C97409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14:paraId="7FFD525D" w14:textId="32C66305" w:rsidR="00F6198F" w:rsidRPr="00C7419D" w:rsidRDefault="00C159F7" w:rsidP="00C97409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ACCIONES CONCERTADAS Y COOPERATIVAS</w:t>
      </w:r>
    </w:p>
    <w:p w14:paraId="378BDFD4" w14:textId="77777777" w:rsidR="00F42F74" w:rsidRPr="00C7419D" w:rsidRDefault="00F42F74" w:rsidP="00B6306D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14:paraId="2F574E30" w14:textId="0E6A5538" w:rsidR="00234AF0" w:rsidRPr="00AA7D71" w:rsidRDefault="00234AF0" w:rsidP="00B630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AA7D71">
        <w:rPr>
          <w:rFonts w:ascii="Times New Roman" w:hAnsi="Times New Roman" w:cs="Times New Roman"/>
          <w:i/>
          <w:sz w:val="24"/>
          <w:szCs w:val="24"/>
          <w:lang w:val="es-ES_tradnl"/>
        </w:rPr>
        <w:t>(Preparado por la Secretaría)</w:t>
      </w:r>
    </w:p>
    <w:p w14:paraId="5B9C9C9C" w14:textId="77777777" w:rsidR="00F42F74" w:rsidRPr="00C7419D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14:paraId="2230E5C4" w14:textId="77777777" w:rsidR="00F42F74" w:rsidRPr="00AA7D71" w:rsidRDefault="00F42F74" w:rsidP="00DD2F3E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40569E" w14:textId="36CC991C" w:rsidR="00AA7D71" w:rsidRPr="00AA7D71" w:rsidRDefault="00AA7D71" w:rsidP="00297B9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 w:rsidRPr="00AA7D71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Las Acciones Concertadas fueron</w:t>
      </w:r>
      <w:r w:rsidR="00071721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establecidas por la Resolución 3.2 de la COP en 1991, la cual encomendaba a la Secretaría y al Consejo Científico alentar y apoyar a las Partes a adoptar dichas acciones a la hora de implementar las provis</w:t>
      </w:r>
      <w:r w:rsidR="008118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iones de la Convención, e iniciaba</w:t>
      </w:r>
      <w:r w:rsidR="00071721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un proceso</w:t>
      </w:r>
      <w:r w:rsidR="00A52EB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para </w:t>
      </w:r>
      <w:r w:rsidR="008118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que </w:t>
      </w:r>
      <w:r w:rsidR="00A52EB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cada reunión de la COP recomendar</w:t>
      </w:r>
      <w:r w:rsidR="008118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a</w:t>
      </w:r>
      <w:r w:rsidR="00A52EB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8118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iniciativas</w:t>
      </w:r>
      <w:r w:rsidR="00A52EB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que beneficiaran a </w:t>
      </w:r>
      <w:r w:rsidR="001107F5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varias especies seleccionadas del Apéndice I.</w:t>
      </w:r>
    </w:p>
    <w:p w14:paraId="74990748" w14:textId="77777777" w:rsidR="00F6198F" w:rsidRPr="00A73116" w:rsidRDefault="00F6198F" w:rsidP="00F6198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</w:p>
    <w:p w14:paraId="4B585E15" w14:textId="4BCA0914" w:rsidR="00A73116" w:rsidRPr="00A73116" w:rsidRDefault="00A73116" w:rsidP="00D71AC3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 w:rsidRPr="00A7311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Las Acciones Cooperativas fueron 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establecidas por la Recomendación 5.2 de la</w:t>
      </w:r>
      <w:r w:rsidR="007A714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COP en</w:t>
      </w:r>
      <w:r w:rsidR="002A7155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1997, en respuesta a la limitación práctica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del número de Acuerdos que podían ser desarrollados e implementados de manera simultánea para la larga lista de especies del Apéndice</w:t>
      </w:r>
      <w:r w:rsidR="005E62F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II. La Recomendación alentaba 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a las Partes a emprender una </w:t>
      </w:r>
      <w:r w:rsidR="0032285F" w:rsidRPr="0032285F">
        <w:rPr>
          <w:rFonts w:ascii="Times New Roman" w:hAnsi="Times New Roman" w:cs="Times New Roman"/>
          <w:i/>
          <w:color w:val="000000"/>
          <w:sz w:val="24"/>
          <w:szCs w:val="24"/>
          <w:lang w:val="es-ES_tradnl" w:eastAsia="en-GB"/>
        </w:rPr>
        <w:t>acción cooperativa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con el fin de mejorar el estado de conservación de </w:t>
      </w:r>
      <w:r w:rsidR="00793429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las 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especies o poblaciones de especies </w:t>
      </w:r>
      <w:r w:rsidR="008F69FC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pertinentes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7A496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d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el Apéndice II; proporcionando una acción </w:t>
      </w:r>
      <w:r w:rsidR="005422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relativamente 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rápida bien como alternativa a un acuerdo o como </w:t>
      </w:r>
      <w:r w:rsidR="008171D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precursora de tal</w:t>
      </w:r>
      <w:r w:rsidR="0032285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.</w:t>
      </w:r>
    </w:p>
    <w:p w14:paraId="48F9DA43" w14:textId="77777777" w:rsidR="00F6198F" w:rsidRPr="00C7419D" w:rsidRDefault="00F6198F" w:rsidP="00F6198F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14:paraId="7B6BFCE5" w14:textId="7AD6C954" w:rsidR="00AD3939" w:rsidRPr="009D7EF4" w:rsidRDefault="000B54BC" w:rsidP="00297B9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 w:rsidRPr="009D7EF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Las 10ª y 11ª reuniones de la Conferencia de las Partes de la CMS mantuvieron las Acciones Concertadas y Cooperativas bajo examen (ver documentos</w:t>
      </w:r>
      <w:r w:rsidRPr="009D7EF4">
        <w:rPr>
          <w:rFonts w:ascii="Times New Roman" w:hAnsi="Times New Roman" w:cs="Times New Roman"/>
          <w:sz w:val="24"/>
          <w:szCs w:val="24"/>
          <w:lang w:val="es-ES_tradnl" w:eastAsia="en-GB"/>
        </w:rPr>
        <w:t xml:space="preserve"> </w:t>
      </w:r>
      <w:hyperlink r:id="rId11" w:history="1">
        <w:r w:rsidRPr="009D7EF4">
          <w:rPr>
            <w:rStyle w:val="Hyperlink"/>
            <w:rFonts w:ascii="Times New Roman" w:hAnsi="Times New Roman" w:cs="Times New Roman"/>
            <w:sz w:val="24"/>
            <w:szCs w:val="24"/>
            <w:lang w:val="es-ES_tradnl" w:eastAsia="en-GB"/>
          </w:rPr>
          <w:t>UNEP/CMS/Conf.10.36</w:t>
        </w:r>
      </w:hyperlink>
      <w:r w:rsidRPr="009D7EF4">
        <w:rPr>
          <w:rFonts w:ascii="Times New Roman" w:hAnsi="Times New Roman" w:cs="Times New Roman"/>
          <w:sz w:val="24"/>
          <w:szCs w:val="24"/>
          <w:lang w:val="es-ES_tradnl" w:eastAsia="en-GB"/>
        </w:rPr>
        <w:t xml:space="preserve"> y </w:t>
      </w:r>
      <w:hyperlink r:id="rId12" w:history="1">
        <w:r w:rsidRPr="009D7EF4">
          <w:rPr>
            <w:rStyle w:val="Hyperlink"/>
            <w:rFonts w:ascii="Times New Roman" w:hAnsi="Times New Roman" w:cs="Times New Roman"/>
            <w:spacing w:val="-4"/>
            <w:sz w:val="24"/>
            <w:szCs w:val="24"/>
            <w:lang w:val="es-ES_tradnl"/>
          </w:rPr>
          <w:t>UNEP/CMS/COP11/Doc.22.4</w:t>
        </w:r>
      </w:hyperlink>
      <w:r w:rsidRPr="009D7EF4">
        <w:rPr>
          <w:rStyle w:val="Hyperlink"/>
          <w:rFonts w:ascii="Times New Roman" w:hAnsi="Times New Roman" w:cs="Times New Roman"/>
          <w:spacing w:val="-4"/>
          <w:sz w:val="24"/>
          <w:szCs w:val="24"/>
          <w:u w:val="none"/>
          <w:lang w:val="es-ES_tradnl"/>
        </w:rPr>
        <w:t xml:space="preserve"> </w:t>
      </w:r>
      <w:r w:rsidRPr="009D7EF4">
        <w:rPr>
          <w:rStyle w:val="Hyperlink"/>
          <w:rFonts w:ascii="Times New Roman" w:hAnsi="Times New Roman" w:cs="Times New Roman"/>
          <w:color w:val="auto"/>
          <w:spacing w:val="-4"/>
          <w:sz w:val="24"/>
          <w:szCs w:val="24"/>
          <w:u w:val="none"/>
          <w:lang w:val="es-ES_tradnl"/>
        </w:rPr>
        <w:t>para más detalles).</w:t>
      </w:r>
      <w:r w:rsidRPr="009D7EF4">
        <w:rPr>
          <w:rStyle w:val="Hyperlink"/>
          <w:rFonts w:ascii="Times New Roman" w:hAnsi="Times New Roman" w:cs="Times New Roman"/>
          <w:spacing w:val="-4"/>
          <w:sz w:val="24"/>
          <w:szCs w:val="24"/>
          <w:u w:val="none"/>
          <w:lang w:val="es-ES_tradnl"/>
        </w:rPr>
        <w:t xml:space="preserve"> </w:t>
      </w:r>
      <w:r w:rsidRPr="009D7EF4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 xml:space="preserve">A través de la </w:t>
      </w:r>
      <w:hyperlink r:id="rId13" w:history="1">
        <w:r w:rsidRPr="009D7EF4">
          <w:rPr>
            <w:rStyle w:val="Hyperlink"/>
            <w:rFonts w:ascii="Times New Roman" w:hAnsi="Times New Roman" w:cs="Times New Roman"/>
            <w:spacing w:val="-4"/>
            <w:sz w:val="24"/>
            <w:szCs w:val="24"/>
            <w:lang w:val="es-ES_tradnl"/>
          </w:rPr>
          <w:t>Resolución 10.23</w:t>
        </w:r>
      </w:hyperlink>
      <w:r w:rsidRPr="009D7EF4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 xml:space="preserve"> y la </w:t>
      </w:r>
      <w:hyperlink r:id="rId14" w:history="1">
        <w:r w:rsidRPr="009D7EF4">
          <w:rPr>
            <w:rStyle w:val="Hyperlink"/>
            <w:rFonts w:ascii="Times New Roman" w:hAnsi="Times New Roman" w:cs="Times New Roman"/>
            <w:spacing w:val="-4"/>
            <w:sz w:val="24"/>
            <w:szCs w:val="24"/>
            <w:lang w:val="es-ES_tradnl"/>
          </w:rPr>
          <w:t>Resolución 11.13</w:t>
        </w:r>
      </w:hyperlink>
      <w:r w:rsidRPr="009D7EF4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>, la Conferencia de las Partes formuló una serie de decisiones y recomendaciones con el propósito de mejorar la efectividad de los procesos</w:t>
      </w:r>
      <w:r w:rsidR="000E1A7F" w:rsidRPr="009D7EF4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>. En particular la COP11 recomendó que los dos procesos de Acciones Concertadas (normalmente para especies seleccionadas del Apéndice I) y Acciones Cooperativas (</w:t>
      </w:r>
      <w:r w:rsidR="00CA4466" w:rsidRPr="009D7EF4">
        <w:rPr>
          <w:rFonts w:ascii="Times New Roman" w:hAnsi="Times New Roman" w:cs="Times New Roman"/>
          <w:spacing w:val="-4"/>
          <w:sz w:val="24"/>
          <w:szCs w:val="24"/>
          <w:lang w:val="es-ES_tradnl"/>
        </w:rPr>
        <w:t>normalmente para especies seleccionadas del Apéndice II) fueran consolidados.</w:t>
      </w:r>
    </w:p>
    <w:p w14:paraId="5BB00DF7" w14:textId="77777777" w:rsidR="00AD7E34" w:rsidRPr="00C7419D" w:rsidRDefault="00AD7E34" w:rsidP="00AD7E34">
      <w:pPr>
        <w:pStyle w:val="ListParagraph"/>
        <w:rPr>
          <w:rFonts w:ascii="Times New Roman" w:hAnsi="Times New Roman" w:cs="Times New Roman"/>
          <w:sz w:val="24"/>
          <w:szCs w:val="24"/>
          <w:highlight w:val="green"/>
          <w:lang w:val="es-ES_tradnl"/>
        </w:rPr>
      </w:pPr>
    </w:p>
    <w:p w14:paraId="7939D0E4" w14:textId="47682F35" w:rsidR="00B031F6" w:rsidRPr="00B031F6" w:rsidRDefault="008B0F28" w:rsidP="00AD7E34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Como resultado de</w:t>
      </w:r>
      <w:r w:rsidR="00B031F6" w:rsidRPr="00B031F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esta consolidación,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todas las propuestas futuras (desde la COP12 en adelante) se</w:t>
      </w:r>
      <w:r w:rsidR="00993D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rían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presenta</w:t>
      </w:r>
      <w:r w:rsidR="00993D4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das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para Acciones Concertadas solamente. El mecanismo de Acciones Concertadas sería aplicable tanto a las especies del Apéndice I como a las especies del Apéndice II, y su ámbito se ampliaría para incluir todos los tipos de actividades </w:t>
      </w:r>
      <w:r w:rsidR="00681025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anteriormente </w:t>
      </w:r>
      <w:r w:rsidR="00D755E9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llevadas a cabo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681025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a través de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Acciones Cooperativas, así como aquellas normalmente </w:t>
      </w:r>
      <w:r w:rsidR="0084366E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llevadas a cabo</w:t>
      </w:r>
      <w:r w:rsidR="00DB64A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mediante Acciones Concertadas. El mecanismo de Acciones Cooperativas en sí mismo dejaría de existir.</w:t>
      </w:r>
    </w:p>
    <w:p w14:paraId="1EA73450" w14:textId="77777777" w:rsidR="00BB211A" w:rsidRPr="00C7419D" w:rsidRDefault="00BB211A" w:rsidP="00BB211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highlight w:val="green"/>
          <w:lang w:val="es-ES_tradnl" w:eastAsia="en-GB"/>
        </w:rPr>
      </w:pPr>
    </w:p>
    <w:p w14:paraId="41F60F00" w14:textId="64699CB9" w:rsidR="006F65BD" w:rsidRPr="006F65BD" w:rsidRDefault="006F65BD" w:rsidP="00BB211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 w:rsidRPr="006F65B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Se espera que el Consejo Científico desempeñe una función importante en la transición al nuevo proceso consolidado.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En particular se espera que el Consejo e</w:t>
      </w:r>
      <w:r w:rsidR="00E5637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xamine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el caso de especies previamente seleccionadas para Acciones Cooperativas, pero p</w:t>
      </w:r>
      <w:r w:rsidR="000B3010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ara las cuales no se ha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iniciado ninguna acción todavía, con el fin de determinar si </w:t>
      </w:r>
      <w:r w:rsidR="000E671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dichas 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especies debe</w:t>
      </w:r>
      <w:r w:rsidR="000E671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n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mantenerse incluida</w:t>
      </w:r>
      <w:r w:rsidR="000E671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en una nueva lista unificada de Acciones Concertadas, o si por el contrario debe</w:t>
      </w:r>
      <w:r w:rsidR="000A0BC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n</w:t>
      </w:r>
      <w:r w:rsidR="009833F7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eliminarse.</w:t>
      </w:r>
      <w:r w:rsidR="00C30FE0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Los proyectos e iniciativas que hayan comenzado ya como Acciones Cooperativas bajo decisiones anteriores de la COP no se verá</w:t>
      </w:r>
      <w:r w:rsidR="0032043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n afectado</w:t>
      </w:r>
      <w:r w:rsidR="00C30FE0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s.</w:t>
      </w:r>
      <w:r w:rsidR="00AB7BC9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No obstante, estas última</w:t>
      </w:r>
      <w:r w:rsidR="00E372AA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 también estarán sujetas a examen por parte del Consejo Científico. Estos exámenes pueden concluir, entre otras cosas, que los objetivos de una acción d</w:t>
      </w:r>
      <w:r w:rsidR="00150063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eterminada</w:t>
      </w:r>
      <w:r w:rsidR="00E372AA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han sido logrados y la acción ha sido completada, o que la acción debe continuar bajo los tér</w:t>
      </w:r>
      <w:r w:rsidR="007B6D1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minos del mecanismo unificado para</w:t>
      </w:r>
      <w:r w:rsidR="00E372AA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Acciones Concertadas.</w:t>
      </w:r>
      <w:r w:rsidR="0048215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A3094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lastRenderedPageBreak/>
        <w:t>L</w:t>
      </w:r>
      <w:r w:rsidR="0048215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a presente reunión </w:t>
      </w:r>
      <w:r w:rsidR="00A3094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tal vez desee</w:t>
      </w:r>
      <w:r w:rsidR="0048215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discutir y decidir cómo llevar a cabo estos exámenes, con </w:t>
      </w:r>
      <w:r w:rsidR="000844F1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vistas a </w:t>
      </w:r>
      <w:r w:rsidR="0048215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ofrecer su asesoramiento para la consideración de la Conferencia de las Partes en su 12ª reunión.</w:t>
      </w:r>
    </w:p>
    <w:p w14:paraId="4C9ABF60" w14:textId="77777777" w:rsidR="00BB211A" w:rsidRPr="00C7419D" w:rsidRDefault="00BB211A" w:rsidP="00BB211A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s-ES_tradnl" w:eastAsia="en-GB"/>
        </w:rPr>
      </w:pPr>
    </w:p>
    <w:p w14:paraId="5DC7A3FD" w14:textId="41AB98D2" w:rsidR="0089246F" w:rsidRPr="0089246F" w:rsidRDefault="00E2374B" w:rsidP="007D6E8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La</w:t>
      </w:r>
      <w:r w:rsidR="0089246F" w:rsidRPr="0089246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lista de especies </w:t>
      </w:r>
      <w:r w:rsidR="00866D1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seleccionadas</w:t>
      </w:r>
      <w:r w:rsidR="0089246F" w:rsidRPr="0089246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para Acciones Cooperativas, </w:t>
      </w:r>
      <w:r w:rsidR="0089246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tal como aparece en el Anexo 2 de la Resolución 11.13, incluye 56 taxones.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Se prevé que la recopilación de información sobre acciones emprend</w:t>
      </w:r>
      <w:r w:rsidR="001B4E0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idas por las Partes y otros sec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t</w:t>
      </w:r>
      <w:r w:rsidR="001B4E0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o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res interesados</w:t>
      </w:r>
      <w:r w:rsidR="00546BD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,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en respuesta a la </w:t>
      </w:r>
      <w:r w:rsidR="00546BD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selección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de estos taxones para Acciones Cooperativas</w:t>
      </w:r>
      <w:r w:rsidR="001249EA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, represente</w:t>
      </w:r>
      <w:r w:rsidR="00546BD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una tarea </w:t>
      </w:r>
      <w:r w:rsidR="000C77CE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considerable</w:t>
      </w:r>
      <w:r w:rsidR="00546BDF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dentro del proceso de examen</w:t>
      </w:r>
      <w:r w:rsidR="00FC2C5B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.</w:t>
      </w:r>
      <w:r w:rsidR="001B4E0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120EBC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En relación con</w:t>
      </w:r>
      <w:r w:rsidR="001B4E0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esta tarea, la Resolución 10.23 solicita al Consejo Científico nominar, para cada especie y/o grupo taxonómico seleccionado para Acciones Concertadas o Cooperativas, un miembro del Consejo o un experto alternativo designado para encargarse de </w:t>
      </w:r>
      <w:r w:rsidR="00D013A1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presentar</w:t>
      </w:r>
      <w:r w:rsidR="001B4E02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un informe escrito conciso a cada reunión del Consejo sobre el progreso en la implementación de acciones para la especie o grupo taxonómico en cuestión.</w:t>
      </w:r>
      <w:r w:rsidR="008C2F2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También se solicita a los Consejeros designados por la COP pertinentes coordinarse con expertos relevantes incluyendo aquellos nominados como puntos focales para Acciones Concertadas y Cooperativas</w:t>
      </w:r>
      <w:r w:rsidR="00D24B40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,</w:t>
      </w:r>
      <w:r w:rsidR="008C2F2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con el fin de elaborar un informe escrito conciso que proporcione un resumen de los temas concernientes </w:t>
      </w:r>
      <w:r w:rsidR="00D24B40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a cada grupo taxonómico </w:t>
      </w:r>
      <w:r w:rsidR="00590149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en</w:t>
      </w:r>
      <w:r w:rsidR="008C2F26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cada reunión del Consejo Científico.</w:t>
      </w:r>
    </w:p>
    <w:p w14:paraId="7E4A360E" w14:textId="77777777" w:rsidR="00E26DB2" w:rsidRPr="00C7419D" w:rsidRDefault="00E26DB2" w:rsidP="007D6E84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  <w:lang w:val="es-ES_tradnl" w:eastAsia="en-GB"/>
        </w:rPr>
      </w:pPr>
    </w:p>
    <w:p w14:paraId="26A1DCCC" w14:textId="25DA8F54" w:rsidR="003D595A" w:rsidRPr="003E55FE" w:rsidRDefault="003E55FE" w:rsidP="00E26DB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</w:pPr>
      <w:r w:rsidRPr="003E55FE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Dentro de su mandato consolidado de recomendar especies para </w:t>
      </w:r>
      <w:r w:rsidR="007D50E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ser designadas</w:t>
      </w:r>
      <w:r w:rsidRPr="003E55FE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</w:t>
      </w:r>
      <w:r w:rsidR="00BF510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para Acciones Concertadas y Cooperativas a la Conferencia de las Partes, el Comité del </w:t>
      </w:r>
      <w:r w:rsidR="007D50E4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Periodo de Sesiones desee tal vez</w:t>
      </w:r>
      <w:r w:rsidR="00BF510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también discutir y acordar un proceso </w:t>
      </w:r>
      <w:r w:rsidR="004D33C3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encaminado</w:t>
      </w:r>
      <w:r w:rsidR="00BF510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a identificar especies candidatas </w:t>
      </w:r>
      <w:r w:rsidR="00D843A8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a</w:t>
      </w:r>
      <w:r w:rsidR="00BF510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 ser </w:t>
      </w:r>
      <w:r w:rsidR="00BF1AF3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 xml:space="preserve">designadas </w:t>
      </w:r>
      <w:r w:rsidR="00BF510D">
        <w:rPr>
          <w:rFonts w:ascii="Times New Roman" w:hAnsi="Times New Roman" w:cs="Times New Roman"/>
          <w:color w:val="000000"/>
          <w:sz w:val="24"/>
          <w:szCs w:val="24"/>
          <w:lang w:val="es-ES_tradnl" w:eastAsia="en-GB"/>
        </w:rPr>
        <w:t>para Acciones Concertadas por la COP12, así como acciones a emprender en respuesta a la lista de Acciones Concertadas, teniendo en cuenta plenamente las recomendaciones resumidas en el Anexo 3 de la Res.11.13.</w:t>
      </w:r>
    </w:p>
    <w:p w14:paraId="16B65689" w14:textId="77777777" w:rsidR="004066A8" w:rsidRPr="00C7419D" w:rsidRDefault="004066A8" w:rsidP="004066A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es-ES_tradnl" w:eastAsia="en-GB"/>
        </w:rPr>
      </w:pPr>
    </w:p>
    <w:p w14:paraId="27C7EECD" w14:textId="77777777" w:rsidR="00703E82" w:rsidRPr="00C7419D" w:rsidRDefault="00703E82" w:rsidP="007D6E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green"/>
          <w:lang w:val="es-ES_tradnl" w:eastAsia="en-GB"/>
        </w:rPr>
      </w:pPr>
    </w:p>
    <w:p w14:paraId="56659591" w14:textId="3BB1193B" w:rsidR="005E37B2" w:rsidRPr="005E37B2" w:rsidRDefault="005E37B2" w:rsidP="00703E82">
      <w:pPr>
        <w:contextualSpacing/>
        <w:rPr>
          <w:rFonts w:ascii="Times New Roman" w:hAnsi="Times New Roman" w:cs="Times New Roman"/>
          <w:b/>
          <w:i/>
          <w:sz w:val="24"/>
          <w:szCs w:val="24"/>
          <w:lang w:val="es-ES_tradnl"/>
        </w:rPr>
      </w:pPr>
      <w:r w:rsidRPr="005E37B2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Acción solicitada:</w:t>
      </w:r>
    </w:p>
    <w:p w14:paraId="596B60B1" w14:textId="77777777" w:rsidR="00703E82" w:rsidRPr="00C7419D" w:rsidRDefault="00703E82" w:rsidP="00703E82">
      <w:pPr>
        <w:ind w:left="720"/>
        <w:contextualSpacing/>
        <w:rPr>
          <w:rFonts w:ascii="Times New Roman" w:hAnsi="Times New Roman" w:cs="Times New Roman"/>
          <w:sz w:val="24"/>
          <w:szCs w:val="24"/>
          <w:highlight w:val="green"/>
          <w:lang w:val="es-ES_tradnl"/>
        </w:rPr>
      </w:pPr>
    </w:p>
    <w:p w14:paraId="28451B38" w14:textId="6AD5232F" w:rsidR="001413C9" w:rsidRPr="001413C9" w:rsidRDefault="001413C9" w:rsidP="00703E82">
      <w:pPr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413C9">
        <w:rPr>
          <w:rFonts w:ascii="Times New Roman" w:hAnsi="Times New Roman" w:cs="Times New Roman"/>
          <w:sz w:val="24"/>
          <w:szCs w:val="24"/>
          <w:lang w:val="es-ES_tradnl"/>
        </w:rPr>
        <w:t xml:space="preserve">Se invita al Comité del Periodo de Sesiones </w:t>
      </w:r>
      <w:r w:rsidR="009F2D24">
        <w:rPr>
          <w:rFonts w:ascii="Times New Roman" w:hAnsi="Times New Roman" w:cs="Times New Roman"/>
          <w:sz w:val="24"/>
          <w:szCs w:val="24"/>
          <w:lang w:val="es-ES_tradnl"/>
        </w:rPr>
        <w:t xml:space="preserve">del Consejo Científico </w:t>
      </w:r>
      <w:r w:rsidRPr="001413C9">
        <w:rPr>
          <w:rFonts w:ascii="Times New Roman" w:hAnsi="Times New Roman" w:cs="Times New Roman"/>
          <w:sz w:val="24"/>
          <w:szCs w:val="24"/>
          <w:lang w:val="es-ES_tradnl"/>
        </w:rPr>
        <w:t>a</w:t>
      </w:r>
    </w:p>
    <w:p w14:paraId="337ABA19" w14:textId="5CAAC68C" w:rsidR="005B11D1" w:rsidRPr="005B11D1" w:rsidRDefault="005B11D1" w:rsidP="00703E82">
      <w:pPr>
        <w:pStyle w:val="ListParagraph"/>
        <w:numPr>
          <w:ilvl w:val="0"/>
          <w:numId w:val="4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B11D1">
        <w:rPr>
          <w:rFonts w:ascii="Times New Roman" w:hAnsi="Times New Roman" w:cs="Times New Roman"/>
          <w:sz w:val="24"/>
          <w:szCs w:val="24"/>
          <w:lang w:val="es-ES_tradnl"/>
        </w:rPr>
        <w:t>Discutir y decidir cómo llevar a cabo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el examen de las especies designadas para Acciones Cooperativas, con </w:t>
      </w:r>
      <w:r w:rsidR="00504E7E">
        <w:rPr>
          <w:rFonts w:ascii="Times New Roman" w:hAnsi="Times New Roman" w:cs="Times New Roman"/>
          <w:sz w:val="24"/>
          <w:szCs w:val="24"/>
          <w:lang w:val="es-ES_tradnl"/>
        </w:rPr>
        <w:t xml:space="preserve">vistas a </w:t>
      </w:r>
      <w:r w:rsidR="0056601A">
        <w:rPr>
          <w:rFonts w:ascii="Times New Roman" w:hAnsi="Times New Roman" w:cs="Times New Roman"/>
          <w:sz w:val="24"/>
          <w:szCs w:val="24"/>
          <w:lang w:val="es-ES_tradnl"/>
        </w:rPr>
        <w:t>ofrecer su asesoramiento para la consideración de la Conferencia de las Partes en su 12ª reunión;</w:t>
      </w:r>
    </w:p>
    <w:p w14:paraId="53142151" w14:textId="77777777" w:rsidR="00206ECA" w:rsidRPr="00AB7A61" w:rsidRDefault="00206ECA" w:rsidP="00206ECA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3B33061" w14:textId="01CE7559" w:rsidR="00AB7A61" w:rsidRPr="00AB7A61" w:rsidRDefault="00AB7A61" w:rsidP="00A52EB4">
      <w:pPr>
        <w:pStyle w:val="ListParagraph"/>
        <w:numPr>
          <w:ilvl w:val="0"/>
          <w:numId w:val="4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AB7A61">
        <w:rPr>
          <w:rFonts w:ascii="Times New Roman" w:hAnsi="Times New Roman" w:cs="Times New Roman"/>
          <w:sz w:val="24"/>
          <w:szCs w:val="24"/>
          <w:lang w:val="es-ES_tradnl"/>
        </w:rPr>
        <w:t xml:space="preserve">Acordar un proceso para la identificación de especies candidatas </w:t>
      </w:r>
      <w:r>
        <w:rPr>
          <w:rFonts w:ascii="Times New Roman" w:hAnsi="Times New Roman" w:cs="Times New Roman"/>
          <w:sz w:val="24"/>
          <w:szCs w:val="24"/>
          <w:lang w:val="es-ES_tradnl"/>
        </w:rPr>
        <w:t>a ser consideradas para Acciones Concertadas por la COP12, así como acciones a emprender en respuesta</w:t>
      </w:r>
      <w:r w:rsidR="00EA4DBE">
        <w:rPr>
          <w:rFonts w:ascii="Times New Roman" w:hAnsi="Times New Roman" w:cs="Times New Roman"/>
          <w:sz w:val="24"/>
          <w:szCs w:val="24"/>
          <w:lang w:val="es-ES_tradnl"/>
        </w:rPr>
        <w:t xml:space="preserve"> a la inclusión de especies dentro de las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Acciones Concertadas.</w:t>
      </w:r>
    </w:p>
    <w:p w14:paraId="2F53C586" w14:textId="68787839" w:rsidR="00DD2F3E" w:rsidRPr="00C7419D" w:rsidRDefault="00DD2F3E" w:rsidP="00AB7A61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highlight w:val="green"/>
          <w:lang w:val="es-ES_tradnl"/>
        </w:rPr>
      </w:pPr>
      <w:bookmarkStart w:id="0" w:name="_GoBack"/>
      <w:bookmarkEnd w:id="0"/>
    </w:p>
    <w:sectPr w:rsidR="00DD2F3E" w:rsidRPr="00C7419D" w:rsidSect="007D6E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266D3" w14:textId="77777777" w:rsidR="00546BDF" w:rsidRDefault="00546BDF" w:rsidP="00DD2F3E">
      <w:pPr>
        <w:spacing w:after="0" w:line="240" w:lineRule="auto"/>
      </w:pPr>
      <w:r>
        <w:separator/>
      </w:r>
    </w:p>
  </w:endnote>
  <w:endnote w:type="continuationSeparator" w:id="0">
    <w:p w14:paraId="508CDEF9" w14:textId="77777777" w:rsidR="00546BDF" w:rsidRDefault="00546BDF" w:rsidP="00DD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107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0C08E" w14:textId="1455F357" w:rsidR="00546BDF" w:rsidRPr="007D6E84" w:rsidRDefault="00546BDF" w:rsidP="007D6E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6E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6E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6E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B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6E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81667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D770BF1" w14:textId="3FD6BF3F" w:rsidR="00546BDF" w:rsidRPr="007D6E84" w:rsidRDefault="00546BDF" w:rsidP="007D6E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6E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6E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6E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B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D6E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79CD" w14:textId="6EA5120E" w:rsidR="00546BDF" w:rsidRPr="008438EF" w:rsidRDefault="00546BDF" w:rsidP="00DD2F3E">
    <w:pPr>
      <w:widowControl w:val="0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</w:pPr>
    <w:r w:rsidRPr="008438EF"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  <w:t>Por razones de economía</w:t>
    </w:r>
    <w:r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  <w:t xml:space="preserve"> este documento se ha impreso en tiraje limitado y no será distribuido en la reunión.</w:t>
    </w:r>
  </w:p>
  <w:p w14:paraId="4E577D1F" w14:textId="117B5502" w:rsidR="00546BDF" w:rsidRPr="008438EF" w:rsidRDefault="00546BDF" w:rsidP="00DD2F3E">
    <w:pPr>
      <w:widowControl w:val="0"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</w:pPr>
    <w:r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  <w:t>Se ruega a los delegados traer sus copias a la reunión y no solicitar copias adicionales</w:t>
    </w:r>
    <w:r w:rsidRPr="008438EF">
      <w:rPr>
        <w:rFonts w:ascii="Times New Roman" w:eastAsia="Times New Roman" w:hAnsi="Times New Roman" w:cs="Times New Roman"/>
        <w:i/>
        <w:snapToGrid w:val="0"/>
        <w:sz w:val="20"/>
        <w:szCs w:val="20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420AF" w14:textId="77777777" w:rsidR="00546BDF" w:rsidRDefault="00546BDF" w:rsidP="00DD2F3E">
      <w:pPr>
        <w:spacing w:after="0" w:line="240" w:lineRule="auto"/>
      </w:pPr>
      <w:r>
        <w:separator/>
      </w:r>
    </w:p>
  </w:footnote>
  <w:footnote w:type="continuationSeparator" w:id="0">
    <w:p w14:paraId="55EEB5D7" w14:textId="77777777" w:rsidR="00546BDF" w:rsidRDefault="00546BDF" w:rsidP="00DD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D1DB" w14:textId="0421C4B0" w:rsidR="00546BDF" w:rsidRPr="00DD2F3E" w:rsidRDefault="00811B50" w:rsidP="007D6E84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GB"/>
      </w:rPr>
    </w:pPr>
    <w:r>
      <w:rPr>
        <w:rFonts w:ascii="Times New Roman" w:eastAsia="Times New Roman" w:hAnsi="Times New Roman" w:cs="Times New Roman"/>
        <w:i/>
        <w:sz w:val="20"/>
        <w:szCs w:val="20"/>
        <w:lang w:val="en-GB"/>
      </w:rPr>
      <w:t>UNEP</w:t>
    </w:r>
    <w:r w:rsidR="00546BDF" w:rsidRPr="00DD2F3E">
      <w:rPr>
        <w:rFonts w:ascii="Times New Roman" w:eastAsia="Times New Roman" w:hAnsi="Times New Roman" w:cs="Times New Roman"/>
        <w:i/>
        <w:sz w:val="20"/>
        <w:szCs w:val="20"/>
        <w:lang w:val="en-GB"/>
      </w:rPr>
      <w:t>/CMS/ScC-SC1/Doc.</w:t>
    </w:r>
    <w:r w:rsidR="00546BDF">
      <w:rPr>
        <w:rFonts w:ascii="Times New Roman" w:eastAsia="Times New Roman" w:hAnsi="Times New Roman" w:cs="Times New Roman"/>
        <w:i/>
        <w:sz w:val="20"/>
        <w:szCs w:val="20"/>
        <w:lang w:val="en-GB"/>
      </w:rPr>
      <w:t>6.1</w:t>
    </w:r>
  </w:p>
  <w:p w14:paraId="591C5D4F" w14:textId="77777777" w:rsidR="00546BDF" w:rsidRPr="007D6E84" w:rsidRDefault="00546BDF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B082" w14:textId="2B0C98FE" w:rsidR="00546BDF" w:rsidRPr="00DD2F3E" w:rsidRDefault="00811B50" w:rsidP="007D6E84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val="en-GB"/>
      </w:rPr>
    </w:pPr>
    <w:r>
      <w:rPr>
        <w:rFonts w:ascii="Times New Roman" w:eastAsia="Times New Roman" w:hAnsi="Times New Roman" w:cs="Times New Roman"/>
        <w:i/>
        <w:sz w:val="20"/>
        <w:szCs w:val="20"/>
        <w:lang w:val="en-GB"/>
      </w:rPr>
      <w:t>UNEP</w:t>
    </w:r>
    <w:r w:rsidR="00546BDF" w:rsidRPr="00DD2F3E">
      <w:rPr>
        <w:rFonts w:ascii="Times New Roman" w:eastAsia="Times New Roman" w:hAnsi="Times New Roman" w:cs="Times New Roman"/>
        <w:i/>
        <w:sz w:val="20"/>
        <w:szCs w:val="20"/>
        <w:lang w:val="en-GB"/>
      </w:rPr>
      <w:t>/CMS/ScC-SC1/Doc.</w:t>
    </w:r>
    <w:r w:rsidR="00546BDF">
      <w:rPr>
        <w:rFonts w:ascii="Times New Roman" w:eastAsia="Times New Roman" w:hAnsi="Times New Roman" w:cs="Times New Roman"/>
        <w:i/>
        <w:sz w:val="20"/>
        <w:szCs w:val="20"/>
        <w:lang w:val="en-GB"/>
      </w:rPr>
      <w:t>6.1</w:t>
    </w:r>
  </w:p>
  <w:p w14:paraId="5AE432EE" w14:textId="77777777" w:rsidR="00546BDF" w:rsidRPr="00DD2F3E" w:rsidRDefault="00546BDF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7920"/>
      <w:gridCol w:w="1260"/>
    </w:tblGrid>
    <w:tr w:rsidR="00546BDF" w:rsidRPr="00386CD5" w14:paraId="6B5AB007" w14:textId="77777777" w:rsidTr="00546BDF">
      <w:trPr>
        <w:jc w:val="center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656730B7" w14:textId="77777777" w:rsidR="00546BDF" w:rsidRPr="00386CD5" w:rsidRDefault="00546BDF" w:rsidP="00546BDF">
          <w:r w:rsidRPr="00386CD5">
            <w:rPr>
              <w:noProof/>
            </w:rPr>
            <w:drawing>
              <wp:inline distT="0" distB="0" distL="0" distR="0" wp14:anchorId="111FF94D" wp14:editId="12ABC316">
                <wp:extent cx="584200" cy="80454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</w:tcPr>
        <w:p w14:paraId="42C4CD3F" w14:textId="77777777" w:rsidR="00546BDF" w:rsidRPr="0070334B" w:rsidRDefault="00546BDF" w:rsidP="00546BD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napToGrid w:val="0"/>
              <w:spacing w:val="20"/>
              <w:position w:val="6"/>
              <w:sz w:val="43"/>
              <w:szCs w:val="20"/>
              <w:lang w:val="es-ES"/>
            </w:rPr>
          </w:pPr>
          <w:r w:rsidRPr="0070334B">
            <w:rPr>
              <w:rFonts w:ascii="Times New Roman" w:hAnsi="Times New Roman" w:cs="Times New Roman"/>
              <w:b/>
              <w:bCs/>
              <w:snapToGrid w:val="0"/>
              <w:spacing w:val="6"/>
              <w:sz w:val="42"/>
              <w:szCs w:val="40"/>
              <w:lang w:val="es-ES"/>
            </w:rPr>
            <w:t xml:space="preserve"> Convención sobre la conservación de las</w:t>
          </w:r>
        </w:p>
        <w:p w14:paraId="1302D1E4" w14:textId="77777777" w:rsidR="00546BDF" w:rsidRPr="0070334B" w:rsidRDefault="00546BDF" w:rsidP="00546BD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napToGrid w:val="0"/>
              <w:spacing w:val="20"/>
              <w:sz w:val="44"/>
              <w:szCs w:val="20"/>
              <w:lang w:val="es-ES"/>
            </w:rPr>
          </w:pPr>
          <w:r w:rsidRPr="0070334B">
            <w:rPr>
              <w:rFonts w:ascii="Times New Roman" w:hAnsi="Times New Roman" w:cs="Times New Roman"/>
              <w:b/>
              <w:bCs/>
              <w:snapToGrid w:val="0"/>
              <w:spacing w:val="-2"/>
              <w:sz w:val="42"/>
              <w:szCs w:val="40"/>
              <w:lang w:val="es-ES"/>
            </w:rPr>
            <w:t xml:space="preserve"> especies migratorias de animales silvestres</w:t>
          </w:r>
        </w:p>
        <w:p w14:paraId="6E3ACFCC" w14:textId="77777777" w:rsidR="00546BDF" w:rsidRPr="0070334B" w:rsidRDefault="00546BDF" w:rsidP="00546BD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napToGrid w:val="0"/>
              <w:spacing w:val="20"/>
              <w:sz w:val="8"/>
              <w:szCs w:val="20"/>
              <w:lang w:val="es-ES"/>
            </w:rPr>
          </w:pPr>
        </w:p>
        <w:p w14:paraId="6142B93F" w14:textId="77777777" w:rsidR="00546BDF" w:rsidRPr="0070334B" w:rsidRDefault="00546BDF" w:rsidP="00546BDF">
          <w:pPr>
            <w:spacing w:line="240" w:lineRule="auto"/>
            <w:jc w:val="both"/>
            <w:rPr>
              <w:rFonts w:ascii="Times New Roman" w:hAnsi="Times New Roman" w:cs="Times New Roman"/>
              <w:spacing w:val="2"/>
              <w:sz w:val="20"/>
              <w:lang w:val="es-ES"/>
            </w:rPr>
          </w:pPr>
          <w:r w:rsidRPr="0070334B">
            <w:rPr>
              <w:rFonts w:ascii="Times New Roman" w:hAnsi="Times New Roman" w:cs="Times New Roman"/>
              <w:i/>
              <w:iCs/>
              <w:snapToGrid w:val="0"/>
              <w:spacing w:val="2"/>
              <w:kern w:val="2"/>
              <w:sz w:val="20"/>
              <w:lang w:val="es-ES"/>
            </w:rPr>
            <w:t xml:space="preserve">    Secretaría administrada por el Programa de las Naciones Unidas para el Medio Ambiente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57C994B4" w14:textId="598E0CEF" w:rsidR="00546BDF" w:rsidRPr="0070334B" w:rsidRDefault="00811B50" w:rsidP="00546BDF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399305FD" wp14:editId="58599A98">
                <wp:extent cx="624205" cy="763905"/>
                <wp:effectExtent l="0" t="0" r="4445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A4F7CC" w14:textId="77777777" w:rsidR="00546BDF" w:rsidRDefault="00546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16F"/>
    <w:multiLevelType w:val="hybridMultilevel"/>
    <w:tmpl w:val="113A20B0"/>
    <w:lvl w:ilvl="0" w:tplc="F9B415E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E6F75"/>
    <w:multiLevelType w:val="hybridMultilevel"/>
    <w:tmpl w:val="4268F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009AA"/>
    <w:multiLevelType w:val="hybridMultilevel"/>
    <w:tmpl w:val="977CD7BC"/>
    <w:lvl w:ilvl="0" w:tplc="085AD5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201878"/>
    <w:multiLevelType w:val="hybridMultilevel"/>
    <w:tmpl w:val="EDA6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E"/>
    <w:rsid w:val="000045F3"/>
    <w:rsid w:val="0004703D"/>
    <w:rsid w:val="000672F1"/>
    <w:rsid w:val="00071721"/>
    <w:rsid w:val="000844F1"/>
    <w:rsid w:val="000A0BC2"/>
    <w:rsid w:val="000A1649"/>
    <w:rsid w:val="000A4B4B"/>
    <w:rsid w:val="000B3010"/>
    <w:rsid w:val="000B4343"/>
    <w:rsid w:val="000B54BC"/>
    <w:rsid w:val="000C2700"/>
    <w:rsid w:val="000C3A61"/>
    <w:rsid w:val="000C77CE"/>
    <w:rsid w:val="000D033A"/>
    <w:rsid w:val="000E1A7F"/>
    <w:rsid w:val="000E6712"/>
    <w:rsid w:val="001107F5"/>
    <w:rsid w:val="00120EBC"/>
    <w:rsid w:val="001249EA"/>
    <w:rsid w:val="001413C9"/>
    <w:rsid w:val="00150063"/>
    <w:rsid w:val="00170610"/>
    <w:rsid w:val="00185544"/>
    <w:rsid w:val="001A1F0E"/>
    <w:rsid w:val="001B4E02"/>
    <w:rsid w:val="001C2C60"/>
    <w:rsid w:val="001C2CD7"/>
    <w:rsid w:val="001C4028"/>
    <w:rsid w:val="00206ECA"/>
    <w:rsid w:val="002109C5"/>
    <w:rsid w:val="002263A9"/>
    <w:rsid w:val="00226F06"/>
    <w:rsid w:val="00234AF0"/>
    <w:rsid w:val="0023608D"/>
    <w:rsid w:val="0028306B"/>
    <w:rsid w:val="0029421B"/>
    <w:rsid w:val="00297B9A"/>
    <w:rsid w:val="002A45B9"/>
    <w:rsid w:val="002A7155"/>
    <w:rsid w:val="002D17A3"/>
    <w:rsid w:val="002F021B"/>
    <w:rsid w:val="002F5557"/>
    <w:rsid w:val="003105DC"/>
    <w:rsid w:val="00320436"/>
    <w:rsid w:val="0032285F"/>
    <w:rsid w:val="0034523A"/>
    <w:rsid w:val="00346C5A"/>
    <w:rsid w:val="0037540F"/>
    <w:rsid w:val="00383AED"/>
    <w:rsid w:val="003B7270"/>
    <w:rsid w:val="003D595A"/>
    <w:rsid w:val="003E55FE"/>
    <w:rsid w:val="004066A8"/>
    <w:rsid w:val="0041125C"/>
    <w:rsid w:val="00413AF2"/>
    <w:rsid w:val="00414F39"/>
    <w:rsid w:val="00422A2E"/>
    <w:rsid w:val="004550C4"/>
    <w:rsid w:val="00482158"/>
    <w:rsid w:val="004D33C3"/>
    <w:rsid w:val="004F79EE"/>
    <w:rsid w:val="005012DE"/>
    <w:rsid w:val="00504E7E"/>
    <w:rsid w:val="0051085A"/>
    <w:rsid w:val="00515336"/>
    <w:rsid w:val="005422F7"/>
    <w:rsid w:val="00546BDF"/>
    <w:rsid w:val="0056601A"/>
    <w:rsid w:val="005670E1"/>
    <w:rsid w:val="00573870"/>
    <w:rsid w:val="00585B37"/>
    <w:rsid w:val="00590149"/>
    <w:rsid w:val="005A2274"/>
    <w:rsid w:val="005A60E7"/>
    <w:rsid w:val="005B11D1"/>
    <w:rsid w:val="005D4343"/>
    <w:rsid w:val="005E37B2"/>
    <w:rsid w:val="005E62F2"/>
    <w:rsid w:val="006515EC"/>
    <w:rsid w:val="00670C2E"/>
    <w:rsid w:val="00681025"/>
    <w:rsid w:val="006A2D39"/>
    <w:rsid w:val="006C1317"/>
    <w:rsid w:val="006C540F"/>
    <w:rsid w:val="006F65BD"/>
    <w:rsid w:val="00703E82"/>
    <w:rsid w:val="0071193A"/>
    <w:rsid w:val="00793429"/>
    <w:rsid w:val="007A4967"/>
    <w:rsid w:val="007A714B"/>
    <w:rsid w:val="007B6D1F"/>
    <w:rsid w:val="007D3D69"/>
    <w:rsid w:val="007D50E4"/>
    <w:rsid w:val="007D6E84"/>
    <w:rsid w:val="00811842"/>
    <w:rsid w:val="00811B50"/>
    <w:rsid w:val="008171DF"/>
    <w:rsid w:val="00826291"/>
    <w:rsid w:val="00836376"/>
    <w:rsid w:val="0084366E"/>
    <w:rsid w:val="008438EF"/>
    <w:rsid w:val="0085591E"/>
    <w:rsid w:val="00866D18"/>
    <w:rsid w:val="0089246F"/>
    <w:rsid w:val="008B0F28"/>
    <w:rsid w:val="008C1911"/>
    <w:rsid w:val="008C2F26"/>
    <w:rsid w:val="008C4C11"/>
    <w:rsid w:val="008D2EB8"/>
    <w:rsid w:val="008E6CD8"/>
    <w:rsid w:val="008F69FC"/>
    <w:rsid w:val="009038ED"/>
    <w:rsid w:val="00920FB6"/>
    <w:rsid w:val="009515EE"/>
    <w:rsid w:val="009833F7"/>
    <w:rsid w:val="00993D42"/>
    <w:rsid w:val="00996EA4"/>
    <w:rsid w:val="009A4EB3"/>
    <w:rsid w:val="009C7437"/>
    <w:rsid w:val="009D0BDA"/>
    <w:rsid w:val="009D5D72"/>
    <w:rsid w:val="009D7EF4"/>
    <w:rsid w:val="009F2D24"/>
    <w:rsid w:val="00A04BBD"/>
    <w:rsid w:val="00A30944"/>
    <w:rsid w:val="00A52EB4"/>
    <w:rsid w:val="00A60787"/>
    <w:rsid w:val="00A66A6C"/>
    <w:rsid w:val="00A71FBB"/>
    <w:rsid w:val="00A73116"/>
    <w:rsid w:val="00A95433"/>
    <w:rsid w:val="00AA7D71"/>
    <w:rsid w:val="00AB7A61"/>
    <w:rsid w:val="00AB7BC9"/>
    <w:rsid w:val="00AD3939"/>
    <w:rsid w:val="00AD7E34"/>
    <w:rsid w:val="00B031F6"/>
    <w:rsid w:val="00B07050"/>
    <w:rsid w:val="00B6306D"/>
    <w:rsid w:val="00B64B64"/>
    <w:rsid w:val="00BB211A"/>
    <w:rsid w:val="00BC148E"/>
    <w:rsid w:val="00BE5260"/>
    <w:rsid w:val="00BF1AF3"/>
    <w:rsid w:val="00BF510D"/>
    <w:rsid w:val="00BF5C76"/>
    <w:rsid w:val="00C101BC"/>
    <w:rsid w:val="00C10CF9"/>
    <w:rsid w:val="00C13A90"/>
    <w:rsid w:val="00C159F7"/>
    <w:rsid w:val="00C30FE0"/>
    <w:rsid w:val="00C4473C"/>
    <w:rsid w:val="00C7419D"/>
    <w:rsid w:val="00C74A5D"/>
    <w:rsid w:val="00C75F7B"/>
    <w:rsid w:val="00C97409"/>
    <w:rsid w:val="00CA4466"/>
    <w:rsid w:val="00CB360C"/>
    <w:rsid w:val="00CD70E7"/>
    <w:rsid w:val="00D013A1"/>
    <w:rsid w:val="00D02F8F"/>
    <w:rsid w:val="00D24B40"/>
    <w:rsid w:val="00D32AF2"/>
    <w:rsid w:val="00D509A7"/>
    <w:rsid w:val="00D6481A"/>
    <w:rsid w:val="00D71AC3"/>
    <w:rsid w:val="00D755E9"/>
    <w:rsid w:val="00D776F0"/>
    <w:rsid w:val="00D843A8"/>
    <w:rsid w:val="00DA3582"/>
    <w:rsid w:val="00DA5D0C"/>
    <w:rsid w:val="00DB3115"/>
    <w:rsid w:val="00DB64A4"/>
    <w:rsid w:val="00DD2F3E"/>
    <w:rsid w:val="00DD6888"/>
    <w:rsid w:val="00DF76ED"/>
    <w:rsid w:val="00E0178F"/>
    <w:rsid w:val="00E2374B"/>
    <w:rsid w:val="00E26DB2"/>
    <w:rsid w:val="00E27755"/>
    <w:rsid w:val="00E372AA"/>
    <w:rsid w:val="00E50AD9"/>
    <w:rsid w:val="00E56378"/>
    <w:rsid w:val="00E62F3E"/>
    <w:rsid w:val="00E65347"/>
    <w:rsid w:val="00E67E27"/>
    <w:rsid w:val="00E856EE"/>
    <w:rsid w:val="00E95D7B"/>
    <w:rsid w:val="00EA4DBE"/>
    <w:rsid w:val="00EB21C0"/>
    <w:rsid w:val="00F076F3"/>
    <w:rsid w:val="00F10D4F"/>
    <w:rsid w:val="00F239EB"/>
    <w:rsid w:val="00F37FE8"/>
    <w:rsid w:val="00F42F74"/>
    <w:rsid w:val="00F51C77"/>
    <w:rsid w:val="00F546CD"/>
    <w:rsid w:val="00F6198F"/>
    <w:rsid w:val="00F63B3A"/>
    <w:rsid w:val="00F65474"/>
    <w:rsid w:val="00F65E59"/>
    <w:rsid w:val="00F806CF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747B78"/>
  <w15:docId w15:val="{E5A1E58D-4071-4C2A-A46D-1B7F5E2F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3E"/>
  </w:style>
  <w:style w:type="paragraph" w:styleId="Footer">
    <w:name w:val="footer"/>
    <w:basedOn w:val="Normal"/>
    <w:link w:val="FooterChar"/>
    <w:uiPriority w:val="99"/>
    <w:unhideWhenUsed/>
    <w:rsid w:val="00DD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3E"/>
  </w:style>
  <w:style w:type="character" w:styleId="Hyperlink">
    <w:name w:val="Hyperlink"/>
    <w:uiPriority w:val="99"/>
    <w:rsid w:val="00F42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8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sites/default/files/document/Res_11_13_Acciones_Concertadas_y_cooperativas_S.pdf" TargetMode="External"/><Relationship Id="rId13" Type="http://schemas.openxmlformats.org/officeDocument/2006/relationships/hyperlink" Target="http://www.cms.int/sites/default/files/document/10_23_concerted_s_0_0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ms.int/sites/default/files/document/10_23_concerted_s_0_0.pdf" TargetMode="External"/><Relationship Id="rId12" Type="http://schemas.openxmlformats.org/officeDocument/2006/relationships/hyperlink" Target="http://www.cms.int/sites/default/files/document/COP11_Doc_22_4_Acciones_Concertadas_y_Cooperativas_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s.int/sites/default/files/document/doc_36_measures_app_ii_s_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ms.int/sites/default/files/document/Res_11_13_Acciones_Concertadas_y_cooperativas_S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ms.int/sites/default/files/document/10_23_concerted_s_0_0.pdf" TargetMode="External"/><Relationship Id="rId14" Type="http://schemas.openxmlformats.org/officeDocument/2006/relationships/hyperlink" Target="http://www.cms.int/sites/default/files/document/Res_11_13_Acciones_Concertadas_y_cooperativas_S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3</cp:revision>
  <dcterms:created xsi:type="dcterms:W3CDTF">2016-04-11T09:47:00Z</dcterms:created>
  <dcterms:modified xsi:type="dcterms:W3CDTF">2016-04-11T09:55:00Z</dcterms:modified>
</cp:coreProperties>
</file>