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137FE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FB23083" w:rsidR="00EC2A58" w:rsidRPr="00137FEE" w:rsidRDefault="00EC2A58" w:rsidP="00C433C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137FEE">
              <w:rPr>
                <w:rFonts w:eastAsia="Arial" w:cs="Arial"/>
              </w:rPr>
              <w:t>UNEP/CMS/COP1</w:t>
            </w:r>
            <w:r w:rsidR="00BA33FE" w:rsidRPr="00137FEE">
              <w:rPr>
                <w:rFonts w:eastAsia="Arial" w:cs="Arial"/>
              </w:rPr>
              <w:t>4</w:t>
            </w:r>
            <w:r w:rsidRPr="00137FEE">
              <w:rPr>
                <w:rFonts w:eastAsia="Arial" w:cs="Arial"/>
              </w:rPr>
              <w:t>/Doc.</w:t>
            </w:r>
            <w:r w:rsidR="00667D7E" w:rsidRPr="00137FEE">
              <w:rPr>
                <w:rFonts w:eastAsia="Arial" w:cs="Arial"/>
              </w:rPr>
              <w:t>27.6.1</w:t>
            </w:r>
            <w:r w:rsidR="00137FEE" w:rsidRPr="00137FEE">
              <w:rPr>
                <w:rFonts w:eastAsia="Arial" w:cs="Arial"/>
              </w:rPr>
              <w:t>/Rev</w:t>
            </w:r>
            <w:r w:rsidR="00137FEE">
              <w:rPr>
                <w:rFonts w:eastAsia="Arial" w:cs="Arial"/>
              </w:rPr>
              <w:t>.1</w:t>
            </w:r>
          </w:p>
          <w:p w14:paraId="51739494" w14:textId="53962840" w:rsidR="00EC2A58" w:rsidRPr="00C433CD" w:rsidRDefault="00137FEE" w:rsidP="00C433C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Pr>
                <w:rFonts w:eastAsia="Arial" w:cs="Arial"/>
                <w:lang w:val="fr-FR"/>
              </w:rPr>
              <w:t xml:space="preserve">28 septembre </w:t>
            </w:r>
            <w:r w:rsidR="00EC2A58" w:rsidRPr="00C433CD">
              <w:rPr>
                <w:rFonts w:eastAsia="Arial" w:cs="Arial"/>
                <w:lang w:val="fr-FR"/>
              </w:rPr>
              <w:t>20</w:t>
            </w:r>
            <w:r w:rsidR="00BA33FE" w:rsidRPr="00C433CD">
              <w:rPr>
                <w:rFonts w:eastAsia="Arial" w:cs="Arial"/>
                <w:lang w:val="fr-FR"/>
              </w:rPr>
              <w:t>23</w:t>
            </w:r>
          </w:p>
          <w:p w14:paraId="5A17DC3D" w14:textId="77777777" w:rsidR="00EC2A58" w:rsidRPr="00C433CD" w:rsidRDefault="00EC2A58" w:rsidP="00C433CD">
            <w:pPr>
              <w:widowControl w:val="0"/>
              <w:suppressAutoHyphens/>
              <w:autoSpaceDE w:val="0"/>
              <w:autoSpaceDN w:val="0"/>
              <w:spacing w:before="120" w:after="0" w:line="240" w:lineRule="auto"/>
              <w:textAlignment w:val="baseline"/>
              <w:rPr>
                <w:rFonts w:eastAsia="Arial" w:cs="Arial"/>
                <w:lang w:val="fr-FR"/>
              </w:rPr>
            </w:pPr>
            <w:r w:rsidRPr="00EC2A58">
              <w:rPr>
                <w:rFonts w:eastAsia="Arial" w:cs="Arial"/>
                <w:lang w:val="fr-FR"/>
              </w:rPr>
              <w:t>Français</w:t>
            </w:r>
          </w:p>
          <w:p w14:paraId="6068EE45" w14:textId="77777777" w:rsidR="00EC2A58" w:rsidRPr="00C433CD" w:rsidRDefault="00EC2A58" w:rsidP="00EC2A58">
            <w:pPr>
              <w:widowControl w:val="0"/>
              <w:suppressAutoHyphens/>
              <w:autoSpaceDE w:val="0"/>
              <w:autoSpaceDN w:val="0"/>
              <w:spacing w:after="0" w:line="240" w:lineRule="auto"/>
              <w:textAlignment w:val="baseline"/>
              <w:rPr>
                <w:rFonts w:eastAsia="Arial" w:cs="Arial"/>
                <w:lang w:val="fr-FR"/>
              </w:rPr>
            </w:pPr>
            <w:r w:rsidRPr="00EC2A58">
              <w:rPr>
                <w:rFonts w:eastAsia="Arial" w:cs="Arial"/>
                <w:lang w:val="fr-FR"/>
              </w:rPr>
              <w:t>Original : Anglais</w:t>
            </w:r>
          </w:p>
          <w:p w14:paraId="3489AC4D" w14:textId="77777777" w:rsidR="00EC2A58" w:rsidRPr="00C433CD" w:rsidRDefault="00EC2A58" w:rsidP="00EC2A58">
            <w:pPr>
              <w:widowControl w:val="0"/>
              <w:suppressAutoHyphens/>
              <w:autoSpaceDE w:val="0"/>
              <w:autoSpaceDN w:val="0"/>
              <w:spacing w:after="0" w:line="240" w:lineRule="auto"/>
              <w:textAlignment w:val="baseline"/>
              <w:rPr>
                <w:rFonts w:eastAsia="Arial" w:cs="Arial"/>
                <w:lang w:val="fr-FR"/>
              </w:rPr>
            </w:pP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BD8B895"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137FEE">
        <w:rPr>
          <w:rFonts w:eastAsia="Arial" w:cs="Arial"/>
          <w:bCs/>
          <w:lang w:val="fr-FR"/>
        </w:rPr>
        <w:t>1</w:t>
      </w:r>
      <w:r>
        <w:rPr>
          <w:rFonts w:eastAsia="Arial" w:cs="Arial"/>
          <w:bCs/>
          <w:lang w:val="fr-FR"/>
        </w:rPr>
        <w:t xml:space="preserve">2 – </w:t>
      </w:r>
      <w:r w:rsidR="00137FEE">
        <w:rPr>
          <w:rFonts w:eastAsia="Arial" w:cs="Arial"/>
          <w:bCs/>
          <w:lang w:val="fr-FR"/>
        </w:rPr>
        <w:t>17 février 2024</w:t>
      </w:r>
    </w:p>
    <w:p w14:paraId="4DD0AB0D" w14:textId="41691224"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 xml:space="preserve">Point </w:t>
      </w:r>
      <w:r w:rsidR="00667D7E">
        <w:rPr>
          <w:rFonts w:eastAsia="Arial" w:cs="Arial"/>
          <w:iCs/>
          <w:lang w:val="fr-FR"/>
        </w:rPr>
        <w:t>27.6</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28381630" w14:textId="4A63A04E" w:rsidR="00EC2A58" w:rsidRPr="00772490" w:rsidRDefault="00EC2A58" w:rsidP="0077249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Arial" w:cs="Arial"/>
          <w:b/>
          <w:bCs/>
          <w:caps/>
          <w:lang w:val="fr-FR"/>
        </w:rPr>
      </w:pPr>
      <w:r w:rsidRPr="00EC2A58">
        <w:rPr>
          <w:rFonts w:eastAsia="Arial" w:cs="Arial"/>
          <w:b/>
          <w:bCs/>
          <w:caps/>
          <w:lang w:val="fr-FR"/>
        </w:rPr>
        <w:t>T</w:t>
      </w:r>
      <w:r w:rsidR="003D6F53">
        <w:rPr>
          <w:rFonts w:eastAsia="Arial" w:cs="Arial"/>
          <w:b/>
          <w:bCs/>
          <w:caps/>
          <w:lang w:val="fr-FR"/>
        </w:rPr>
        <w:t>ORTUES MARINES</w:t>
      </w:r>
    </w:p>
    <w:p w14:paraId="0AB80070" w14:textId="716F70A5" w:rsidR="00EC2A58" w:rsidRPr="00EC2A58" w:rsidRDefault="00EC2A58" w:rsidP="00EC2A58">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spacing w:after="0" w:line="240" w:lineRule="auto"/>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0E4DB4F8">
                <wp:simplePos x="0" y="0"/>
                <wp:positionH relativeFrom="column">
                  <wp:posOffset>781050</wp:posOffset>
                </wp:positionH>
                <wp:positionV relativeFrom="paragraph">
                  <wp:posOffset>142240</wp:posOffset>
                </wp:positionV>
                <wp:extent cx="4476750" cy="16954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476750" cy="1695450"/>
                        </a:xfrm>
                        <a:prstGeom prst="rect">
                          <a:avLst/>
                        </a:prstGeom>
                        <a:solidFill>
                          <a:srgbClr val="FFFFFF"/>
                        </a:solidFill>
                        <a:ln w="3172">
                          <a:solidFill>
                            <a:srgbClr val="000000"/>
                          </a:solidFill>
                          <a:prstDash val="solid"/>
                        </a:ln>
                      </wps:spPr>
                      <wps:txbx>
                        <w:txbxContent>
                          <w:p w14:paraId="1663EA6C" w14:textId="77777777" w:rsidR="00EC2A58" w:rsidRPr="00144A12"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0AB46195" w14:textId="1571B2DE" w:rsidR="00144A12" w:rsidRPr="008874CB" w:rsidRDefault="00144A12" w:rsidP="00137FEE">
                            <w:pPr>
                              <w:spacing w:after="0" w:line="240" w:lineRule="auto"/>
                              <w:jc w:val="both"/>
                              <w:rPr>
                                <w:rFonts w:cs="Arial"/>
                                <w:i/>
                                <w:sz w:val="21"/>
                                <w:szCs w:val="21"/>
                                <w:lang w:val="fr-FR"/>
                              </w:rPr>
                            </w:pPr>
                            <w:r>
                              <w:rPr>
                                <w:rFonts w:cs="Arial"/>
                                <w:lang w:val="fr-FR"/>
                              </w:rPr>
                              <w:t xml:space="preserve">Le présent document fait état des avancées dans la mise en œuvre des Décisions 13.69 à 13.70, </w:t>
                            </w:r>
                            <w:r>
                              <w:rPr>
                                <w:rFonts w:cs="Arial"/>
                                <w:iCs/>
                                <w:color w:val="000000"/>
                                <w:lang w:val="fr-FR"/>
                              </w:rPr>
                              <w:t>et contient un projet de Décisions pour adoption</w:t>
                            </w:r>
                            <w:r>
                              <w:rPr>
                                <w:rFonts w:cs="Arial"/>
                                <w:lang w:val="fr-FR"/>
                              </w:rPr>
                              <w:t>.</w:t>
                            </w:r>
                          </w:p>
                          <w:p w14:paraId="40E3FE4C" w14:textId="77777777" w:rsidR="00144A12" w:rsidRDefault="00144A12" w:rsidP="00137FEE">
                            <w:pPr>
                              <w:spacing w:after="0" w:line="240" w:lineRule="auto"/>
                              <w:rPr>
                                <w:rFonts w:cs="Arial"/>
                                <w:lang w:val="fr-FR"/>
                              </w:rPr>
                            </w:pPr>
                          </w:p>
                          <w:p w14:paraId="66CA778A" w14:textId="2BAB8DD0" w:rsidR="00137FEE" w:rsidRDefault="00137FEE" w:rsidP="00137FEE">
                            <w:pPr>
                              <w:spacing w:after="0" w:line="240" w:lineRule="auto"/>
                              <w:jc w:val="both"/>
                              <w:rPr>
                                <w:rFonts w:cs="Arial"/>
                                <w:lang w:val="fr-FR"/>
                              </w:rPr>
                            </w:pPr>
                            <w:r w:rsidRPr="006709BE">
                              <w:rPr>
                                <w:rFonts w:cs="Arial"/>
                                <w:lang w:val="fr-FR"/>
                              </w:rPr>
                              <w:t>La révision 1 harmonise la formulation des décisions adressées au Conseil scientifique.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2pt;width:35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" strokeweight=".08811mm">
                <v:textbox>
                  <w:txbxContent>
                    <w:p w14:paraId="1663EA6C" w14:textId="77777777" w:rsidR="00EC2A58" w:rsidRPr="00144A12"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0AB46195" w14:textId="1571B2DE" w:rsidR="00144A12" w:rsidRPr="008874CB" w:rsidRDefault="00144A12" w:rsidP="00137FEE">
                      <w:pPr>
                        <w:spacing w:after="0" w:line="240" w:lineRule="auto"/>
                        <w:jc w:val="both"/>
                        <w:rPr>
                          <w:rFonts w:cs="Arial"/>
                          <w:i/>
                          <w:sz w:val="21"/>
                          <w:szCs w:val="21"/>
                          <w:lang w:val="fr-FR"/>
                        </w:rPr>
                      </w:pPr>
                      <w:r>
                        <w:rPr>
                          <w:rFonts w:cs="Arial"/>
                          <w:lang w:val="fr-FR"/>
                        </w:rPr>
                        <w:t xml:space="preserve">Le présent document fait état des avancées dans la mise en œuvre des Décisions 13.69 à 13.70, </w:t>
                      </w:r>
                      <w:r>
                        <w:rPr>
                          <w:rFonts w:cs="Arial"/>
                          <w:iCs/>
                          <w:color w:val="000000"/>
                          <w:lang w:val="fr-FR"/>
                        </w:rPr>
                        <w:t>et contient un projet de Décisions pour adoption</w:t>
                      </w:r>
                      <w:r>
                        <w:rPr>
                          <w:rFonts w:cs="Arial"/>
                          <w:lang w:val="fr-FR"/>
                        </w:rPr>
                        <w:t>.</w:t>
                      </w:r>
                    </w:p>
                    <w:p w14:paraId="40E3FE4C" w14:textId="77777777" w:rsidR="00144A12" w:rsidRDefault="00144A12" w:rsidP="00137FEE">
                      <w:pPr>
                        <w:spacing w:after="0" w:line="240" w:lineRule="auto"/>
                        <w:rPr>
                          <w:rFonts w:cs="Arial"/>
                          <w:lang w:val="fr-FR"/>
                        </w:rPr>
                      </w:pPr>
                    </w:p>
                    <w:p w14:paraId="66CA778A" w14:textId="2BAB8DD0" w:rsidR="00137FEE" w:rsidRDefault="00137FEE" w:rsidP="00137FEE">
                      <w:pPr>
                        <w:spacing w:after="0" w:line="240" w:lineRule="auto"/>
                        <w:jc w:val="both"/>
                        <w:rPr>
                          <w:rFonts w:cs="Arial"/>
                          <w:lang w:val="fr-FR"/>
                        </w:rPr>
                      </w:pPr>
                      <w:r w:rsidRPr="006709BE">
                        <w:rPr>
                          <w:rFonts w:cs="Arial"/>
                          <w:lang w:val="fr-FR"/>
                        </w:rPr>
                        <w:t>La révision 1 harmonise la formulation des décisions adressées au Conseil scientifique.</w:t>
                      </w: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235A9F02" w14:textId="77777777" w:rsidR="0023109C" w:rsidRDefault="0023109C" w:rsidP="00EC2A58">
      <w:pPr>
        <w:spacing w:after="0" w:line="240" w:lineRule="auto"/>
        <w:rPr>
          <w:lang w:val="fr-FR"/>
        </w:rPr>
        <w:sectPr w:rsidR="0023109C" w:rsidSect="00BA33FE">
          <w:headerReference w:type="even" r:id="rId12"/>
          <w:headerReference w:type="default" r:id="rId13"/>
          <w:footerReference w:type="even" r:id="rId14"/>
          <w:footerReference w:type="default" r:id="rId15"/>
          <w:headerReference w:type="first" r:id="rId16"/>
          <w:pgSz w:w="11906" w:h="16838" w:code="9"/>
          <w:pgMar w:top="851" w:right="1440" w:bottom="1440" w:left="1440" w:header="568" w:footer="720" w:gutter="0"/>
          <w:cols w:space="720"/>
          <w:titlePg/>
          <w:docGrid w:linePitch="360"/>
        </w:sectPr>
      </w:pPr>
    </w:p>
    <w:p w14:paraId="6F10B63A" w14:textId="77777777" w:rsidR="00E65072" w:rsidRPr="00EC2A58" w:rsidRDefault="00E65072" w:rsidP="00EC2A58">
      <w:pPr>
        <w:spacing w:after="0" w:line="240" w:lineRule="auto"/>
        <w:rPr>
          <w:lang w:val="fr-FR"/>
        </w:rPr>
      </w:pPr>
    </w:p>
    <w:p w14:paraId="76DE7080" w14:textId="77777777" w:rsidR="00144A12" w:rsidRPr="002E0DE9" w:rsidRDefault="00144A12" w:rsidP="00144A12">
      <w:pPr>
        <w:pStyle w:val="Title1"/>
        <w:rPr>
          <w:lang w:val="fr-FR"/>
        </w:rPr>
      </w:pPr>
      <w:r>
        <w:rPr>
          <w:lang w:val="fr-FR"/>
        </w:rPr>
        <w:t>Tortues marines</w:t>
      </w:r>
    </w:p>
    <w:p w14:paraId="4E8ED7E2" w14:textId="77777777" w:rsidR="00144A12" w:rsidRDefault="00144A12" w:rsidP="00144A12">
      <w:pPr>
        <w:suppressAutoHyphens/>
        <w:autoSpaceDN w:val="0"/>
        <w:spacing w:after="0" w:line="240" w:lineRule="auto"/>
        <w:textAlignment w:val="baseline"/>
        <w:rPr>
          <w:rFonts w:eastAsia="Calibri" w:cs="Arial"/>
          <w:lang w:val="fr-FR"/>
        </w:rPr>
      </w:pPr>
    </w:p>
    <w:p w14:paraId="58FCDCD4" w14:textId="77777777" w:rsidR="00144A12" w:rsidRPr="002E0DE9" w:rsidRDefault="00144A12" w:rsidP="00144A12">
      <w:pPr>
        <w:suppressAutoHyphens/>
        <w:autoSpaceDN w:val="0"/>
        <w:spacing w:after="0" w:line="240" w:lineRule="auto"/>
        <w:textAlignment w:val="baseline"/>
        <w:rPr>
          <w:rFonts w:eastAsia="Calibri" w:cs="Arial"/>
          <w:lang w:val="fr-FR"/>
        </w:rPr>
      </w:pPr>
    </w:p>
    <w:p w14:paraId="77B0A826" w14:textId="77777777" w:rsidR="00144A12" w:rsidRPr="002E0DE9" w:rsidRDefault="00144A12" w:rsidP="00144A12">
      <w:pPr>
        <w:suppressAutoHyphens/>
        <w:autoSpaceDN w:val="0"/>
        <w:spacing w:after="0" w:line="240" w:lineRule="auto"/>
        <w:textAlignment w:val="baseline"/>
        <w:rPr>
          <w:rFonts w:eastAsia="Calibri" w:cs="Arial"/>
          <w:u w:val="single"/>
          <w:lang w:val="fr-FR"/>
        </w:rPr>
      </w:pPr>
      <w:r>
        <w:rPr>
          <w:rFonts w:eastAsia="Calibri" w:cs="Arial"/>
          <w:u w:val="single"/>
          <w:lang w:val="fr-FR"/>
        </w:rPr>
        <w:t>Contexte</w:t>
      </w:r>
    </w:p>
    <w:p w14:paraId="4F2FB2AA" w14:textId="77777777" w:rsidR="00144A12" w:rsidRDefault="00144A12" w:rsidP="00144A12">
      <w:pPr>
        <w:spacing w:after="0" w:line="240" w:lineRule="auto"/>
        <w:rPr>
          <w:lang w:val="fr-FR"/>
        </w:rPr>
      </w:pPr>
    </w:p>
    <w:p w14:paraId="73E5FD25" w14:textId="3FE11299" w:rsidR="00144A12" w:rsidRPr="006616B0"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Six des sept espèces de tortues marines reconnues au niveau mondial sont inscrites à l’Annexe I de la </w:t>
      </w:r>
      <w:r w:rsidR="00C142F8">
        <w:rPr>
          <w:rFonts w:cs="Arial"/>
          <w:lang w:val="fr-FR"/>
        </w:rPr>
        <w:t>CMS</w:t>
      </w:r>
      <w:r>
        <w:rPr>
          <w:rFonts w:cs="Arial"/>
          <w:lang w:val="fr-FR"/>
        </w:rPr>
        <w:t xml:space="preserve"> et les sept figurent à l’Annexe II de ladite Convention. L’état de conservation des sept espèces reste très préoccupant, les tortues imbriquées et les tortues de Ridley étant classées par l’Union internationale pour la conservation de la nature (UICN) dans la catégorie des espèces en danger critique d’extinction</w:t>
      </w:r>
      <w:r>
        <w:rPr>
          <w:rStyle w:val="FootnoteReference"/>
          <w:rFonts w:cs="Arial"/>
          <w:lang w:val="fr-FR"/>
        </w:rPr>
        <w:footnoteReference w:id="1"/>
      </w:r>
      <w:r>
        <w:rPr>
          <w:rFonts w:cs="Arial"/>
          <w:lang w:val="fr-FR"/>
        </w:rPr>
        <w:t>.</w:t>
      </w:r>
    </w:p>
    <w:p w14:paraId="592D6907" w14:textId="77777777" w:rsidR="00144A12" w:rsidRDefault="00144A12" w:rsidP="00144A12">
      <w:pPr>
        <w:widowControl w:val="0"/>
        <w:autoSpaceDE w:val="0"/>
        <w:autoSpaceDN w:val="0"/>
        <w:adjustRightInd w:val="0"/>
        <w:spacing w:after="0" w:line="240" w:lineRule="auto"/>
        <w:ind w:left="567"/>
        <w:jc w:val="both"/>
        <w:rPr>
          <w:rFonts w:cs="Arial"/>
          <w:lang w:val="fr-FR"/>
        </w:rPr>
      </w:pPr>
    </w:p>
    <w:p w14:paraId="3E2323A9" w14:textId="3303A9D9" w:rsidR="00144A1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Deux mémorandums d’entente ont été conclus dans le cadre de la CMS pour répondre aux besoins de conservation des tortues marines dans un contexte régional, à savoir le </w:t>
      </w:r>
      <w:hyperlink r:id="rId17">
        <w:r>
          <w:rPr>
            <w:rStyle w:val="Hyperlink"/>
            <w:rFonts w:cs="Arial"/>
            <w:lang w:val="fr-FR"/>
          </w:rPr>
          <w:t>Mémorandum d’accord sur les mesures de conservation pour les tortues marines de la côte atlantique de l’Afrique</w:t>
        </w:r>
      </w:hyperlink>
      <w:r>
        <w:rPr>
          <w:rFonts w:cs="Arial"/>
          <w:lang w:val="fr-FR"/>
        </w:rPr>
        <w:t xml:space="preserve"> (1999) et le </w:t>
      </w:r>
      <w:hyperlink r:id="rId18">
        <w:r>
          <w:rPr>
            <w:rStyle w:val="Hyperlink"/>
            <w:rFonts w:cs="Arial"/>
            <w:lang w:val="fr-FR"/>
          </w:rPr>
          <w:t>Mémorandum d’entente sur la conservation et la gestion des tortues marines et de leurs habitats de l’océan Indien et l’Asie du Sud-Est</w:t>
        </w:r>
      </w:hyperlink>
      <w:r>
        <w:rPr>
          <w:rFonts w:cs="Arial"/>
          <w:lang w:val="fr-FR"/>
        </w:rPr>
        <w:t xml:space="preserve"> (2001). Deux plans d’action par espèce ont également été élaborés, le </w:t>
      </w:r>
      <w:hyperlink r:id="rId19">
        <w:r>
          <w:rPr>
            <w:rStyle w:val="Hyperlink"/>
            <w:rFonts w:cs="Arial"/>
            <w:lang w:val="fr-FR"/>
          </w:rPr>
          <w:t>Plan d’action par espèce pour la tortue caouanne (</w:t>
        </w:r>
        <w:proofErr w:type="spellStart"/>
        <w:r>
          <w:rPr>
            <w:rStyle w:val="Hyperlink"/>
            <w:rFonts w:cs="Arial"/>
            <w:i/>
            <w:iCs/>
            <w:lang w:val="fr-FR"/>
          </w:rPr>
          <w:t>Caretta</w:t>
        </w:r>
        <w:proofErr w:type="spellEnd"/>
        <w:r>
          <w:rPr>
            <w:rStyle w:val="Hyperlink"/>
            <w:rFonts w:cs="Arial"/>
            <w:i/>
            <w:iCs/>
            <w:lang w:val="fr-FR"/>
          </w:rPr>
          <w:t xml:space="preserve"> </w:t>
        </w:r>
        <w:proofErr w:type="spellStart"/>
        <w:r>
          <w:rPr>
            <w:rStyle w:val="Hyperlink"/>
            <w:rFonts w:cs="Arial"/>
            <w:i/>
            <w:iCs/>
            <w:lang w:val="fr-FR"/>
          </w:rPr>
          <w:t>caretta</w:t>
        </w:r>
        <w:proofErr w:type="spellEnd"/>
        <w:r>
          <w:rPr>
            <w:rStyle w:val="Hyperlink"/>
            <w:rFonts w:cs="Arial"/>
            <w:lang w:val="fr-FR"/>
          </w:rPr>
          <w:t>) dans l’océan Pacifique Sud</w:t>
        </w:r>
      </w:hyperlink>
      <w:r>
        <w:rPr>
          <w:rFonts w:cs="Arial"/>
          <w:lang w:val="fr-FR"/>
        </w:rPr>
        <w:t xml:space="preserve"> (adopté en 2014) et le </w:t>
      </w:r>
      <w:hyperlink r:id="rId20">
        <w:r>
          <w:rPr>
            <w:rStyle w:val="Hyperlink"/>
            <w:rFonts w:cs="Arial"/>
            <w:lang w:val="fr-FR"/>
          </w:rPr>
          <w:t>Plan d’action par espèce pour la tortue imbriquée (</w:t>
        </w:r>
        <w:proofErr w:type="spellStart"/>
        <w:r>
          <w:rPr>
            <w:rStyle w:val="Hyperlink"/>
            <w:rFonts w:cs="Arial"/>
            <w:i/>
            <w:iCs/>
            <w:lang w:val="fr-FR"/>
          </w:rPr>
          <w:t>Eretmochelys</w:t>
        </w:r>
        <w:proofErr w:type="spellEnd"/>
        <w:r>
          <w:rPr>
            <w:rStyle w:val="Hyperlink"/>
            <w:rFonts w:cs="Arial"/>
            <w:i/>
            <w:iCs/>
            <w:lang w:val="fr-FR"/>
          </w:rPr>
          <w:t xml:space="preserve"> </w:t>
        </w:r>
        <w:proofErr w:type="spellStart"/>
        <w:r>
          <w:rPr>
            <w:rStyle w:val="Hyperlink"/>
            <w:rFonts w:cs="Arial"/>
            <w:i/>
            <w:iCs/>
            <w:lang w:val="fr-FR"/>
          </w:rPr>
          <w:t>imbricata</w:t>
        </w:r>
        <w:proofErr w:type="spellEnd"/>
        <w:r>
          <w:rPr>
            <w:rStyle w:val="Hyperlink"/>
            <w:rFonts w:cs="Arial"/>
            <w:lang w:val="fr-FR"/>
          </w:rPr>
          <w:t>) en Asie du Sud-Est et dans la région de l’océan Pacifique occidental</w:t>
        </w:r>
      </w:hyperlink>
      <w:r>
        <w:rPr>
          <w:rFonts w:cs="Arial"/>
          <w:lang w:val="fr-FR"/>
        </w:rPr>
        <w:t xml:space="preserve"> (adopté en 2022 ; voir </w:t>
      </w:r>
      <w:proofErr w:type="spellStart"/>
      <w:r w:rsidR="007230FC" w:rsidRPr="00C433CD">
        <w:rPr>
          <w:rFonts w:cs="Arial"/>
          <w:lang w:val="fr-FR"/>
        </w:rPr>
        <w:t>see</w:t>
      </w:r>
      <w:proofErr w:type="spellEnd"/>
      <w:r w:rsidR="007230FC" w:rsidRPr="00C433CD">
        <w:rPr>
          <w:lang w:val="fr-FR"/>
        </w:rPr>
        <w:t xml:space="preserve"> </w:t>
      </w:r>
      <w:hyperlink r:id="rId21" w:history="1">
        <w:r w:rsidR="007230FC" w:rsidRPr="00C433CD">
          <w:rPr>
            <w:rStyle w:val="Hyperlink"/>
            <w:rFonts w:cs="Arial"/>
            <w:lang w:val="fr-FR"/>
          </w:rPr>
          <w:t>UNEP/CMS/COP14/Doc.27.6.2</w:t>
        </w:r>
      </w:hyperlink>
      <w:r>
        <w:rPr>
          <w:rFonts w:cs="Arial"/>
          <w:lang w:val="fr-FR"/>
        </w:rPr>
        <w:t>).</w:t>
      </w:r>
    </w:p>
    <w:p w14:paraId="651BD65F" w14:textId="77777777" w:rsidR="00144A12" w:rsidRDefault="00144A12" w:rsidP="00144A12">
      <w:pPr>
        <w:widowControl w:val="0"/>
        <w:autoSpaceDE w:val="0"/>
        <w:autoSpaceDN w:val="0"/>
        <w:adjustRightInd w:val="0"/>
        <w:spacing w:after="0" w:line="240" w:lineRule="auto"/>
        <w:ind w:left="567"/>
        <w:jc w:val="both"/>
        <w:rPr>
          <w:rFonts w:cs="Arial"/>
          <w:lang w:val="fr-FR"/>
        </w:rPr>
      </w:pPr>
    </w:p>
    <w:p w14:paraId="77FBDB64" w14:textId="0D45A8F1" w:rsidR="00144A12" w:rsidRPr="008E61AF" w:rsidRDefault="00144A12" w:rsidP="00144A12">
      <w:pPr>
        <w:widowControl w:val="0"/>
        <w:numPr>
          <w:ilvl w:val="0"/>
          <w:numId w:val="3"/>
        </w:numPr>
        <w:autoSpaceDE w:val="0"/>
        <w:autoSpaceDN w:val="0"/>
        <w:adjustRightInd w:val="0"/>
        <w:spacing w:after="0" w:line="240" w:lineRule="auto"/>
        <w:ind w:left="567" w:hanging="567"/>
        <w:jc w:val="both"/>
        <w:rPr>
          <w:rFonts w:cs="Arial"/>
          <w:i/>
          <w:iCs/>
          <w:lang w:val="fr-FR"/>
        </w:rPr>
      </w:pPr>
      <w:r>
        <w:rPr>
          <w:rFonts w:cs="Arial"/>
          <w:lang w:val="fr-FR"/>
        </w:rPr>
        <w:t xml:space="preserve">Aucune </w:t>
      </w:r>
      <w:r w:rsidR="00C142F8">
        <w:rPr>
          <w:rFonts w:cs="Arial"/>
          <w:lang w:val="fr-FR"/>
        </w:rPr>
        <w:t>R</w:t>
      </w:r>
      <w:r>
        <w:rPr>
          <w:rFonts w:cs="Arial"/>
          <w:lang w:val="fr-FR"/>
        </w:rPr>
        <w:t xml:space="preserve">ésolution de la CMS portant spécifiquement sur les tortues marines n’est actuellement en vigueur. La COP13 a adopté deux </w:t>
      </w:r>
      <w:r w:rsidR="00C142F8">
        <w:rPr>
          <w:rFonts w:cs="Arial"/>
          <w:lang w:val="fr-FR"/>
        </w:rPr>
        <w:t>D</w:t>
      </w:r>
      <w:r>
        <w:rPr>
          <w:rFonts w:cs="Arial"/>
          <w:lang w:val="fr-FR"/>
        </w:rPr>
        <w:t>écisions sur les tortues marines :</w:t>
      </w:r>
    </w:p>
    <w:p w14:paraId="141C8637" w14:textId="77777777" w:rsidR="00144A12" w:rsidRDefault="00144A12" w:rsidP="00144A12">
      <w:pPr>
        <w:spacing w:after="0" w:line="240" w:lineRule="auto"/>
        <w:ind w:left="170" w:firstLine="397"/>
        <w:rPr>
          <w:i/>
          <w:iCs/>
          <w:lang w:val="fr-FR"/>
        </w:rPr>
      </w:pPr>
    </w:p>
    <w:p w14:paraId="6032246B" w14:textId="578BEFD8" w:rsidR="00144A12" w:rsidRPr="00667D7E" w:rsidRDefault="00144A12" w:rsidP="00144A12">
      <w:pPr>
        <w:spacing w:after="0" w:line="240" w:lineRule="auto"/>
        <w:ind w:left="397" w:firstLine="397"/>
        <w:rPr>
          <w:b/>
          <w:bCs/>
          <w:i/>
          <w:iCs/>
          <w:sz w:val="20"/>
          <w:szCs w:val="20"/>
          <w:lang w:val="fr-FR"/>
        </w:rPr>
      </w:pPr>
      <w:r w:rsidRPr="00667D7E">
        <w:rPr>
          <w:b/>
          <w:bCs/>
          <w:i/>
          <w:iCs/>
          <w:sz w:val="20"/>
          <w:szCs w:val="20"/>
          <w:lang w:val="fr-FR"/>
        </w:rPr>
        <w:t>13.69 Décision adressée à Parties</w:t>
      </w:r>
    </w:p>
    <w:p w14:paraId="7EABF6DB" w14:textId="77777777" w:rsidR="00144A12" w:rsidRPr="00DE2F23" w:rsidRDefault="00144A12" w:rsidP="00144A12">
      <w:pPr>
        <w:spacing w:after="0" w:line="240" w:lineRule="auto"/>
        <w:ind w:left="794"/>
        <w:jc w:val="both"/>
        <w:rPr>
          <w:i/>
          <w:iCs/>
          <w:sz w:val="20"/>
          <w:szCs w:val="20"/>
          <w:lang w:val="fr-FR"/>
        </w:rPr>
      </w:pPr>
    </w:p>
    <w:p w14:paraId="262A3588" w14:textId="77777777" w:rsidR="00144A12" w:rsidRPr="00DE2F23" w:rsidRDefault="00144A12" w:rsidP="00144A12">
      <w:pPr>
        <w:spacing w:after="0" w:line="240" w:lineRule="auto"/>
        <w:ind w:left="794"/>
        <w:jc w:val="both"/>
        <w:rPr>
          <w:i/>
          <w:iCs/>
          <w:sz w:val="20"/>
          <w:szCs w:val="20"/>
          <w:lang w:val="fr-FR"/>
        </w:rPr>
      </w:pPr>
      <w:r>
        <w:rPr>
          <w:i/>
          <w:iCs/>
          <w:sz w:val="20"/>
          <w:szCs w:val="20"/>
          <w:lang w:val="fr-FR"/>
        </w:rPr>
        <w:t>Les Parties sont invitées à fournir un financement au Secrétariat afin de soutenir la mise en œuvre de cette Décision.</w:t>
      </w:r>
    </w:p>
    <w:p w14:paraId="3C54738E" w14:textId="77777777" w:rsidR="00144A12" w:rsidRPr="00DE2F23" w:rsidRDefault="00144A12" w:rsidP="00144A12">
      <w:pPr>
        <w:spacing w:after="0" w:line="240" w:lineRule="auto"/>
        <w:ind w:left="794"/>
        <w:jc w:val="both"/>
        <w:rPr>
          <w:i/>
          <w:iCs/>
          <w:sz w:val="20"/>
          <w:szCs w:val="20"/>
          <w:lang w:val="fr-FR"/>
        </w:rPr>
      </w:pPr>
    </w:p>
    <w:p w14:paraId="09FDA206" w14:textId="338242FE" w:rsidR="00144A12" w:rsidRPr="00667D7E" w:rsidRDefault="00144A12" w:rsidP="00144A12">
      <w:pPr>
        <w:spacing w:after="0" w:line="240" w:lineRule="auto"/>
        <w:ind w:left="794"/>
        <w:jc w:val="both"/>
        <w:rPr>
          <w:b/>
          <w:bCs/>
          <w:i/>
          <w:iCs/>
          <w:sz w:val="20"/>
          <w:szCs w:val="20"/>
          <w:lang w:val="fr-FR"/>
        </w:rPr>
      </w:pPr>
      <w:r w:rsidRPr="00667D7E">
        <w:rPr>
          <w:b/>
          <w:bCs/>
          <w:i/>
          <w:iCs/>
          <w:sz w:val="20"/>
          <w:szCs w:val="20"/>
          <w:lang w:val="fr-FR"/>
        </w:rPr>
        <w:t>13.70 Décision adressée à Conseil scientifique</w:t>
      </w:r>
    </w:p>
    <w:p w14:paraId="623D894F" w14:textId="77777777" w:rsidR="00144A12" w:rsidRPr="00DE2F23" w:rsidRDefault="00144A12" w:rsidP="00144A12">
      <w:pPr>
        <w:spacing w:after="0" w:line="240" w:lineRule="auto"/>
        <w:ind w:left="794"/>
        <w:jc w:val="both"/>
        <w:rPr>
          <w:i/>
          <w:iCs/>
          <w:sz w:val="20"/>
          <w:szCs w:val="20"/>
          <w:lang w:val="fr-FR"/>
        </w:rPr>
      </w:pPr>
    </w:p>
    <w:p w14:paraId="6DC98053" w14:textId="77777777" w:rsidR="00144A12" w:rsidRDefault="00144A12" w:rsidP="00144A12">
      <w:pPr>
        <w:spacing w:after="0" w:line="240" w:lineRule="auto"/>
        <w:ind w:left="794"/>
        <w:jc w:val="both"/>
        <w:rPr>
          <w:i/>
          <w:iCs/>
          <w:sz w:val="20"/>
          <w:szCs w:val="20"/>
          <w:lang w:val="fr-FR"/>
        </w:rPr>
      </w:pPr>
      <w:r>
        <w:rPr>
          <w:i/>
          <w:iCs/>
          <w:sz w:val="20"/>
          <w:szCs w:val="20"/>
          <w:lang w:val="fr-FR"/>
        </w:rPr>
        <w:t>Le Conseil scientifique est prié, sous réserve de la disponibilité des ressources :</w:t>
      </w:r>
    </w:p>
    <w:p w14:paraId="664CEE2E" w14:textId="77777777" w:rsidR="00144A12" w:rsidRPr="00DE2F23" w:rsidRDefault="00144A12" w:rsidP="00144A12">
      <w:pPr>
        <w:spacing w:after="0" w:line="240" w:lineRule="auto"/>
        <w:ind w:left="794"/>
        <w:jc w:val="both"/>
        <w:rPr>
          <w:i/>
          <w:iCs/>
          <w:sz w:val="20"/>
          <w:szCs w:val="20"/>
          <w:lang w:val="fr-FR"/>
        </w:rPr>
      </w:pPr>
    </w:p>
    <w:p w14:paraId="305A48A2" w14:textId="77777777" w:rsidR="00144A12" w:rsidRPr="00DE2F23" w:rsidRDefault="00144A12" w:rsidP="00144A12">
      <w:pPr>
        <w:pStyle w:val="ListParagraph"/>
        <w:numPr>
          <w:ilvl w:val="0"/>
          <w:numId w:val="2"/>
        </w:numPr>
        <w:spacing w:after="0" w:line="240" w:lineRule="auto"/>
        <w:ind w:left="1361"/>
        <w:jc w:val="both"/>
        <w:rPr>
          <w:i/>
          <w:iCs/>
          <w:sz w:val="20"/>
          <w:szCs w:val="20"/>
          <w:lang w:val="fr-FR"/>
        </w:rPr>
      </w:pPr>
      <w:r>
        <w:rPr>
          <w:i/>
          <w:iCs/>
          <w:sz w:val="20"/>
          <w:szCs w:val="20"/>
          <w:lang w:val="fr-FR"/>
        </w:rPr>
        <w:t>d’examiner, dans la mesure du possible en collaboration avec le Mémorandum d’entente sur la conservation et la gestion des tortues marines et de leurs habitats dans l’océan Indien et l’Asie du Sud-Est (</w:t>
      </w:r>
      <w:proofErr w:type="spellStart"/>
      <w:r>
        <w:rPr>
          <w:i/>
          <w:iCs/>
          <w:sz w:val="20"/>
          <w:szCs w:val="20"/>
          <w:lang w:val="fr-FR"/>
        </w:rPr>
        <w:t>MdE</w:t>
      </w:r>
      <w:proofErr w:type="spellEnd"/>
      <w:r>
        <w:rPr>
          <w:i/>
          <w:iCs/>
          <w:sz w:val="20"/>
          <w:szCs w:val="20"/>
          <w:lang w:val="fr-FR"/>
        </w:rPr>
        <w:t xml:space="preserve"> Tortues marines de l’IOSEA) et la Convention interaméricaine pour la protection et la conservation des tortues marines, </w:t>
      </w:r>
      <w:bookmarkStart w:id="0" w:name="_Hlk133493201"/>
      <w:r>
        <w:rPr>
          <w:i/>
          <w:iCs/>
          <w:sz w:val="20"/>
          <w:szCs w:val="20"/>
          <w:lang w:val="fr-FR"/>
        </w:rPr>
        <w:t>les informations scientifiques pertinentes portant sur la conservation et les menaces pour les tortues marines</w:t>
      </w:r>
      <w:bookmarkEnd w:id="0"/>
      <w:r>
        <w:rPr>
          <w:i/>
          <w:iCs/>
          <w:sz w:val="20"/>
          <w:szCs w:val="20"/>
          <w:lang w:val="fr-FR"/>
        </w:rPr>
        <w:t>, telles que le changement climatique ;</w:t>
      </w:r>
    </w:p>
    <w:p w14:paraId="12A1343D" w14:textId="77777777" w:rsidR="00144A12" w:rsidRDefault="00144A12" w:rsidP="00144A12">
      <w:pPr>
        <w:pStyle w:val="ListParagraph"/>
        <w:spacing w:after="0" w:line="240" w:lineRule="auto"/>
        <w:ind w:left="1361"/>
        <w:jc w:val="both"/>
        <w:rPr>
          <w:i/>
          <w:iCs/>
          <w:sz w:val="20"/>
          <w:szCs w:val="20"/>
          <w:lang w:val="fr-FR"/>
        </w:rPr>
      </w:pPr>
    </w:p>
    <w:p w14:paraId="211960B3" w14:textId="49629998" w:rsidR="00144A12" w:rsidRPr="00C142F8" w:rsidRDefault="00144A12" w:rsidP="00C142F8">
      <w:pPr>
        <w:pStyle w:val="ListParagraph"/>
        <w:numPr>
          <w:ilvl w:val="0"/>
          <w:numId w:val="2"/>
        </w:numPr>
        <w:spacing w:after="80" w:line="240" w:lineRule="auto"/>
        <w:ind w:left="1361" w:hanging="357"/>
        <w:contextualSpacing w:val="0"/>
        <w:jc w:val="both"/>
        <w:rPr>
          <w:i/>
          <w:iCs/>
          <w:sz w:val="20"/>
          <w:szCs w:val="20"/>
          <w:lang w:val="fr-FR"/>
        </w:rPr>
      </w:pPr>
      <w:r>
        <w:rPr>
          <w:i/>
          <w:iCs/>
          <w:sz w:val="20"/>
          <w:szCs w:val="20"/>
          <w:lang w:val="fr-FR"/>
        </w:rPr>
        <w:lastRenderedPageBreak/>
        <w:t>sur la base de cet examen, d’élaborer de nouvelles recommandations pour la conservation de toutes les espèces de tortues marines figurant aux Annexes I ou II de la Convention, notamment pour la préservation des plages de nidification actuelles et pour l’identification de nouvelles plages de nidification, pour présentation à la 14</w:t>
      </w:r>
      <w:r w:rsidRPr="00DA4E2B">
        <w:rPr>
          <w:i/>
          <w:iCs/>
          <w:sz w:val="20"/>
          <w:szCs w:val="20"/>
          <w:vertAlign w:val="superscript"/>
          <w:lang w:val="fr-FR"/>
        </w:rPr>
        <w:t>e</w:t>
      </w:r>
      <w:r>
        <w:rPr>
          <w:i/>
          <w:iCs/>
          <w:sz w:val="20"/>
          <w:szCs w:val="20"/>
          <w:lang w:val="fr-FR"/>
        </w:rPr>
        <w:t> réunion de la Conférence des Parties ;</w:t>
      </w:r>
    </w:p>
    <w:p w14:paraId="659F67B3" w14:textId="77777777" w:rsidR="00144A12" w:rsidRPr="00DE2F23" w:rsidRDefault="00144A12" w:rsidP="00C142F8">
      <w:pPr>
        <w:pStyle w:val="ListParagraph"/>
        <w:numPr>
          <w:ilvl w:val="0"/>
          <w:numId w:val="2"/>
        </w:numPr>
        <w:spacing w:after="0" w:line="240" w:lineRule="auto"/>
        <w:ind w:left="1361" w:hanging="357"/>
        <w:jc w:val="both"/>
        <w:rPr>
          <w:i/>
          <w:iCs/>
          <w:sz w:val="20"/>
          <w:szCs w:val="20"/>
          <w:lang w:val="fr-FR"/>
        </w:rPr>
      </w:pPr>
      <w:r>
        <w:rPr>
          <w:i/>
          <w:iCs/>
          <w:sz w:val="20"/>
          <w:szCs w:val="20"/>
          <w:lang w:val="fr-FR"/>
        </w:rPr>
        <w:t xml:space="preserve">d’élaborer, en collaboration avec le </w:t>
      </w:r>
      <w:proofErr w:type="spellStart"/>
      <w:r>
        <w:rPr>
          <w:i/>
          <w:iCs/>
          <w:sz w:val="20"/>
          <w:szCs w:val="20"/>
          <w:lang w:val="fr-FR"/>
        </w:rPr>
        <w:t>MdE</w:t>
      </w:r>
      <w:proofErr w:type="spellEnd"/>
      <w:r>
        <w:rPr>
          <w:i/>
          <w:iCs/>
          <w:sz w:val="20"/>
          <w:szCs w:val="20"/>
          <w:lang w:val="fr-FR"/>
        </w:rPr>
        <w:t xml:space="preserve"> tortues marines de l’IOSEA, la CITES, la Convention de Ramsar et les organisations non gouvernementales pertinentes, et avec l’appui du Secrétariat, un projet de plan d’action par espèce pour la conservation des tortues imbriquées qui sera présenté de préférence à la 14</w:t>
      </w:r>
      <w:r w:rsidRPr="00DA4E2B">
        <w:rPr>
          <w:i/>
          <w:iCs/>
          <w:sz w:val="20"/>
          <w:szCs w:val="20"/>
          <w:vertAlign w:val="superscript"/>
          <w:lang w:val="fr-FR"/>
        </w:rPr>
        <w:t>e</w:t>
      </w:r>
      <w:r>
        <w:rPr>
          <w:i/>
          <w:iCs/>
          <w:sz w:val="20"/>
          <w:szCs w:val="20"/>
          <w:lang w:val="fr-FR"/>
        </w:rPr>
        <w:t xml:space="preserve"> réunion de la Conférence des Parties, afin de traiter de son commerce et de son utilisation en Asie du Sud-Est et dans le Pacifique occidental adjacent, et aussi tenir compte du rapport de la CITES de 2019 (Report on </w:t>
      </w:r>
      <w:proofErr w:type="spellStart"/>
      <w:r>
        <w:rPr>
          <w:i/>
          <w:iCs/>
          <w:sz w:val="20"/>
          <w:szCs w:val="20"/>
          <w:lang w:val="fr-FR"/>
        </w:rPr>
        <w:t>Status</w:t>
      </w:r>
      <w:proofErr w:type="spellEnd"/>
      <w:r>
        <w:rPr>
          <w:i/>
          <w:iCs/>
          <w:sz w:val="20"/>
          <w:szCs w:val="20"/>
          <w:lang w:val="fr-FR"/>
        </w:rPr>
        <w:t xml:space="preserve">, Scope and Trends of the Legal and </w:t>
      </w:r>
      <w:proofErr w:type="spellStart"/>
      <w:r>
        <w:rPr>
          <w:i/>
          <w:iCs/>
          <w:sz w:val="20"/>
          <w:szCs w:val="20"/>
          <w:lang w:val="fr-FR"/>
        </w:rPr>
        <w:t>Illegal</w:t>
      </w:r>
      <w:proofErr w:type="spellEnd"/>
      <w:r>
        <w:rPr>
          <w:i/>
          <w:iCs/>
          <w:sz w:val="20"/>
          <w:szCs w:val="20"/>
          <w:lang w:val="fr-FR"/>
        </w:rPr>
        <w:t xml:space="preserve"> International Trade in Marine </w:t>
      </w:r>
      <w:proofErr w:type="spellStart"/>
      <w:r>
        <w:rPr>
          <w:i/>
          <w:iCs/>
          <w:sz w:val="20"/>
          <w:szCs w:val="20"/>
          <w:lang w:val="fr-FR"/>
        </w:rPr>
        <w:t>Turtles</w:t>
      </w:r>
      <w:proofErr w:type="spellEnd"/>
      <w:r>
        <w:rPr>
          <w:i/>
          <w:iCs/>
          <w:sz w:val="20"/>
          <w:szCs w:val="20"/>
          <w:lang w:val="fr-FR"/>
        </w:rPr>
        <w:t xml:space="preserve">, </w:t>
      </w:r>
      <w:proofErr w:type="spellStart"/>
      <w:r>
        <w:rPr>
          <w:i/>
          <w:iCs/>
          <w:sz w:val="20"/>
          <w:szCs w:val="20"/>
          <w:lang w:val="fr-FR"/>
        </w:rPr>
        <w:t>its</w:t>
      </w:r>
      <w:proofErr w:type="spellEnd"/>
      <w:r>
        <w:rPr>
          <w:i/>
          <w:iCs/>
          <w:sz w:val="20"/>
          <w:szCs w:val="20"/>
          <w:lang w:val="fr-FR"/>
        </w:rPr>
        <w:t xml:space="preserve"> Conservation Impacts, Management Options and Mitigation </w:t>
      </w:r>
      <w:proofErr w:type="spellStart"/>
      <w:r>
        <w:rPr>
          <w:i/>
          <w:iCs/>
          <w:sz w:val="20"/>
          <w:szCs w:val="20"/>
          <w:lang w:val="fr-FR"/>
        </w:rPr>
        <w:t>Priorities</w:t>
      </w:r>
      <w:proofErr w:type="spellEnd"/>
      <w:r>
        <w:rPr>
          <w:i/>
          <w:iCs/>
          <w:sz w:val="20"/>
          <w:szCs w:val="20"/>
          <w:lang w:val="fr-FR"/>
        </w:rPr>
        <w:t xml:space="preserve">) sur l’état, l’étendue et les tendances du commerce international légal et illégal des tortues marines, les impacts de leur conservation, les options de gestion et les priorités en matière de mitigation, ainsi que de l’évaluation des tortues imbriquées en cours de préparation par le Comité consultatif du </w:t>
      </w:r>
      <w:proofErr w:type="spellStart"/>
      <w:r>
        <w:rPr>
          <w:i/>
          <w:iCs/>
          <w:sz w:val="20"/>
          <w:szCs w:val="20"/>
          <w:lang w:val="fr-FR"/>
        </w:rPr>
        <w:t>MdE</w:t>
      </w:r>
      <w:proofErr w:type="spellEnd"/>
      <w:r>
        <w:rPr>
          <w:i/>
          <w:iCs/>
          <w:sz w:val="20"/>
          <w:szCs w:val="20"/>
          <w:lang w:val="fr-FR"/>
        </w:rPr>
        <w:t xml:space="preserve"> Tortues marines de l’IOSEA.</w:t>
      </w:r>
    </w:p>
    <w:p w14:paraId="324EE369" w14:textId="77777777" w:rsidR="00144A12" w:rsidRDefault="00144A12" w:rsidP="00144A12">
      <w:pPr>
        <w:spacing w:after="0" w:line="240" w:lineRule="auto"/>
        <w:jc w:val="both"/>
        <w:rPr>
          <w:lang w:val="fr-FR"/>
        </w:rPr>
      </w:pPr>
    </w:p>
    <w:p w14:paraId="1777075E" w14:textId="77777777" w:rsidR="00144A12" w:rsidRPr="009B30D2" w:rsidRDefault="00144A12" w:rsidP="00144A12">
      <w:pPr>
        <w:spacing w:after="0" w:line="240" w:lineRule="auto"/>
        <w:jc w:val="both"/>
        <w:rPr>
          <w:u w:val="single"/>
          <w:lang w:val="fr-FR"/>
        </w:rPr>
      </w:pPr>
      <w:r>
        <w:rPr>
          <w:u w:val="single"/>
          <w:lang w:val="fr-FR"/>
        </w:rPr>
        <w:t>Activités de mise en œuvre de la Décision 13.70</w:t>
      </w:r>
    </w:p>
    <w:p w14:paraId="4C625AEB" w14:textId="77777777" w:rsidR="00144A12" w:rsidRPr="00661875" w:rsidRDefault="00144A12" w:rsidP="00144A12">
      <w:pPr>
        <w:spacing w:after="0" w:line="240" w:lineRule="auto"/>
        <w:jc w:val="both"/>
        <w:rPr>
          <w:rFonts w:cs="Arial"/>
          <w:u w:val="single"/>
          <w:lang w:val="fr-FR"/>
        </w:rPr>
      </w:pPr>
    </w:p>
    <w:p w14:paraId="7446C4EE" w14:textId="77777777" w:rsidR="00144A12" w:rsidRPr="00FF37EB"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Les paragraphes </w:t>
      </w:r>
      <w:proofErr w:type="gramStart"/>
      <w:r>
        <w:rPr>
          <w:rFonts w:cs="Arial"/>
          <w:lang w:val="fr-FR"/>
        </w:rPr>
        <w:t>a</w:t>
      </w:r>
      <w:proofErr w:type="gramEnd"/>
      <w:r>
        <w:rPr>
          <w:rFonts w:cs="Arial"/>
          <w:lang w:val="fr-FR"/>
        </w:rPr>
        <w:t>) et b) de la Décision 13.70 n’ont pas pu être traités au cours de la période triennale actuelle en raison d’un manque de fonds et de capacité. En outre, un examen global des unités de gestion régionales pour les tortues marines est en cours, basé sur l’étude publiée par Wallace et al. (2010)</w:t>
      </w:r>
      <w:r>
        <w:rPr>
          <w:rStyle w:val="FootnoteReference"/>
          <w:rFonts w:cs="Arial"/>
          <w:lang w:val="fr-FR"/>
        </w:rPr>
        <w:footnoteReference w:id="2"/>
      </w:r>
      <w:r>
        <w:rPr>
          <w:rFonts w:cs="Arial"/>
          <w:lang w:val="fr-FR"/>
        </w:rPr>
        <w:t>. Une fois que les résultats de cet examen auront été publiés, ils constitueront une excellente base pour l’examen des informations scientifiques pertinentes sur la conservation des tortues marines et les menaces auxquelles elles sont confrontées, prévu au paragraphe a) de la Décision 13.70, ainsi que pour l’élaboration des recommandations demandées au paragraphe b) de la Décision 13.70. De plus, la méthodologie d’évaluation de la vulnérabilité des espèces protégées au changement climatique (</w:t>
      </w:r>
      <w:proofErr w:type="spellStart"/>
      <w:r>
        <w:rPr>
          <w:rFonts w:cs="Arial"/>
          <w:lang w:val="fr-FR"/>
        </w:rPr>
        <w:t>Protected</w:t>
      </w:r>
      <w:proofErr w:type="spellEnd"/>
      <w:r>
        <w:rPr>
          <w:rFonts w:cs="Arial"/>
          <w:lang w:val="fr-FR"/>
        </w:rPr>
        <w:t xml:space="preserve"> </w:t>
      </w:r>
      <w:proofErr w:type="spellStart"/>
      <w:r>
        <w:rPr>
          <w:rFonts w:cs="Arial"/>
          <w:lang w:val="fr-FR"/>
        </w:rPr>
        <w:t>Species</w:t>
      </w:r>
      <w:proofErr w:type="spellEnd"/>
      <w:r>
        <w:rPr>
          <w:rFonts w:cs="Arial"/>
          <w:lang w:val="fr-FR"/>
        </w:rPr>
        <w:t xml:space="preserve"> </w:t>
      </w:r>
      <w:proofErr w:type="spellStart"/>
      <w:r>
        <w:rPr>
          <w:rFonts w:cs="Arial"/>
          <w:lang w:val="fr-FR"/>
        </w:rPr>
        <w:t>Climate</w:t>
      </w:r>
      <w:proofErr w:type="spellEnd"/>
      <w:r>
        <w:rPr>
          <w:rFonts w:cs="Arial"/>
          <w:lang w:val="fr-FR"/>
        </w:rPr>
        <w:t xml:space="preserve"> </w:t>
      </w:r>
      <w:proofErr w:type="spellStart"/>
      <w:r>
        <w:rPr>
          <w:rFonts w:cs="Arial"/>
          <w:lang w:val="fr-FR"/>
        </w:rPr>
        <w:t>Vulnerability</w:t>
      </w:r>
      <w:proofErr w:type="spellEnd"/>
      <w:r>
        <w:rPr>
          <w:rFonts w:cs="Arial"/>
          <w:lang w:val="fr-FR"/>
        </w:rPr>
        <w:t xml:space="preserve"> </w:t>
      </w:r>
      <w:proofErr w:type="spellStart"/>
      <w:r>
        <w:rPr>
          <w:rFonts w:cs="Arial"/>
          <w:lang w:val="fr-FR"/>
        </w:rPr>
        <w:t>Assessment</w:t>
      </w:r>
      <w:proofErr w:type="spellEnd"/>
      <w:r>
        <w:rPr>
          <w:rFonts w:cs="Arial"/>
          <w:lang w:val="fr-FR"/>
        </w:rPr>
        <w:t xml:space="preserve">, ou PSCVA), récemment élaborée par la National </w:t>
      </w:r>
      <w:proofErr w:type="spellStart"/>
      <w:r>
        <w:rPr>
          <w:rFonts w:cs="Arial"/>
          <w:lang w:val="fr-FR"/>
        </w:rPr>
        <w:t>Oceanic</w:t>
      </w:r>
      <w:proofErr w:type="spellEnd"/>
      <w:r>
        <w:rPr>
          <w:rFonts w:cs="Arial"/>
          <w:lang w:val="fr-FR"/>
        </w:rPr>
        <w:t xml:space="preserve"> and </w:t>
      </w:r>
      <w:proofErr w:type="spellStart"/>
      <w:r>
        <w:rPr>
          <w:rFonts w:cs="Arial"/>
          <w:lang w:val="fr-FR"/>
        </w:rPr>
        <w:t>Atmospheric</w:t>
      </w:r>
      <w:proofErr w:type="spellEnd"/>
      <w:r>
        <w:rPr>
          <w:rFonts w:cs="Arial"/>
          <w:lang w:val="fr-FR"/>
        </w:rPr>
        <w:t xml:space="preserve"> Administration (NOAA </w:t>
      </w:r>
      <w:proofErr w:type="spellStart"/>
      <w:r>
        <w:rPr>
          <w:rFonts w:cs="Arial"/>
          <w:lang w:val="fr-FR"/>
        </w:rPr>
        <w:t>Fisheries</w:t>
      </w:r>
      <w:proofErr w:type="spellEnd"/>
      <w:r>
        <w:rPr>
          <w:rFonts w:cs="Arial"/>
          <w:lang w:val="fr-FR"/>
        </w:rPr>
        <w:t>) des États-Unis, constitue un excellent outil d’évaluation de la vulnérabilité des différentes populations de tortues, et des efforts devraient être entrepris pour intégrer cette approche aux travaux de la CMS sur le sujet.</w:t>
      </w:r>
    </w:p>
    <w:p w14:paraId="59FDDD50" w14:textId="77777777" w:rsidR="00144A12" w:rsidRPr="00C142F8" w:rsidRDefault="00144A12" w:rsidP="00144A12">
      <w:pPr>
        <w:spacing w:after="0" w:line="240" w:lineRule="auto"/>
        <w:ind w:left="360"/>
        <w:jc w:val="both"/>
        <w:rPr>
          <w:rFonts w:cs="Arial"/>
          <w:i/>
          <w:sz w:val="18"/>
          <w:szCs w:val="18"/>
          <w:lang w:val="fr-FR"/>
        </w:rPr>
      </w:pPr>
    </w:p>
    <w:p w14:paraId="7B2033D4" w14:textId="451DB980" w:rsidR="00144A12" w:rsidRPr="00FF37EB"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Il est donc proposé de renouveler cette décision avec un texte légèrement modifié, comme proposé à l’</w:t>
      </w:r>
      <w:r w:rsidR="00C142F8">
        <w:rPr>
          <w:rFonts w:cs="Arial"/>
          <w:lang w:val="fr-FR"/>
        </w:rPr>
        <w:t>A</w:t>
      </w:r>
      <w:r>
        <w:rPr>
          <w:rFonts w:cs="Arial"/>
          <w:lang w:val="fr-FR"/>
        </w:rPr>
        <w:t>nnexe au présent document.</w:t>
      </w:r>
    </w:p>
    <w:p w14:paraId="1D715031" w14:textId="77777777" w:rsidR="00144A12" w:rsidRPr="00C142F8" w:rsidRDefault="00144A12" w:rsidP="00144A12">
      <w:pPr>
        <w:spacing w:after="0" w:line="240" w:lineRule="auto"/>
        <w:jc w:val="both"/>
        <w:rPr>
          <w:rFonts w:cs="Arial"/>
          <w:sz w:val="18"/>
          <w:szCs w:val="18"/>
          <w:lang w:val="fr-FR"/>
        </w:rPr>
      </w:pPr>
    </w:p>
    <w:p w14:paraId="1F1E2B2A" w14:textId="4E5764D9" w:rsidR="00144A12" w:rsidRPr="00F16C8A" w:rsidRDefault="00144A12" w:rsidP="00144A12">
      <w:pPr>
        <w:widowControl w:val="0"/>
        <w:numPr>
          <w:ilvl w:val="0"/>
          <w:numId w:val="3"/>
        </w:numPr>
        <w:spacing w:after="0" w:line="240" w:lineRule="auto"/>
        <w:ind w:left="567" w:hanging="567"/>
        <w:jc w:val="both"/>
        <w:rPr>
          <w:rFonts w:cs="Arial"/>
          <w:lang w:val="fr-FR"/>
        </w:rPr>
      </w:pPr>
      <w:r>
        <w:rPr>
          <w:rFonts w:cs="Arial"/>
          <w:lang w:val="fr-FR"/>
        </w:rPr>
        <w:t xml:space="preserve">Le paragraphe c) de la Décision 13.70 a été entièrement mis en œuvre et un </w:t>
      </w:r>
      <w:r>
        <w:rPr>
          <w:rFonts w:cs="Arial"/>
          <w:i/>
          <w:lang w:val="fr-FR"/>
        </w:rPr>
        <w:t>Plan d’action par espèce pour la tortue imbriquée (</w:t>
      </w:r>
      <w:proofErr w:type="spellStart"/>
      <w:r>
        <w:rPr>
          <w:rFonts w:cs="Arial"/>
          <w:i/>
          <w:iCs/>
          <w:lang w:val="fr-FR"/>
        </w:rPr>
        <w:t>Eretmochelys</w:t>
      </w:r>
      <w:proofErr w:type="spellEnd"/>
      <w:r>
        <w:rPr>
          <w:rFonts w:cs="Arial"/>
          <w:i/>
          <w:iCs/>
          <w:lang w:val="fr-FR"/>
        </w:rPr>
        <w:t xml:space="preserve"> </w:t>
      </w:r>
      <w:proofErr w:type="spellStart"/>
      <w:r>
        <w:rPr>
          <w:rFonts w:cs="Arial"/>
          <w:i/>
          <w:iCs/>
          <w:lang w:val="fr-FR"/>
        </w:rPr>
        <w:t>imbricata</w:t>
      </w:r>
      <w:proofErr w:type="spellEnd"/>
      <w:r>
        <w:rPr>
          <w:rFonts w:cs="Arial"/>
          <w:i/>
          <w:lang w:val="fr-FR"/>
        </w:rPr>
        <w:t>) en Asie du Sud-Est et dans la région de l’océan Pacifique occidental</w:t>
      </w:r>
      <w:r>
        <w:rPr>
          <w:rFonts w:cs="Arial"/>
          <w:lang w:val="fr-FR"/>
        </w:rPr>
        <w:t xml:space="preserve"> a été finalisé. </w:t>
      </w:r>
      <w:proofErr w:type="spellStart"/>
      <w:r>
        <w:rPr>
          <w:rFonts w:cs="Arial"/>
          <w:lang w:val="fr-FR"/>
        </w:rPr>
        <w:t>Veuillez vous</w:t>
      </w:r>
      <w:proofErr w:type="spellEnd"/>
      <w:r>
        <w:rPr>
          <w:rFonts w:cs="Arial"/>
          <w:lang w:val="fr-FR"/>
        </w:rPr>
        <w:t xml:space="preserve"> référer au </w:t>
      </w:r>
      <w:proofErr w:type="spellStart"/>
      <w:r w:rsidR="007230FC" w:rsidRPr="00C433CD">
        <w:rPr>
          <w:rFonts w:cs="Arial"/>
          <w:lang w:val="fr-FR"/>
        </w:rPr>
        <w:t>see</w:t>
      </w:r>
      <w:proofErr w:type="spellEnd"/>
      <w:r w:rsidR="007230FC" w:rsidRPr="00C433CD">
        <w:rPr>
          <w:lang w:val="fr-FR"/>
        </w:rPr>
        <w:t xml:space="preserve"> </w:t>
      </w:r>
      <w:hyperlink r:id="rId22" w:history="1">
        <w:r w:rsidR="007230FC" w:rsidRPr="00C433CD">
          <w:rPr>
            <w:rStyle w:val="Hyperlink"/>
            <w:rFonts w:cs="Arial"/>
            <w:lang w:val="fr-FR"/>
          </w:rPr>
          <w:t>UNEP/CMS/COP14/Doc.27.6.2</w:t>
        </w:r>
      </w:hyperlink>
      <w:r w:rsidR="007230FC" w:rsidRPr="00C433CD">
        <w:rPr>
          <w:rStyle w:val="Hyperlink"/>
          <w:rFonts w:cs="Arial"/>
          <w:color w:val="auto"/>
          <w:u w:val="none"/>
          <w:lang w:val="fr-FR"/>
        </w:rPr>
        <w:t>.</w:t>
      </w:r>
      <w:r>
        <w:rPr>
          <w:rFonts w:cs="Arial"/>
          <w:lang w:val="fr-FR"/>
        </w:rPr>
        <w:t xml:space="preserve"> Il est donc proposé de supprimer ce paragraphe de la </w:t>
      </w:r>
      <w:r w:rsidR="00C142F8">
        <w:rPr>
          <w:rFonts w:cs="Arial"/>
          <w:lang w:val="fr-FR"/>
        </w:rPr>
        <w:t>D</w:t>
      </w:r>
      <w:r>
        <w:rPr>
          <w:rFonts w:cs="Arial"/>
          <w:lang w:val="fr-FR"/>
        </w:rPr>
        <w:t>écision.</w:t>
      </w:r>
    </w:p>
    <w:p w14:paraId="0DE41372" w14:textId="77777777" w:rsidR="00144A12" w:rsidRPr="00C142F8" w:rsidRDefault="00144A12" w:rsidP="00C142F8">
      <w:pPr>
        <w:spacing w:after="0" w:line="240" w:lineRule="auto"/>
        <w:jc w:val="both"/>
        <w:rPr>
          <w:rFonts w:cs="Arial"/>
          <w:sz w:val="18"/>
          <w:szCs w:val="18"/>
          <w:lang w:val="fr-FR"/>
        </w:rPr>
      </w:pPr>
    </w:p>
    <w:p w14:paraId="01CAA6FA" w14:textId="77777777" w:rsidR="00144A12" w:rsidRPr="0022706B" w:rsidRDefault="00144A12" w:rsidP="00144A12">
      <w:pPr>
        <w:spacing w:after="0" w:line="240" w:lineRule="auto"/>
        <w:jc w:val="both"/>
        <w:rPr>
          <w:rFonts w:cs="Arial"/>
          <w:i/>
          <w:iCs/>
          <w:u w:val="single"/>
          <w:lang w:val="fr-FR"/>
        </w:rPr>
      </w:pPr>
      <w:r>
        <w:rPr>
          <w:rFonts w:cs="Arial"/>
          <w:u w:val="single"/>
          <w:lang w:val="fr-FR"/>
        </w:rPr>
        <w:t>Initiative d’atténuation des prises accessoires de tortues</w:t>
      </w:r>
    </w:p>
    <w:p w14:paraId="56747EE4" w14:textId="77777777" w:rsidR="00144A12" w:rsidRPr="00C142F8" w:rsidRDefault="00144A12" w:rsidP="00144A12">
      <w:pPr>
        <w:spacing w:after="0" w:line="240" w:lineRule="auto"/>
        <w:jc w:val="both"/>
        <w:rPr>
          <w:rFonts w:cs="Arial"/>
          <w:sz w:val="18"/>
          <w:szCs w:val="18"/>
          <w:lang w:val="fr-FR"/>
        </w:rPr>
      </w:pPr>
    </w:p>
    <w:p w14:paraId="4E34C1E7" w14:textId="6A2DF1E8" w:rsidR="00144A1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Il n’existe actuellement aucun aperçu d’ensemble des mesures existantes d’atténuation des prises accessoires de tortues marines pour tous les types de pêche. En conséquence, le Comité consultatif du </w:t>
      </w:r>
      <w:proofErr w:type="spellStart"/>
      <w:r>
        <w:rPr>
          <w:rFonts w:cs="Arial"/>
          <w:lang w:val="fr-FR"/>
        </w:rPr>
        <w:t>MdE</w:t>
      </w:r>
      <w:proofErr w:type="spellEnd"/>
      <w:r>
        <w:rPr>
          <w:rFonts w:cs="Arial"/>
          <w:lang w:val="fr-FR"/>
        </w:rPr>
        <w:t xml:space="preserve"> Tortues marines de l’IOSEA a relevé la nécessité de se concentrer davantage sur cette menace clé, à commencer par un aperçu de l’état des connaissances relatives à l’atténuation des prises accessoires des tortues, semblable à celui qui a été produit concernant l’atténuation des prises accessoires des mammifères marins, tel que présenté dans la </w:t>
      </w:r>
      <w:hyperlink r:id="rId23" w:history="1">
        <w:r w:rsidR="001F75BE" w:rsidRPr="00C433CD">
          <w:rPr>
            <w:rStyle w:val="Hyperlink"/>
            <w:rFonts w:cs="Arial"/>
            <w:lang w:val="fr-FR"/>
          </w:rPr>
          <w:t>UNEP/CMS/COP13/Inf.11</w:t>
        </w:r>
      </w:hyperlink>
      <w:r w:rsidR="00772490">
        <w:rPr>
          <w:rFonts w:cs="Arial"/>
          <w:lang w:val="fr-FR"/>
        </w:rPr>
        <w:t xml:space="preserve"> (en anglais seulement). </w:t>
      </w:r>
      <w:r>
        <w:rPr>
          <w:rFonts w:cs="Arial"/>
          <w:lang w:val="fr-FR"/>
        </w:rPr>
        <w:t xml:space="preserve">Les détails quant à la marche à suivre proposée, qui prévoit une initiative conjointe entre la CMS et le </w:t>
      </w:r>
      <w:proofErr w:type="spellStart"/>
      <w:r>
        <w:rPr>
          <w:rFonts w:cs="Arial"/>
          <w:lang w:val="fr-FR"/>
        </w:rPr>
        <w:t>MdE</w:t>
      </w:r>
      <w:proofErr w:type="spellEnd"/>
      <w:r>
        <w:rPr>
          <w:rFonts w:cs="Arial"/>
          <w:lang w:val="fr-FR"/>
        </w:rPr>
        <w:t xml:space="preserve"> Tortues </w:t>
      </w:r>
      <w:r>
        <w:rPr>
          <w:rFonts w:cs="Arial"/>
          <w:lang w:val="fr-FR"/>
        </w:rPr>
        <w:lastRenderedPageBreak/>
        <w:t xml:space="preserve">marines de l’IOSEA, sont présentés dans le </w:t>
      </w:r>
      <w:hyperlink r:id="rId24" w:history="1">
        <w:r w:rsidR="007B6320" w:rsidRPr="00C433CD">
          <w:rPr>
            <w:rStyle w:val="Hyperlink"/>
            <w:rFonts w:cs="Arial"/>
            <w:lang w:val="fr-FR"/>
          </w:rPr>
          <w:t>UNEP/CMS/COP14/Doc.27.1.1</w:t>
        </w:r>
      </w:hyperlink>
      <w:r w:rsidR="007B6320" w:rsidRPr="00C433CD">
        <w:rPr>
          <w:rStyle w:val="Hyperlink"/>
          <w:rFonts w:cs="Arial"/>
          <w:u w:val="none"/>
          <w:lang w:val="fr-FR"/>
        </w:rPr>
        <w:t xml:space="preserve"> </w:t>
      </w:r>
      <w:r>
        <w:rPr>
          <w:rFonts w:cs="Arial"/>
          <w:i/>
          <w:iCs/>
          <w:lang w:val="fr-FR"/>
        </w:rPr>
        <w:t>Prises accessoires</w:t>
      </w:r>
      <w:r>
        <w:rPr>
          <w:rFonts w:cs="Arial"/>
          <w:lang w:val="fr-FR"/>
        </w:rPr>
        <w:t xml:space="preserve"> et les projets de décision associés.</w:t>
      </w:r>
    </w:p>
    <w:p w14:paraId="58FF99ED" w14:textId="77777777" w:rsidR="00144A12" w:rsidRDefault="00144A12" w:rsidP="00144A12">
      <w:pPr>
        <w:widowControl w:val="0"/>
        <w:autoSpaceDE w:val="0"/>
        <w:autoSpaceDN w:val="0"/>
        <w:adjustRightInd w:val="0"/>
        <w:spacing w:after="0" w:line="240" w:lineRule="auto"/>
        <w:jc w:val="both"/>
        <w:rPr>
          <w:rFonts w:cs="Arial"/>
          <w:lang w:val="fr-FR"/>
        </w:rPr>
      </w:pPr>
    </w:p>
    <w:p w14:paraId="670C1DA6" w14:textId="77777777" w:rsidR="00144A12" w:rsidRPr="00CD0FE9" w:rsidRDefault="00144A12" w:rsidP="00144A12">
      <w:pPr>
        <w:spacing w:after="0" w:line="240" w:lineRule="auto"/>
        <w:jc w:val="both"/>
        <w:rPr>
          <w:rFonts w:cs="Arial"/>
          <w:u w:val="single"/>
          <w:lang w:val="fr-FR"/>
        </w:rPr>
      </w:pPr>
      <w:r>
        <w:rPr>
          <w:rFonts w:cs="Arial"/>
          <w:u w:val="single"/>
          <w:lang w:val="fr-FR"/>
        </w:rPr>
        <w:t>Discussion et analyse</w:t>
      </w:r>
    </w:p>
    <w:p w14:paraId="56DA5161" w14:textId="77777777" w:rsidR="00144A12" w:rsidRPr="00CD0FE9" w:rsidRDefault="00144A12" w:rsidP="00144A12">
      <w:pPr>
        <w:spacing w:after="0" w:line="240" w:lineRule="auto"/>
        <w:jc w:val="both"/>
        <w:rPr>
          <w:rFonts w:cs="Arial"/>
          <w:lang w:val="fr-FR"/>
        </w:rPr>
      </w:pPr>
    </w:p>
    <w:p w14:paraId="1070DB8B" w14:textId="77777777" w:rsidR="00144A12" w:rsidRPr="00FD305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Compte tenu de l’état de conservation de toutes les espèces de tortues marines, il reste prioritaire d’élaborer des recommandations concernant les mesures de conservation fondées sur des données scientifiques et spécifiques aux régions et aux espèces, ainsi que de combler les lacunes critiques en matière de connaissances. Par conséquent, le réexamen prévu aux paragraphes a) et b) de la Décision 13.70 est toujours justifié. </w:t>
      </w:r>
    </w:p>
    <w:p w14:paraId="54A32D26" w14:textId="77777777" w:rsidR="00144A12" w:rsidRDefault="00144A12" w:rsidP="00144A12">
      <w:pPr>
        <w:widowControl w:val="0"/>
        <w:autoSpaceDE w:val="0"/>
        <w:autoSpaceDN w:val="0"/>
        <w:adjustRightInd w:val="0"/>
        <w:spacing w:after="0" w:line="240" w:lineRule="auto"/>
        <w:jc w:val="both"/>
        <w:rPr>
          <w:rFonts w:cs="Arial"/>
          <w:lang w:val="fr-FR"/>
        </w:rPr>
      </w:pPr>
    </w:p>
    <w:p w14:paraId="074F9983" w14:textId="77777777" w:rsidR="00144A12" w:rsidRPr="00CD0FE9" w:rsidRDefault="00144A12" w:rsidP="00144A12">
      <w:pPr>
        <w:spacing w:after="0" w:line="240" w:lineRule="auto"/>
        <w:jc w:val="both"/>
        <w:rPr>
          <w:rFonts w:cs="Arial"/>
          <w:lang w:val="fr-FR"/>
        </w:rPr>
      </w:pPr>
      <w:r>
        <w:rPr>
          <w:rFonts w:cs="Arial"/>
          <w:u w:val="single"/>
          <w:lang w:val="fr-FR"/>
        </w:rPr>
        <w:t>Actions recommandées</w:t>
      </w:r>
    </w:p>
    <w:p w14:paraId="13C0D850" w14:textId="77777777" w:rsidR="00144A12" w:rsidRPr="00CD0FE9" w:rsidRDefault="00144A12" w:rsidP="00144A12">
      <w:pPr>
        <w:spacing w:after="0" w:line="240" w:lineRule="auto"/>
        <w:jc w:val="both"/>
        <w:rPr>
          <w:rFonts w:cs="Arial"/>
          <w:lang w:val="fr-FR"/>
        </w:rPr>
      </w:pPr>
    </w:p>
    <w:p w14:paraId="68371E7F" w14:textId="77777777" w:rsidR="00144A12" w:rsidRPr="00CD0FE9"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w:t>
      </w:r>
    </w:p>
    <w:p w14:paraId="2599D923" w14:textId="77777777" w:rsidR="00144A12" w:rsidRPr="00831DC2" w:rsidRDefault="00144A12" w:rsidP="00144A12">
      <w:pPr>
        <w:pStyle w:val="Secondnumbering"/>
        <w:numPr>
          <w:ilvl w:val="0"/>
          <w:numId w:val="0"/>
        </w:numPr>
        <w:jc w:val="both"/>
        <w:rPr>
          <w:lang w:val="fr-FR"/>
        </w:rPr>
      </w:pPr>
    </w:p>
    <w:p w14:paraId="1A2BD5E1" w14:textId="74BB6246" w:rsidR="00144A12" w:rsidRDefault="00144A12" w:rsidP="00144A12">
      <w:pPr>
        <w:pStyle w:val="Secondnumbering"/>
        <w:ind w:left="1154"/>
        <w:jc w:val="both"/>
        <w:rPr>
          <w:lang w:val="fr-FR"/>
        </w:rPr>
      </w:pPr>
      <w:r>
        <w:rPr>
          <w:lang w:val="fr-FR"/>
        </w:rPr>
        <w:t xml:space="preserve">d’adopter les projets de </w:t>
      </w:r>
      <w:r w:rsidR="00B42FA4">
        <w:rPr>
          <w:lang w:val="fr-FR"/>
        </w:rPr>
        <w:t>d</w:t>
      </w:r>
      <w:r>
        <w:rPr>
          <w:lang w:val="fr-FR"/>
        </w:rPr>
        <w:t>écision figurant à l’</w:t>
      </w:r>
      <w:r w:rsidR="00C142F8">
        <w:rPr>
          <w:lang w:val="fr-FR"/>
        </w:rPr>
        <w:t>A</w:t>
      </w:r>
      <w:r>
        <w:rPr>
          <w:lang w:val="fr-FR"/>
        </w:rPr>
        <w:t>nnexe du présent document ;</w:t>
      </w:r>
    </w:p>
    <w:p w14:paraId="1EB8DB21" w14:textId="77777777" w:rsidR="00144A12" w:rsidRPr="00695AAD" w:rsidRDefault="00144A12" w:rsidP="00144A12">
      <w:pPr>
        <w:pStyle w:val="Secondnumbering"/>
        <w:numPr>
          <w:ilvl w:val="0"/>
          <w:numId w:val="0"/>
        </w:numPr>
        <w:ind w:left="1154"/>
        <w:jc w:val="both"/>
        <w:rPr>
          <w:lang w:val="fr-FR"/>
        </w:rPr>
      </w:pPr>
    </w:p>
    <w:p w14:paraId="34BB31EB" w14:textId="77777777" w:rsidR="00144A12" w:rsidRPr="00950724" w:rsidRDefault="00144A12" w:rsidP="00144A12">
      <w:pPr>
        <w:pStyle w:val="Secondnumbering"/>
        <w:ind w:left="1154"/>
        <w:jc w:val="both"/>
        <w:rPr>
          <w:lang w:val="fr-FR"/>
        </w:rPr>
      </w:pPr>
      <w:r>
        <w:rPr>
          <w:rFonts w:cs="Arial"/>
          <w:lang w:val="fr-FR"/>
        </w:rPr>
        <w:t>de supprimer les Décisions 13.69 et 13.70.</w:t>
      </w:r>
    </w:p>
    <w:p w14:paraId="35B971E7" w14:textId="77777777" w:rsidR="00144A12" w:rsidRDefault="00144A12"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p w14:paraId="6E2A83DA" w14:textId="77777777" w:rsidR="001F75BE" w:rsidRDefault="001F75B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sectPr w:rsidR="001F75BE" w:rsidSect="00467513">
          <w:headerReference w:type="default" r:id="rId25"/>
          <w:headerReference w:type="first" r:id="rId26"/>
          <w:footerReference w:type="first" r:id="rId27"/>
          <w:pgSz w:w="11906" w:h="16838" w:code="9"/>
          <w:pgMar w:top="1003" w:right="1440" w:bottom="1440" w:left="1440" w:header="568" w:footer="720" w:gutter="0"/>
          <w:cols w:space="720"/>
          <w:titlePg/>
          <w:docGrid w:linePitch="360"/>
        </w:sectPr>
      </w:pPr>
    </w:p>
    <w:p w14:paraId="5B5B503D" w14:textId="3C298812" w:rsidR="00C142F8" w:rsidRPr="00C142F8" w:rsidRDefault="00C142F8" w:rsidP="00C142F8">
      <w:pPr>
        <w:spacing w:after="0" w:line="240" w:lineRule="auto"/>
        <w:jc w:val="right"/>
        <w:rPr>
          <w:rFonts w:cs="Arial"/>
          <w:b/>
          <w:bCs/>
          <w:lang w:val="fr-FR"/>
        </w:rPr>
      </w:pPr>
      <w:r w:rsidRPr="00C142F8">
        <w:rPr>
          <w:rFonts w:cs="Arial"/>
          <w:b/>
          <w:bCs/>
          <w:lang w:val="fr-FR"/>
        </w:rPr>
        <w:lastRenderedPageBreak/>
        <w:t>ANNEXE</w:t>
      </w:r>
    </w:p>
    <w:p w14:paraId="1AAA14A4" w14:textId="77777777" w:rsidR="00C142F8" w:rsidRDefault="00C142F8" w:rsidP="00C142F8">
      <w:pPr>
        <w:spacing w:after="0" w:line="240" w:lineRule="auto"/>
        <w:jc w:val="center"/>
        <w:rPr>
          <w:rFonts w:cs="Arial"/>
          <w:lang w:val="fr-FR"/>
        </w:rPr>
      </w:pPr>
    </w:p>
    <w:p w14:paraId="10691446" w14:textId="09E68C68" w:rsidR="00144A12" w:rsidRDefault="00144A12" w:rsidP="00C142F8">
      <w:pPr>
        <w:spacing w:after="0" w:line="240" w:lineRule="auto"/>
        <w:jc w:val="center"/>
        <w:rPr>
          <w:rFonts w:cs="Arial"/>
          <w:lang w:val="fr-FR"/>
        </w:rPr>
      </w:pPr>
      <w:r>
        <w:rPr>
          <w:rFonts w:cs="Arial"/>
          <w:lang w:val="fr-FR"/>
        </w:rPr>
        <w:t>PROJET DE DÉCISION</w:t>
      </w:r>
      <w:r w:rsidR="00C142F8">
        <w:rPr>
          <w:rFonts w:cs="Arial"/>
          <w:lang w:val="fr-FR"/>
        </w:rPr>
        <w:t>S</w:t>
      </w:r>
    </w:p>
    <w:p w14:paraId="49145684" w14:textId="77777777" w:rsidR="00144A12" w:rsidRDefault="00144A12" w:rsidP="00C142F8">
      <w:pPr>
        <w:spacing w:after="0" w:line="240" w:lineRule="auto"/>
        <w:rPr>
          <w:rFonts w:cs="Arial"/>
          <w:lang w:val="fr-FR"/>
        </w:rPr>
      </w:pPr>
    </w:p>
    <w:p w14:paraId="16E682E7" w14:textId="77777777" w:rsidR="00C142F8" w:rsidRPr="00CD0FE9" w:rsidRDefault="00C142F8" w:rsidP="00C142F8">
      <w:pPr>
        <w:spacing w:after="0" w:line="240" w:lineRule="auto"/>
        <w:rPr>
          <w:rFonts w:cs="Arial"/>
          <w:lang w:val="fr-FR"/>
        </w:rPr>
      </w:pPr>
    </w:p>
    <w:p w14:paraId="2C47F513" w14:textId="77777777" w:rsidR="00144A12" w:rsidRDefault="00144A12" w:rsidP="00144A12">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cs="Arial"/>
          <w:b/>
          <w:caps/>
          <w:lang w:val="fr-FR"/>
        </w:rPr>
        <w:t>Tortues marines</w:t>
      </w:r>
    </w:p>
    <w:p w14:paraId="5F919BB0" w14:textId="77777777" w:rsidR="00144A12" w:rsidRDefault="00144A12" w:rsidP="00144A12">
      <w:pPr>
        <w:spacing w:after="0" w:line="240" w:lineRule="auto"/>
        <w:jc w:val="both"/>
        <w:rPr>
          <w:rFonts w:cs="Arial"/>
          <w:lang w:val="fr-FR"/>
        </w:rPr>
      </w:pPr>
    </w:p>
    <w:p w14:paraId="700E9B35" w14:textId="77777777" w:rsidR="00144A12" w:rsidRDefault="00144A12" w:rsidP="00144A12">
      <w:pPr>
        <w:spacing w:after="0" w:line="240" w:lineRule="auto"/>
        <w:jc w:val="both"/>
        <w:rPr>
          <w:rFonts w:cs="Arial"/>
          <w:lang w:val="fr-FR"/>
        </w:rPr>
      </w:pPr>
    </w:p>
    <w:p w14:paraId="7B652C26" w14:textId="612C8C9C" w:rsidR="00144A12" w:rsidRPr="00C142F8" w:rsidDel="00ED4C91" w:rsidRDefault="00144A12" w:rsidP="00144A12">
      <w:pPr>
        <w:pStyle w:val="paragraph"/>
        <w:spacing w:before="0" w:beforeAutospacing="0" w:after="0" w:afterAutospacing="0"/>
        <w:jc w:val="both"/>
        <w:textAlignment w:val="baseline"/>
        <w:rPr>
          <w:rFonts w:ascii="Arial" w:hAnsi="Arial" w:cs="Arial"/>
          <w:sz w:val="22"/>
          <w:szCs w:val="22"/>
          <w:lang w:val="fr-FR"/>
        </w:rPr>
      </w:pPr>
      <w:r w:rsidRPr="00C142F8">
        <w:rPr>
          <w:rStyle w:val="normaltextrun"/>
          <w:rFonts w:ascii="Arial" w:hAnsi="Arial" w:cs="Arial"/>
          <w:b/>
          <w:bCs/>
          <w:i/>
          <w:iCs/>
          <w:sz w:val="22"/>
          <w:szCs w:val="22"/>
          <w:lang w:val="fr-FR"/>
        </w:rPr>
        <w:t xml:space="preserve">Adressée </w:t>
      </w:r>
      <w:r w:rsidR="00C142F8">
        <w:rPr>
          <w:rStyle w:val="normaltextrun"/>
          <w:rFonts w:ascii="Arial" w:hAnsi="Arial" w:cs="Arial"/>
          <w:b/>
          <w:bCs/>
          <w:i/>
          <w:iCs/>
          <w:sz w:val="22"/>
          <w:szCs w:val="22"/>
          <w:lang w:val="fr-FR"/>
        </w:rPr>
        <w:t xml:space="preserve">aux </w:t>
      </w:r>
      <w:r w:rsidRPr="00C142F8">
        <w:rPr>
          <w:rStyle w:val="normaltextrun"/>
          <w:rFonts w:ascii="Arial" w:hAnsi="Arial" w:cs="Arial"/>
          <w:b/>
          <w:bCs/>
          <w:i/>
          <w:iCs/>
          <w:sz w:val="22"/>
          <w:szCs w:val="22"/>
          <w:lang w:val="fr-FR"/>
        </w:rPr>
        <w:t>Parties</w:t>
      </w:r>
    </w:p>
    <w:p w14:paraId="735B9D38" w14:textId="77777777" w:rsidR="00144A12" w:rsidRPr="00C142F8" w:rsidDel="00ED4C91" w:rsidRDefault="00144A12" w:rsidP="00144A12">
      <w:pPr>
        <w:pStyle w:val="paragraph"/>
        <w:spacing w:before="0" w:beforeAutospacing="0" w:after="0" w:afterAutospacing="0"/>
        <w:ind w:left="840" w:hanging="840"/>
        <w:jc w:val="both"/>
        <w:textAlignment w:val="baseline"/>
        <w:rPr>
          <w:rStyle w:val="eop"/>
          <w:rFonts w:ascii="Arial" w:hAnsi="Arial" w:cs="Arial"/>
          <w:sz w:val="22"/>
          <w:szCs w:val="22"/>
          <w:lang w:val="fr-FR"/>
        </w:rPr>
      </w:pPr>
    </w:p>
    <w:p w14:paraId="1CAB7172" w14:textId="1BB0DCAB" w:rsidR="00144A12" w:rsidRPr="00F05E0F" w:rsidDel="00ED4C91" w:rsidRDefault="00144A12" w:rsidP="00144A12">
      <w:pPr>
        <w:pStyle w:val="paragraph"/>
        <w:spacing w:before="0" w:beforeAutospacing="0" w:after="0" w:afterAutospacing="0"/>
        <w:ind w:left="840" w:hanging="840"/>
        <w:jc w:val="both"/>
        <w:textAlignment w:val="baseline"/>
        <w:rPr>
          <w:rFonts w:ascii="Arial" w:hAnsi="Arial" w:cs="Arial"/>
          <w:sz w:val="22"/>
          <w:szCs w:val="22"/>
          <w:lang w:val="fr-FR"/>
        </w:rPr>
      </w:pPr>
      <w:r w:rsidRPr="00C142F8">
        <w:rPr>
          <w:rStyle w:val="normaltextrun"/>
          <w:rFonts w:ascii="Arial" w:hAnsi="Arial" w:cs="Arial"/>
          <w:sz w:val="22"/>
          <w:szCs w:val="22"/>
          <w:lang w:val="fr-FR"/>
        </w:rPr>
        <w:t>14.AA</w:t>
      </w:r>
      <w:r w:rsidRPr="00C142F8">
        <w:rPr>
          <w:rStyle w:val="tabchar"/>
          <w:rFonts w:ascii="Arial" w:hAnsi="Arial" w:cs="Arial"/>
          <w:sz w:val="22"/>
          <w:szCs w:val="22"/>
          <w:lang w:val="fr-FR"/>
        </w:rPr>
        <w:tab/>
      </w:r>
      <w:r w:rsidRPr="00F05E0F">
        <w:rPr>
          <w:rStyle w:val="normaltextrun"/>
          <w:rFonts w:ascii="Arial" w:hAnsi="Arial" w:cs="Arial"/>
          <w:sz w:val="22"/>
          <w:szCs w:val="22"/>
          <w:lang w:val="fr-FR"/>
        </w:rPr>
        <w:t>Les Parties sont priées de fournir un financement au Secrétariat afin d’obtenir l’expertise externe nécessaire à l’élaboration d’un examen de projet et de recommandations pour examen par le Conseil scientifique comme prévu dans la Décision 14.BB.</w:t>
      </w:r>
    </w:p>
    <w:p w14:paraId="782BDEE1" w14:textId="77777777" w:rsidR="00144A12" w:rsidRPr="00C142F8" w:rsidDel="00ED4C91" w:rsidRDefault="00144A12" w:rsidP="00144A12">
      <w:pPr>
        <w:spacing w:after="0" w:line="240" w:lineRule="auto"/>
        <w:jc w:val="both"/>
        <w:rPr>
          <w:rFonts w:cs="Arial"/>
          <w:lang w:val="fr-FR"/>
        </w:rPr>
      </w:pPr>
    </w:p>
    <w:p w14:paraId="46124DFB" w14:textId="77777777" w:rsidR="00144A12" w:rsidRPr="00C142F8" w:rsidRDefault="00144A12" w:rsidP="00144A12">
      <w:pPr>
        <w:spacing w:after="0" w:line="240" w:lineRule="auto"/>
        <w:jc w:val="both"/>
        <w:rPr>
          <w:rFonts w:cs="Arial"/>
          <w:lang w:val="fr-FR"/>
        </w:rPr>
      </w:pPr>
    </w:p>
    <w:p w14:paraId="474673EB" w14:textId="3EE437CA" w:rsidR="00144A12" w:rsidRPr="00C142F8" w:rsidRDefault="00144A12" w:rsidP="00144A12">
      <w:pPr>
        <w:spacing w:after="0" w:line="240" w:lineRule="auto"/>
        <w:jc w:val="both"/>
        <w:rPr>
          <w:rFonts w:cs="Arial"/>
          <w:lang w:val="fr-FR"/>
        </w:rPr>
      </w:pPr>
      <w:r w:rsidRPr="00C142F8">
        <w:rPr>
          <w:rFonts w:cs="Arial"/>
          <w:b/>
          <w:i/>
          <w:lang w:val="fr-FR"/>
        </w:rPr>
        <w:t xml:space="preserve">Adressée </w:t>
      </w:r>
      <w:r w:rsidR="00C142F8">
        <w:rPr>
          <w:rFonts w:cs="Arial"/>
          <w:b/>
          <w:i/>
          <w:lang w:val="fr-FR"/>
        </w:rPr>
        <w:t xml:space="preserve">au </w:t>
      </w:r>
      <w:r w:rsidRPr="00C142F8">
        <w:rPr>
          <w:rFonts w:cs="Arial"/>
          <w:b/>
          <w:i/>
          <w:lang w:val="fr-FR"/>
        </w:rPr>
        <w:t xml:space="preserve">Conseil scientifique </w:t>
      </w:r>
    </w:p>
    <w:p w14:paraId="74D9E120" w14:textId="77777777" w:rsidR="00144A12" w:rsidRPr="00C142F8" w:rsidRDefault="00144A12" w:rsidP="00144A12">
      <w:pPr>
        <w:spacing w:after="0" w:line="240" w:lineRule="auto"/>
        <w:jc w:val="both"/>
        <w:rPr>
          <w:rFonts w:cs="Arial"/>
          <w:lang w:val="fr-FR"/>
        </w:rPr>
      </w:pPr>
    </w:p>
    <w:p w14:paraId="659E71E6" w14:textId="2AFB06DF" w:rsidR="00144A12" w:rsidRPr="00C142F8" w:rsidRDefault="00144A12" w:rsidP="00144A12">
      <w:pPr>
        <w:spacing w:after="0" w:line="240" w:lineRule="auto"/>
        <w:ind w:left="851" w:hanging="851"/>
        <w:jc w:val="both"/>
        <w:rPr>
          <w:rFonts w:cs="Arial"/>
          <w:lang w:val="fr-FR"/>
        </w:rPr>
      </w:pPr>
      <w:r w:rsidRPr="00C142F8">
        <w:rPr>
          <w:rFonts w:cs="Arial"/>
          <w:lang w:val="fr-FR"/>
        </w:rPr>
        <w:t>14.BB</w:t>
      </w:r>
      <w:r w:rsidRPr="00C142F8">
        <w:rPr>
          <w:rFonts w:cs="Arial"/>
          <w:lang w:val="fr-FR"/>
        </w:rPr>
        <w:tab/>
        <w:t xml:space="preserve">Le Conseil scientifique est </w:t>
      </w:r>
      <w:r w:rsidRPr="00137FEE">
        <w:rPr>
          <w:rFonts w:cs="Arial"/>
          <w:lang w:val="fr-FR"/>
        </w:rPr>
        <w:t>prié</w:t>
      </w:r>
      <w:r w:rsidRPr="00C142F8">
        <w:rPr>
          <w:rFonts w:cs="Arial"/>
          <w:lang w:val="fr-FR"/>
        </w:rPr>
        <w:t>, sous réserve de la disponibilité des ressources :</w:t>
      </w:r>
    </w:p>
    <w:p w14:paraId="0A846657" w14:textId="77777777" w:rsidR="00144A12" w:rsidRPr="00C142F8" w:rsidRDefault="00144A12" w:rsidP="00144A12">
      <w:pPr>
        <w:spacing w:after="0" w:line="240" w:lineRule="auto"/>
        <w:ind w:left="720" w:hanging="720"/>
        <w:jc w:val="both"/>
        <w:rPr>
          <w:rFonts w:cs="Arial"/>
          <w:lang w:val="fr-FR"/>
        </w:rPr>
      </w:pPr>
    </w:p>
    <w:p w14:paraId="1456CCA8" w14:textId="7B434FC8" w:rsidR="00144A12" w:rsidRPr="00F05E0F" w:rsidRDefault="00144A12" w:rsidP="00144A12">
      <w:pPr>
        <w:pStyle w:val="ListParagraph"/>
        <w:widowControl w:val="0"/>
        <w:numPr>
          <w:ilvl w:val="0"/>
          <w:numId w:val="6"/>
        </w:numPr>
        <w:autoSpaceDE w:val="0"/>
        <w:autoSpaceDN w:val="0"/>
        <w:adjustRightInd w:val="0"/>
        <w:spacing w:after="0" w:line="240" w:lineRule="auto"/>
        <w:ind w:left="1418" w:hanging="567"/>
        <w:jc w:val="both"/>
        <w:rPr>
          <w:rFonts w:cs="Arial"/>
          <w:lang w:val="fr-FR"/>
        </w:rPr>
      </w:pPr>
      <w:r w:rsidRPr="00F05E0F">
        <w:rPr>
          <w:rFonts w:cs="Arial"/>
          <w:lang w:val="fr-FR"/>
        </w:rPr>
        <w:t>d’examiner, dans la mesure du possible en collaboration avec le Mémorandum d’entente sur la conservation et la gestion des tortues marines et de leurs habitats dans l’Océan Indien et l’Asie du sud-est (</w:t>
      </w:r>
      <w:proofErr w:type="spellStart"/>
      <w:r w:rsidRPr="00F05E0F">
        <w:rPr>
          <w:rFonts w:cs="Arial"/>
          <w:lang w:val="fr-FR"/>
        </w:rPr>
        <w:t>MdE</w:t>
      </w:r>
      <w:proofErr w:type="spellEnd"/>
      <w:r w:rsidRPr="00F05E0F">
        <w:rPr>
          <w:rFonts w:cs="Arial"/>
          <w:lang w:val="fr-FR"/>
        </w:rPr>
        <w:t xml:space="preserve"> Tortues marines de l’IOSEA) et la Convention interaméricaine pour la protection et la conservation des tortues marines, les informations scientifiques pertinentes portant sur la conservation et les menaces pour les tortues marines dans un contexte spécifique aux régions et aux espèces, notamment leur vulnérabilité au changement climatique ; et </w:t>
      </w:r>
    </w:p>
    <w:p w14:paraId="60F61395" w14:textId="77777777" w:rsidR="00144A12" w:rsidRPr="00C142F8" w:rsidRDefault="00144A12" w:rsidP="00144A12">
      <w:pPr>
        <w:pStyle w:val="ListParagraph"/>
        <w:widowControl w:val="0"/>
        <w:autoSpaceDE w:val="0"/>
        <w:autoSpaceDN w:val="0"/>
        <w:adjustRightInd w:val="0"/>
        <w:spacing w:after="0" w:line="240" w:lineRule="auto"/>
        <w:ind w:left="1418"/>
        <w:jc w:val="both"/>
        <w:rPr>
          <w:rFonts w:cs="Arial"/>
          <w:lang w:val="fr-FR"/>
        </w:rPr>
      </w:pPr>
    </w:p>
    <w:p w14:paraId="5B5A3111" w14:textId="760E4516" w:rsidR="00144A12" w:rsidRPr="00F05E0F" w:rsidRDefault="00144A12" w:rsidP="00144A12">
      <w:pPr>
        <w:pStyle w:val="ListParagraph"/>
        <w:widowControl w:val="0"/>
        <w:numPr>
          <w:ilvl w:val="0"/>
          <w:numId w:val="6"/>
        </w:numPr>
        <w:autoSpaceDE w:val="0"/>
        <w:autoSpaceDN w:val="0"/>
        <w:adjustRightInd w:val="0"/>
        <w:spacing w:after="0" w:line="240" w:lineRule="auto"/>
        <w:ind w:left="1418" w:hanging="567"/>
        <w:jc w:val="both"/>
        <w:rPr>
          <w:rFonts w:cs="Arial"/>
          <w:lang w:val="fr-FR"/>
        </w:rPr>
      </w:pPr>
      <w:r w:rsidRPr="00F05E0F">
        <w:rPr>
          <w:rFonts w:cs="Arial"/>
          <w:lang w:val="fr-FR"/>
        </w:rPr>
        <w:t>sur la base de cet examen, d’élaborer de nouvelles recommandations pour la conservation de toutes les espèces de tortues marines figurant aux Annexes I ou II de la Convention, notamment pour la préservation des plages de nidification actuelles et pour l’identification de nouvelles plages de nidification, pour présentation à la 15</w:t>
      </w:r>
      <w:r w:rsidRPr="00F05E0F">
        <w:rPr>
          <w:rFonts w:cs="Arial"/>
          <w:vertAlign w:val="superscript"/>
          <w:lang w:val="fr-FR"/>
        </w:rPr>
        <w:t>e</w:t>
      </w:r>
      <w:r w:rsidRPr="00F05E0F">
        <w:rPr>
          <w:rFonts w:cs="Arial"/>
          <w:lang w:val="fr-FR"/>
        </w:rPr>
        <w:t xml:space="preserve"> réunion de la Conférence des Parties</w:t>
      </w:r>
      <w:r w:rsidR="00F05E0F">
        <w:rPr>
          <w:rFonts w:cs="Arial"/>
          <w:lang w:val="fr-FR"/>
        </w:rPr>
        <w:t>.</w:t>
      </w:r>
    </w:p>
    <w:p w14:paraId="4C2447A9" w14:textId="77777777" w:rsidR="00144A12" w:rsidRDefault="00144A12" w:rsidP="00144A12">
      <w:pPr>
        <w:spacing w:after="0" w:line="240" w:lineRule="auto"/>
        <w:jc w:val="both"/>
        <w:rPr>
          <w:rFonts w:cs="Arial"/>
          <w:b/>
          <w:i/>
          <w:lang w:val="fr-FR"/>
        </w:rPr>
      </w:pPr>
    </w:p>
    <w:p w14:paraId="35BE1DE0" w14:textId="77777777" w:rsidR="00F05E0F" w:rsidRDefault="00F05E0F" w:rsidP="00144A12">
      <w:pPr>
        <w:spacing w:after="0" w:line="240" w:lineRule="auto"/>
        <w:jc w:val="both"/>
        <w:rPr>
          <w:rFonts w:cs="Arial"/>
          <w:b/>
          <w:i/>
          <w:lang w:val="fr-FR"/>
        </w:rPr>
      </w:pPr>
    </w:p>
    <w:p w14:paraId="5D838083" w14:textId="6A496AC2" w:rsidR="00144A12" w:rsidRPr="00CD0FE9" w:rsidRDefault="00144A12" w:rsidP="00144A12">
      <w:pPr>
        <w:spacing w:after="0" w:line="240" w:lineRule="auto"/>
        <w:jc w:val="both"/>
        <w:rPr>
          <w:rFonts w:cs="Arial"/>
          <w:b/>
          <w:i/>
          <w:lang w:val="fr-FR"/>
        </w:rPr>
      </w:pPr>
      <w:r>
        <w:rPr>
          <w:rFonts w:cs="Arial"/>
          <w:b/>
          <w:i/>
          <w:lang w:val="fr-FR"/>
        </w:rPr>
        <w:t xml:space="preserve">Adressée </w:t>
      </w:r>
      <w:r w:rsidR="004F7AC2">
        <w:rPr>
          <w:rFonts w:cs="Arial"/>
          <w:b/>
          <w:i/>
          <w:lang w:val="fr-FR"/>
        </w:rPr>
        <w:t xml:space="preserve">au </w:t>
      </w:r>
      <w:r>
        <w:rPr>
          <w:rFonts w:cs="Arial"/>
          <w:b/>
          <w:i/>
          <w:lang w:val="fr-FR"/>
        </w:rPr>
        <w:t>Secrétariat</w:t>
      </w:r>
    </w:p>
    <w:p w14:paraId="18E60E63" w14:textId="77777777" w:rsidR="00144A12" w:rsidRPr="00CD0FE9" w:rsidRDefault="00144A12" w:rsidP="00144A12">
      <w:pPr>
        <w:spacing w:after="0" w:line="240" w:lineRule="auto"/>
        <w:jc w:val="both"/>
        <w:rPr>
          <w:rFonts w:cs="Arial"/>
          <w:lang w:val="fr-FR"/>
        </w:rPr>
      </w:pPr>
    </w:p>
    <w:p w14:paraId="4CC2BBEA" w14:textId="77777777" w:rsidR="00144A12" w:rsidRPr="0048181E" w:rsidRDefault="00144A12" w:rsidP="00144A12">
      <w:pPr>
        <w:spacing w:after="0" w:line="240" w:lineRule="auto"/>
        <w:ind w:left="851" w:hanging="851"/>
        <w:jc w:val="both"/>
        <w:rPr>
          <w:rFonts w:cs="Arial"/>
          <w:iCs/>
          <w:lang w:val="fr-FR"/>
        </w:rPr>
      </w:pPr>
      <w:r>
        <w:rPr>
          <w:rFonts w:cs="Arial"/>
          <w:lang w:val="fr-FR"/>
        </w:rPr>
        <w:t>14.CC</w:t>
      </w:r>
      <w:r>
        <w:rPr>
          <w:rFonts w:cs="Arial"/>
          <w:lang w:val="fr-FR"/>
        </w:rPr>
        <w:tab/>
        <w:t>Le Secrétariat, sous réserve de la disponibilité de ressources externes :</w:t>
      </w:r>
    </w:p>
    <w:p w14:paraId="65AFD294" w14:textId="77777777" w:rsidR="00144A12" w:rsidRPr="0048181E" w:rsidRDefault="00144A12" w:rsidP="00144A12">
      <w:pPr>
        <w:spacing w:after="0" w:line="240" w:lineRule="auto"/>
        <w:ind w:left="720" w:hanging="720"/>
        <w:jc w:val="both"/>
        <w:rPr>
          <w:rFonts w:cs="Arial"/>
          <w:iCs/>
          <w:lang w:val="fr-FR"/>
        </w:rPr>
      </w:pPr>
    </w:p>
    <w:p w14:paraId="252E580D" w14:textId="77777777" w:rsidR="00144A12" w:rsidRPr="0048181E" w:rsidRDefault="00144A12" w:rsidP="00144A12">
      <w:pPr>
        <w:widowControl w:val="0"/>
        <w:numPr>
          <w:ilvl w:val="0"/>
          <w:numId w:val="5"/>
        </w:numPr>
        <w:autoSpaceDE w:val="0"/>
        <w:autoSpaceDN w:val="0"/>
        <w:adjustRightInd w:val="0"/>
        <w:spacing w:after="0" w:line="240" w:lineRule="auto"/>
        <w:ind w:left="1418" w:hanging="567"/>
        <w:jc w:val="both"/>
        <w:rPr>
          <w:rFonts w:cs="Arial"/>
          <w:lang w:val="fr-FR"/>
        </w:rPr>
      </w:pPr>
      <w:r>
        <w:rPr>
          <w:rFonts w:cs="Arial"/>
          <w:lang w:val="fr-FR"/>
        </w:rPr>
        <w:t>facilite l’examen à entreprendre par le Conseil scientifique en obtenant le financement et l’expertise externe nécessaires à l’élaboration des projets à soumettre à l’examen du Conseil scientifique ; et</w:t>
      </w:r>
    </w:p>
    <w:p w14:paraId="7DF4ADDB" w14:textId="77777777" w:rsidR="00144A12" w:rsidRPr="0048181E" w:rsidRDefault="00144A12" w:rsidP="00144A12">
      <w:pPr>
        <w:spacing w:after="0" w:line="240" w:lineRule="auto"/>
        <w:ind w:left="1418" w:hanging="567"/>
        <w:jc w:val="both"/>
        <w:rPr>
          <w:rFonts w:cs="Arial"/>
          <w:lang w:val="fr-FR"/>
        </w:rPr>
      </w:pPr>
    </w:p>
    <w:p w14:paraId="2EBEA12C" w14:textId="77777777" w:rsidR="00144A12" w:rsidRPr="0048181E" w:rsidRDefault="00144A12" w:rsidP="00144A12">
      <w:pPr>
        <w:widowControl w:val="0"/>
        <w:numPr>
          <w:ilvl w:val="0"/>
          <w:numId w:val="5"/>
        </w:numPr>
        <w:autoSpaceDE w:val="0"/>
        <w:autoSpaceDN w:val="0"/>
        <w:adjustRightInd w:val="0"/>
        <w:spacing w:after="0" w:line="240" w:lineRule="auto"/>
        <w:ind w:left="1418" w:hanging="567"/>
        <w:jc w:val="both"/>
        <w:rPr>
          <w:rFonts w:cs="Arial"/>
          <w:lang w:val="fr-FR"/>
        </w:rPr>
      </w:pPr>
      <w:r>
        <w:rPr>
          <w:rFonts w:cs="Arial"/>
          <w:lang w:val="fr-FR"/>
        </w:rPr>
        <w:t>présente un rapport au Conseil scientifique lors de la 7</w:t>
      </w:r>
      <w:r>
        <w:rPr>
          <w:rFonts w:cs="Arial"/>
          <w:vertAlign w:val="superscript"/>
          <w:lang w:val="fr-FR"/>
        </w:rPr>
        <w:t>e</w:t>
      </w:r>
      <w:r>
        <w:rPr>
          <w:rFonts w:cs="Arial"/>
          <w:lang w:val="fr-FR"/>
        </w:rPr>
        <w:t> réunion de son comité de session sur les progrès réalisés dans la mise en œuvre de la présente décision.</w:t>
      </w:r>
    </w:p>
    <w:p w14:paraId="6239DD23" w14:textId="77777777" w:rsidR="00144A12" w:rsidRPr="0048181E" w:rsidRDefault="00144A12" w:rsidP="00144A12">
      <w:pPr>
        <w:spacing w:after="0" w:line="240" w:lineRule="auto"/>
        <w:jc w:val="both"/>
        <w:rPr>
          <w:rFonts w:cs="Arial"/>
          <w:lang w:val="fr-FR"/>
        </w:rPr>
      </w:pPr>
    </w:p>
    <w:p w14:paraId="26B79C6A" w14:textId="77777777" w:rsidR="00144A12" w:rsidRPr="0023109C" w:rsidRDefault="00144A12"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sectPr w:rsidR="00144A12" w:rsidRPr="0023109C" w:rsidSect="00BA33FE">
      <w:headerReference w:type="even" r:id="rId28"/>
      <w:headerReference w:type="first" r:id="rId29"/>
      <w:pgSz w:w="11906" w:h="16838" w:code="9"/>
      <w:pgMar w:top="851"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FB80" w14:textId="77777777" w:rsidR="006A47DE" w:rsidRDefault="006A47DE" w:rsidP="00EC2A58">
      <w:pPr>
        <w:spacing w:after="0" w:line="240" w:lineRule="auto"/>
      </w:pPr>
      <w:r>
        <w:separator/>
      </w:r>
    </w:p>
  </w:endnote>
  <w:endnote w:type="continuationSeparator" w:id="0">
    <w:p w14:paraId="3893F63D" w14:textId="77777777" w:rsidR="006A47DE" w:rsidRDefault="006A47DE"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36A0F29F" w:rsidR="00EC2A58" w:rsidRPr="00EC2A58" w:rsidRDefault="00EC2A58" w:rsidP="00C142F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612617"/>
      <w:docPartObj>
        <w:docPartGallery w:val="Page Numbers (Bottom of Page)"/>
        <w:docPartUnique/>
      </w:docPartObj>
    </w:sdtPr>
    <w:sdtEndPr>
      <w:rPr>
        <w:noProof/>
      </w:rPr>
    </w:sdtEndPr>
    <w:sdtContent>
      <w:p w14:paraId="6B73E512" w14:textId="1E903B9F" w:rsidR="00C142F8" w:rsidRPr="00C142F8" w:rsidRDefault="00C142F8" w:rsidP="00C142F8">
        <w:pPr>
          <w:pStyle w:val="Footer"/>
          <w:jc w:val="center"/>
          <w:rPr>
            <w:sz w:val="18"/>
            <w:szCs w:val="18"/>
          </w:rPr>
        </w:pPr>
        <w:r w:rsidRPr="00C142F8">
          <w:rPr>
            <w:sz w:val="18"/>
            <w:szCs w:val="18"/>
          </w:rPr>
          <w:fldChar w:fldCharType="begin"/>
        </w:r>
        <w:r w:rsidRPr="00C142F8">
          <w:rPr>
            <w:sz w:val="18"/>
            <w:szCs w:val="18"/>
          </w:rPr>
          <w:instrText xml:space="preserve"> PAGE   \* MERGEFORMAT </w:instrText>
        </w:r>
        <w:r w:rsidRPr="00C142F8">
          <w:rPr>
            <w:sz w:val="18"/>
            <w:szCs w:val="18"/>
          </w:rPr>
          <w:fldChar w:fldCharType="separate"/>
        </w:r>
        <w:r w:rsidRPr="00C142F8">
          <w:rPr>
            <w:noProof/>
            <w:sz w:val="18"/>
            <w:szCs w:val="18"/>
          </w:rPr>
          <w:t>2</w:t>
        </w:r>
        <w:r w:rsidRPr="00C142F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469" w14:textId="77777777" w:rsidR="006A47DE" w:rsidRDefault="006A47DE" w:rsidP="00EC2A58">
      <w:pPr>
        <w:spacing w:after="0" w:line="240" w:lineRule="auto"/>
      </w:pPr>
      <w:r>
        <w:separator/>
      </w:r>
    </w:p>
  </w:footnote>
  <w:footnote w:type="continuationSeparator" w:id="0">
    <w:p w14:paraId="135E6B84" w14:textId="77777777" w:rsidR="006A47DE" w:rsidRDefault="006A47DE" w:rsidP="00EC2A58">
      <w:pPr>
        <w:spacing w:after="0" w:line="240" w:lineRule="auto"/>
      </w:pPr>
      <w:r>
        <w:continuationSeparator/>
      </w:r>
    </w:p>
  </w:footnote>
  <w:footnote w:id="1">
    <w:p w14:paraId="1307F9DA" w14:textId="77777777" w:rsidR="00144A12" w:rsidRPr="00673F55" w:rsidRDefault="00144A12" w:rsidP="00144A12">
      <w:pPr>
        <w:pStyle w:val="FootnoteText"/>
        <w:rPr>
          <w:sz w:val="16"/>
          <w:szCs w:val="16"/>
          <w:lang w:val="fr-FR"/>
        </w:rPr>
      </w:pPr>
      <w:r>
        <w:rPr>
          <w:rStyle w:val="FootnoteReference"/>
          <w:lang w:val="fr-FR"/>
        </w:rPr>
        <w:footnoteRef/>
      </w:r>
      <w:r>
        <w:rPr>
          <w:lang w:val="fr-FR"/>
        </w:rPr>
        <w:t xml:space="preserve"> </w:t>
      </w:r>
      <w:r>
        <w:rPr>
          <w:sz w:val="16"/>
          <w:szCs w:val="16"/>
          <w:lang w:val="fr-FR"/>
        </w:rPr>
        <w:t>Aperçu du statut d’inscription aux annexes de la CMS et du statut sur la liste rouge de l’UICN des tortues marines :</w:t>
      </w:r>
    </w:p>
    <w:tbl>
      <w:tblPr>
        <w:tblStyle w:val="TableGrid"/>
        <w:tblW w:w="0" w:type="auto"/>
        <w:tblInd w:w="562" w:type="dxa"/>
        <w:tblLook w:val="04A0" w:firstRow="1" w:lastRow="0" w:firstColumn="1" w:lastColumn="0" w:noHBand="0" w:noVBand="1"/>
      </w:tblPr>
      <w:tblGrid>
        <w:gridCol w:w="1096"/>
        <w:gridCol w:w="1430"/>
        <w:gridCol w:w="1683"/>
        <w:gridCol w:w="1698"/>
        <w:gridCol w:w="2547"/>
      </w:tblGrid>
      <w:tr w:rsidR="00144A12" w:rsidRPr="00F05E0F" w14:paraId="4707D812" w14:textId="77777777">
        <w:tc>
          <w:tcPr>
            <w:tcW w:w="0" w:type="auto"/>
          </w:tcPr>
          <w:p w14:paraId="3408DB04" w14:textId="77777777" w:rsidR="00144A12" w:rsidRPr="00673F55" w:rsidRDefault="00144A12" w:rsidP="00AC3F13">
            <w:pPr>
              <w:pStyle w:val="FootnoteText"/>
              <w:rPr>
                <w:b/>
                <w:bCs/>
                <w:sz w:val="16"/>
                <w:szCs w:val="16"/>
                <w:lang w:val="fr-FR"/>
              </w:rPr>
            </w:pPr>
            <w:r>
              <w:rPr>
                <w:b/>
                <w:bCs/>
                <w:sz w:val="16"/>
                <w:szCs w:val="16"/>
                <w:lang w:val="fr-FR"/>
              </w:rPr>
              <w:t>Nom commun</w:t>
            </w:r>
          </w:p>
        </w:tc>
        <w:tc>
          <w:tcPr>
            <w:tcW w:w="0" w:type="auto"/>
          </w:tcPr>
          <w:p w14:paraId="52C6F27B" w14:textId="77777777" w:rsidR="00144A12" w:rsidRPr="00673F55" w:rsidRDefault="00144A12" w:rsidP="00AC3F13">
            <w:pPr>
              <w:pStyle w:val="FootnoteText"/>
              <w:rPr>
                <w:b/>
                <w:bCs/>
                <w:sz w:val="16"/>
                <w:szCs w:val="16"/>
                <w:lang w:val="fr-FR"/>
              </w:rPr>
            </w:pPr>
            <w:r>
              <w:rPr>
                <w:b/>
                <w:bCs/>
                <w:sz w:val="16"/>
                <w:szCs w:val="16"/>
                <w:lang w:val="fr-FR"/>
              </w:rPr>
              <w:t>Nom scientifique</w:t>
            </w:r>
          </w:p>
        </w:tc>
        <w:tc>
          <w:tcPr>
            <w:tcW w:w="0" w:type="auto"/>
          </w:tcPr>
          <w:p w14:paraId="35514435" w14:textId="77777777" w:rsidR="00144A12" w:rsidRPr="00673F55" w:rsidRDefault="00144A12" w:rsidP="00AC3F13">
            <w:pPr>
              <w:pStyle w:val="FootnoteText"/>
              <w:rPr>
                <w:b/>
                <w:bCs/>
                <w:sz w:val="16"/>
                <w:szCs w:val="16"/>
                <w:lang w:val="fr-FR"/>
              </w:rPr>
            </w:pPr>
            <w:r>
              <w:rPr>
                <w:b/>
                <w:bCs/>
                <w:sz w:val="16"/>
                <w:szCs w:val="16"/>
                <w:lang w:val="fr-FR"/>
              </w:rPr>
              <w:t>Année d’inscription à l’annexe I</w:t>
            </w:r>
          </w:p>
        </w:tc>
        <w:tc>
          <w:tcPr>
            <w:tcW w:w="0" w:type="auto"/>
          </w:tcPr>
          <w:p w14:paraId="09B271D6" w14:textId="77777777" w:rsidR="00144A12" w:rsidRPr="00673F55" w:rsidRDefault="00144A12" w:rsidP="00AC3F13">
            <w:pPr>
              <w:pStyle w:val="FootnoteText"/>
              <w:rPr>
                <w:b/>
                <w:bCs/>
                <w:sz w:val="16"/>
                <w:szCs w:val="16"/>
                <w:lang w:val="fr-FR"/>
              </w:rPr>
            </w:pPr>
            <w:r>
              <w:rPr>
                <w:b/>
                <w:bCs/>
                <w:sz w:val="16"/>
                <w:szCs w:val="16"/>
                <w:lang w:val="fr-FR"/>
              </w:rPr>
              <w:t>Année d’inscription à l’annexe II</w:t>
            </w:r>
          </w:p>
        </w:tc>
        <w:tc>
          <w:tcPr>
            <w:tcW w:w="0" w:type="auto"/>
          </w:tcPr>
          <w:p w14:paraId="1DC5C449" w14:textId="77777777" w:rsidR="00144A12" w:rsidRPr="00673F55" w:rsidRDefault="00144A12" w:rsidP="00AC3F13">
            <w:pPr>
              <w:pStyle w:val="FootnoteText"/>
              <w:rPr>
                <w:b/>
                <w:bCs/>
                <w:sz w:val="16"/>
                <w:szCs w:val="16"/>
                <w:lang w:val="fr-FR"/>
              </w:rPr>
            </w:pPr>
            <w:r>
              <w:rPr>
                <w:b/>
                <w:bCs/>
                <w:sz w:val="16"/>
                <w:szCs w:val="16"/>
                <w:lang w:val="fr-FR"/>
              </w:rPr>
              <w:t>Statut sur la liste rouge de l’UICN et tendances à l’échelle mondiale</w:t>
            </w:r>
            <w:r>
              <w:rPr>
                <w:b/>
                <w:bCs/>
                <w:sz w:val="16"/>
                <w:szCs w:val="16"/>
                <w:vertAlign w:val="superscript"/>
                <w:lang w:val="fr-FR"/>
              </w:rPr>
              <w:footnoteRef/>
            </w:r>
          </w:p>
        </w:tc>
      </w:tr>
      <w:tr w:rsidR="00144A12" w:rsidRPr="00673F55" w14:paraId="4FEC7A31" w14:textId="77777777">
        <w:tc>
          <w:tcPr>
            <w:tcW w:w="0" w:type="auto"/>
          </w:tcPr>
          <w:p w14:paraId="12F9032F" w14:textId="77777777" w:rsidR="00144A12" w:rsidRPr="00673F55" w:rsidRDefault="00144A12" w:rsidP="00AC3F13">
            <w:pPr>
              <w:pStyle w:val="FootnoteText"/>
              <w:rPr>
                <w:sz w:val="16"/>
                <w:szCs w:val="16"/>
                <w:lang w:val="fr-FR"/>
              </w:rPr>
            </w:pPr>
            <w:r>
              <w:rPr>
                <w:sz w:val="16"/>
                <w:szCs w:val="16"/>
                <w:lang w:val="fr-FR"/>
              </w:rPr>
              <w:t>Tortue verte</w:t>
            </w:r>
          </w:p>
        </w:tc>
        <w:tc>
          <w:tcPr>
            <w:tcW w:w="0" w:type="auto"/>
          </w:tcPr>
          <w:p w14:paraId="75FBD0FA" w14:textId="77777777" w:rsidR="00144A12" w:rsidRPr="00673F55" w:rsidRDefault="00144A12" w:rsidP="00AC3F13">
            <w:pPr>
              <w:pStyle w:val="FootnoteText"/>
              <w:rPr>
                <w:i/>
                <w:iCs/>
                <w:sz w:val="16"/>
                <w:szCs w:val="16"/>
              </w:rPr>
            </w:pPr>
            <w:r>
              <w:rPr>
                <w:i/>
                <w:iCs/>
                <w:sz w:val="16"/>
                <w:szCs w:val="16"/>
              </w:rPr>
              <w:t>Chelonia mydas</w:t>
            </w:r>
          </w:p>
        </w:tc>
        <w:tc>
          <w:tcPr>
            <w:tcW w:w="0" w:type="auto"/>
          </w:tcPr>
          <w:p w14:paraId="588CFBC8" w14:textId="77777777" w:rsidR="00144A12" w:rsidRPr="00673F55" w:rsidRDefault="00144A12" w:rsidP="00AC3F13">
            <w:pPr>
              <w:pStyle w:val="FootnoteText"/>
              <w:rPr>
                <w:sz w:val="16"/>
                <w:szCs w:val="16"/>
              </w:rPr>
            </w:pPr>
            <w:r>
              <w:rPr>
                <w:sz w:val="16"/>
                <w:szCs w:val="16"/>
              </w:rPr>
              <w:t>1979</w:t>
            </w:r>
          </w:p>
        </w:tc>
        <w:tc>
          <w:tcPr>
            <w:tcW w:w="0" w:type="auto"/>
          </w:tcPr>
          <w:p w14:paraId="33A41654" w14:textId="77777777" w:rsidR="00144A12" w:rsidRPr="00673F55" w:rsidRDefault="00144A12" w:rsidP="00AC3F13">
            <w:pPr>
              <w:pStyle w:val="FootnoteText"/>
              <w:rPr>
                <w:sz w:val="16"/>
                <w:szCs w:val="16"/>
              </w:rPr>
            </w:pPr>
            <w:r>
              <w:rPr>
                <w:sz w:val="16"/>
                <w:szCs w:val="16"/>
              </w:rPr>
              <w:t>1979</w:t>
            </w:r>
          </w:p>
        </w:tc>
        <w:tc>
          <w:tcPr>
            <w:tcW w:w="0" w:type="auto"/>
          </w:tcPr>
          <w:p w14:paraId="38F952DB" w14:textId="77777777" w:rsidR="00144A12" w:rsidRPr="00673F55" w:rsidRDefault="00144A12" w:rsidP="00AC3F13">
            <w:pPr>
              <w:pStyle w:val="FootnoteText"/>
              <w:rPr>
                <w:sz w:val="16"/>
                <w:szCs w:val="16"/>
                <w:lang w:val="fr-FR"/>
              </w:rPr>
            </w:pPr>
            <w:r>
              <w:rPr>
                <w:sz w:val="16"/>
                <w:szCs w:val="16"/>
                <w:lang w:val="fr-FR"/>
              </w:rPr>
              <w:t>EN (en baisse)</w:t>
            </w:r>
          </w:p>
        </w:tc>
      </w:tr>
      <w:tr w:rsidR="00144A12" w:rsidRPr="00673F55" w14:paraId="247E48F7" w14:textId="77777777">
        <w:tc>
          <w:tcPr>
            <w:tcW w:w="0" w:type="auto"/>
          </w:tcPr>
          <w:p w14:paraId="3E189373" w14:textId="77777777" w:rsidR="00144A12" w:rsidRPr="00673F55" w:rsidRDefault="00144A12" w:rsidP="00AC3F13">
            <w:pPr>
              <w:pStyle w:val="FootnoteText"/>
              <w:rPr>
                <w:sz w:val="16"/>
                <w:szCs w:val="16"/>
                <w:lang w:val="fr-FR"/>
              </w:rPr>
            </w:pPr>
            <w:r>
              <w:rPr>
                <w:sz w:val="16"/>
                <w:szCs w:val="16"/>
                <w:lang w:val="fr-FR"/>
              </w:rPr>
              <w:t>Tortue caouanne</w:t>
            </w:r>
          </w:p>
        </w:tc>
        <w:tc>
          <w:tcPr>
            <w:tcW w:w="0" w:type="auto"/>
          </w:tcPr>
          <w:p w14:paraId="4FDD80F6" w14:textId="77777777" w:rsidR="00144A12" w:rsidRPr="00673F55" w:rsidRDefault="00144A12" w:rsidP="00AC3F13">
            <w:pPr>
              <w:pStyle w:val="FootnoteText"/>
              <w:rPr>
                <w:i/>
                <w:iCs/>
                <w:sz w:val="16"/>
                <w:szCs w:val="16"/>
              </w:rPr>
            </w:pPr>
            <w:r>
              <w:rPr>
                <w:i/>
                <w:iCs/>
                <w:sz w:val="16"/>
                <w:szCs w:val="16"/>
              </w:rPr>
              <w:t xml:space="preserve">Caretta </w:t>
            </w:r>
            <w:proofErr w:type="spellStart"/>
            <w:r>
              <w:rPr>
                <w:i/>
                <w:iCs/>
                <w:sz w:val="16"/>
                <w:szCs w:val="16"/>
              </w:rPr>
              <w:t>caretta</w:t>
            </w:r>
            <w:proofErr w:type="spellEnd"/>
          </w:p>
        </w:tc>
        <w:tc>
          <w:tcPr>
            <w:tcW w:w="0" w:type="auto"/>
          </w:tcPr>
          <w:p w14:paraId="7FA94391" w14:textId="77777777" w:rsidR="00144A12" w:rsidRPr="00673F55" w:rsidRDefault="00144A12" w:rsidP="00AC3F13">
            <w:pPr>
              <w:pStyle w:val="FootnoteText"/>
              <w:rPr>
                <w:sz w:val="16"/>
                <w:szCs w:val="16"/>
              </w:rPr>
            </w:pPr>
            <w:r>
              <w:rPr>
                <w:sz w:val="16"/>
                <w:szCs w:val="16"/>
              </w:rPr>
              <w:t>1985</w:t>
            </w:r>
          </w:p>
        </w:tc>
        <w:tc>
          <w:tcPr>
            <w:tcW w:w="0" w:type="auto"/>
          </w:tcPr>
          <w:p w14:paraId="1B920897" w14:textId="77777777" w:rsidR="00144A12" w:rsidRPr="00673F55" w:rsidRDefault="00144A12" w:rsidP="00AC3F13">
            <w:pPr>
              <w:pStyle w:val="FootnoteText"/>
              <w:rPr>
                <w:sz w:val="16"/>
                <w:szCs w:val="16"/>
              </w:rPr>
            </w:pPr>
            <w:r>
              <w:rPr>
                <w:sz w:val="16"/>
                <w:szCs w:val="16"/>
              </w:rPr>
              <w:t>1979</w:t>
            </w:r>
          </w:p>
        </w:tc>
        <w:tc>
          <w:tcPr>
            <w:tcW w:w="0" w:type="auto"/>
          </w:tcPr>
          <w:p w14:paraId="4C604685"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668DA2CF" w14:textId="77777777">
        <w:tc>
          <w:tcPr>
            <w:tcW w:w="0" w:type="auto"/>
          </w:tcPr>
          <w:p w14:paraId="1BC1EDBF" w14:textId="77777777" w:rsidR="00144A12" w:rsidRPr="00673F55" w:rsidRDefault="00144A12" w:rsidP="00AC3F13">
            <w:pPr>
              <w:pStyle w:val="FootnoteText"/>
              <w:rPr>
                <w:sz w:val="16"/>
                <w:szCs w:val="16"/>
                <w:lang w:val="fr-FR"/>
              </w:rPr>
            </w:pPr>
            <w:r>
              <w:rPr>
                <w:sz w:val="16"/>
                <w:szCs w:val="16"/>
                <w:lang w:val="fr-FR"/>
              </w:rPr>
              <w:t>Tortue imbriquée</w:t>
            </w:r>
          </w:p>
        </w:tc>
        <w:tc>
          <w:tcPr>
            <w:tcW w:w="0" w:type="auto"/>
          </w:tcPr>
          <w:p w14:paraId="79CA6CD5" w14:textId="77777777" w:rsidR="00144A12" w:rsidRPr="00673F55" w:rsidRDefault="00144A12" w:rsidP="00AC3F13">
            <w:pPr>
              <w:pStyle w:val="FootnoteText"/>
              <w:rPr>
                <w:i/>
                <w:iCs/>
                <w:sz w:val="16"/>
                <w:szCs w:val="16"/>
              </w:rPr>
            </w:pPr>
            <w:r>
              <w:rPr>
                <w:i/>
                <w:iCs/>
                <w:sz w:val="16"/>
                <w:szCs w:val="16"/>
              </w:rPr>
              <w:t>Eretmochelys imbricata</w:t>
            </w:r>
          </w:p>
        </w:tc>
        <w:tc>
          <w:tcPr>
            <w:tcW w:w="0" w:type="auto"/>
          </w:tcPr>
          <w:p w14:paraId="65BE2D46" w14:textId="77777777" w:rsidR="00144A12" w:rsidRPr="00673F55" w:rsidRDefault="00144A12" w:rsidP="00AC3F13">
            <w:pPr>
              <w:pStyle w:val="FootnoteText"/>
              <w:rPr>
                <w:sz w:val="16"/>
                <w:szCs w:val="16"/>
              </w:rPr>
            </w:pPr>
            <w:r>
              <w:rPr>
                <w:sz w:val="16"/>
                <w:szCs w:val="16"/>
              </w:rPr>
              <w:t>1985</w:t>
            </w:r>
          </w:p>
        </w:tc>
        <w:tc>
          <w:tcPr>
            <w:tcW w:w="0" w:type="auto"/>
          </w:tcPr>
          <w:p w14:paraId="4BDBC70C" w14:textId="77777777" w:rsidR="00144A12" w:rsidRPr="00673F55" w:rsidRDefault="00144A12" w:rsidP="00AC3F13">
            <w:pPr>
              <w:pStyle w:val="FootnoteText"/>
              <w:rPr>
                <w:sz w:val="16"/>
                <w:szCs w:val="16"/>
              </w:rPr>
            </w:pPr>
            <w:r>
              <w:rPr>
                <w:sz w:val="16"/>
                <w:szCs w:val="16"/>
              </w:rPr>
              <w:t>1979</w:t>
            </w:r>
          </w:p>
        </w:tc>
        <w:tc>
          <w:tcPr>
            <w:tcW w:w="0" w:type="auto"/>
          </w:tcPr>
          <w:p w14:paraId="496FF16C" w14:textId="77777777" w:rsidR="00144A12" w:rsidRPr="00673F55" w:rsidRDefault="00144A12" w:rsidP="00AC3F13">
            <w:pPr>
              <w:pStyle w:val="FootnoteText"/>
              <w:rPr>
                <w:sz w:val="16"/>
                <w:szCs w:val="16"/>
                <w:lang w:val="fr-FR"/>
              </w:rPr>
            </w:pPr>
            <w:r>
              <w:rPr>
                <w:sz w:val="16"/>
                <w:szCs w:val="16"/>
                <w:lang w:val="fr-FR"/>
              </w:rPr>
              <w:t>CR (en baisse)</w:t>
            </w:r>
          </w:p>
        </w:tc>
      </w:tr>
      <w:tr w:rsidR="00144A12" w:rsidRPr="00673F55" w14:paraId="6DC98E23" w14:textId="77777777">
        <w:tc>
          <w:tcPr>
            <w:tcW w:w="0" w:type="auto"/>
          </w:tcPr>
          <w:p w14:paraId="62ABD296" w14:textId="77777777" w:rsidR="00144A12" w:rsidRPr="00673F55" w:rsidRDefault="00144A12" w:rsidP="00AC3F13">
            <w:pPr>
              <w:pStyle w:val="FootnoteText"/>
              <w:rPr>
                <w:sz w:val="16"/>
                <w:szCs w:val="16"/>
                <w:lang w:val="fr-FR"/>
              </w:rPr>
            </w:pPr>
            <w:r>
              <w:rPr>
                <w:sz w:val="16"/>
                <w:szCs w:val="16"/>
                <w:lang w:val="fr-FR"/>
              </w:rPr>
              <w:t>Tortue de Ridley</w:t>
            </w:r>
          </w:p>
        </w:tc>
        <w:tc>
          <w:tcPr>
            <w:tcW w:w="0" w:type="auto"/>
          </w:tcPr>
          <w:p w14:paraId="74BABA34" w14:textId="77777777" w:rsidR="00144A12" w:rsidRPr="00673F55" w:rsidRDefault="00144A12" w:rsidP="00AC3F13">
            <w:pPr>
              <w:pStyle w:val="FootnoteText"/>
              <w:rPr>
                <w:i/>
                <w:iCs/>
                <w:sz w:val="16"/>
                <w:szCs w:val="16"/>
              </w:rPr>
            </w:pPr>
            <w:proofErr w:type="spellStart"/>
            <w:r>
              <w:rPr>
                <w:i/>
                <w:iCs/>
                <w:sz w:val="16"/>
                <w:szCs w:val="16"/>
              </w:rPr>
              <w:t>Lepidochelys</w:t>
            </w:r>
            <w:proofErr w:type="spellEnd"/>
            <w:r>
              <w:rPr>
                <w:i/>
                <w:iCs/>
                <w:sz w:val="16"/>
                <w:szCs w:val="16"/>
              </w:rPr>
              <w:t xml:space="preserve"> kempii</w:t>
            </w:r>
          </w:p>
        </w:tc>
        <w:tc>
          <w:tcPr>
            <w:tcW w:w="0" w:type="auto"/>
          </w:tcPr>
          <w:p w14:paraId="3A864471" w14:textId="77777777" w:rsidR="00144A12" w:rsidRPr="00673F55" w:rsidRDefault="00144A12" w:rsidP="00AC3F13">
            <w:pPr>
              <w:pStyle w:val="FootnoteText"/>
              <w:rPr>
                <w:sz w:val="16"/>
                <w:szCs w:val="16"/>
              </w:rPr>
            </w:pPr>
            <w:r>
              <w:rPr>
                <w:sz w:val="16"/>
                <w:szCs w:val="16"/>
              </w:rPr>
              <w:t>1979</w:t>
            </w:r>
          </w:p>
        </w:tc>
        <w:tc>
          <w:tcPr>
            <w:tcW w:w="0" w:type="auto"/>
          </w:tcPr>
          <w:p w14:paraId="4BFC7E17" w14:textId="77777777" w:rsidR="00144A12" w:rsidRPr="00673F55" w:rsidRDefault="00144A12" w:rsidP="00AC3F13">
            <w:pPr>
              <w:pStyle w:val="FootnoteText"/>
              <w:rPr>
                <w:sz w:val="16"/>
                <w:szCs w:val="16"/>
              </w:rPr>
            </w:pPr>
            <w:r>
              <w:rPr>
                <w:sz w:val="16"/>
                <w:szCs w:val="16"/>
              </w:rPr>
              <w:t>1979</w:t>
            </w:r>
          </w:p>
        </w:tc>
        <w:tc>
          <w:tcPr>
            <w:tcW w:w="0" w:type="auto"/>
          </w:tcPr>
          <w:p w14:paraId="307E066F" w14:textId="77777777" w:rsidR="00144A12" w:rsidRPr="00673F55" w:rsidRDefault="00144A12" w:rsidP="00AC3F13">
            <w:pPr>
              <w:pStyle w:val="FootnoteText"/>
              <w:rPr>
                <w:sz w:val="16"/>
                <w:szCs w:val="16"/>
                <w:lang w:val="fr-FR"/>
              </w:rPr>
            </w:pPr>
            <w:r>
              <w:rPr>
                <w:sz w:val="16"/>
                <w:szCs w:val="16"/>
                <w:lang w:val="fr-FR"/>
              </w:rPr>
              <w:t>CR (inconnu)</w:t>
            </w:r>
          </w:p>
        </w:tc>
      </w:tr>
      <w:tr w:rsidR="00144A12" w:rsidRPr="00673F55" w14:paraId="4E4AEC74" w14:textId="77777777">
        <w:tc>
          <w:tcPr>
            <w:tcW w:w="0" w:type="auto"/>
          </w:tcPr>
          <w:p w14:paraId="685ECF4C" w14:textId="77777777" w:rsidR="00144A12" w:rsidRPr="00673F55" w:rsidRDefault="00144A12" w:rsidP="00AC3F13">
            <w:pPr>
              <w:pStyle w:val="FootnoteText"/>
              <w:rPr>
                <w:sz w:val="16"/>
                <w:szCs w:val="16"/>
                <w:lang w:val="fr-FR"/>
              </w:rPr>
            </w:pPr>
            <w:r>
              <w:rPr>
                <w:sz w:val="16"/>
                <w:szCs w:val="16"/>
                <w:lang w:val="fr-FR"/>
              </w:rPr>
              <w:t>Tortue bâtarde</w:t>
            </w:r>
          </w:p>
        </w:tc>
        <w:tc>
          <w:tcPr>
            <w:tcW w:w="0" w:type="auto"/>
          </w:tcPr>
          <w:p w14:paraId="184376BF" w14:textId="77777777" w:rsidR="00144A12" w:rsidRPr="00673F55" w:rsidRDefault="00144A12" w:rsidP="00AC3F13">
            <w:pPr>
              <w:pStyle w:val="FootnoteText"/>
              <w:rPr>
                <w:i/>
                <w:iCs/>
                <w:sz w:val="16"/>
                <w:szCs w:val="16"/>
              </w:rPr>
            </w:pPr>
            <w:proofErr w:type="spellStart"/>
            <w:r>
              <w:rPr>
                <w:i/>
                <w:iCs/>
                <w:sz w:val="16"/>
                <w:szCs w:val="16"/>
              </w:rPr>
              <w:t>Lepidochelys</w:t>
            </w:r>
            <w:proofErr w:type="spellEnd"/>
            <w:r>
              <w:rPr>
                <w:i/>
                <w:iCs/>
                <w:sz w:val="16"/>
                <w:szCs w:val="16"/>
              </w:rPr>
              <w:t xml:space="preserve"> olivacea</w:t>
            </w:r>
          </w:p>
        </w:tc>
        <w:tc>
          <w:tcPr>
            <w:tcW w:w="0" w:type="auto"/>
          </w:tcPr>
          <w:p w14:paraId="6F2F3295" w14:textId="77777777" w:rsidR="00144A12" w:rsidRPr="00673F55" w:rsidRDefault="00144A12" w:rsidP="00AC3F13">
            <w:pPr>
              <w:pStyle w:val="FootnoteText"/>
              <w:rPr>
                <w:sz w:val="16"/>
                <w:szCs w:val="16"/>
              </w:rPr>
            </w:pPr>
            <w:r>
              <w:rPr>
                <w:sz w:val="16"/>
                <w:szCs w:val="16"/>
              </w:rPr>
              <w:t>1985</w:t>
            </w:r>
          </w:p>
        </w:tc>
        <w:tc>
          <w:tcPr>
            <w:tcW w:w="0" w:type="auto"/>
          </w:tcPr>
          <w:p w14:paraId="00B47CFD" w14:textId="77777777" w:rsidR="00144A12" w:rsidRPr="00673F55" w:rsidRDefault="00144A12" w:rsidP="00AC3F13">
            <w:pPr>
              <w:pStyle w:val="FootnoteText"/>
              <w:rPr>
                <w:sz w:val="16"/>
                <w:szCs w:val="16"/>
              </w:rPr>
            </w:pPr>
            <w:r>
              <w:rPr>
                <w:sz w:val="16"/>
                <w:szCs w:val="16"/>
              </w:rPr>
              <w:t>1979</w:t>
            </w:r>
          </w:p>
        </w:tc>
        <w:tc>
          <w:tcPr>
            <w:tcW w:w="0" w:type="auto"/>
          </w:tcPr>
          <w:p w14:paraId="272B96F5"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61DBFE44" w14:textId="77777777">
        <w:tc>
          <w:tcPr>
            <w:tcW w:w="0" w:type="auto"/>
          </w:tcPr>
          <w:p w14:paraId="2B5DED01" w14:textId="77777777" w:rsidR="00144A12" w:rsidRPr="00673F55" w:rsidRDefault="00144A12" w:rsidP="00AC3F13">
            <w:pPr>
              <w:pStyle w:val="FootnoteText"/>
              <w:rPr>
                <w:sz w:val="16"/>
                <w:szCs w:val="16"/>
                <w:lang w:val="fr-FR"/>
              </w:rPr>
            </w:pPr>
            <w:r>
              <w:rPr>
                <w:sz w:val="16"/>
                <w:szCs w:val="16"/>
                <w:lang w:val="fr-FR"/>
              </w:rPr>
              <w:t>Tortue luth</w:t>
            </w:r>
          </w:p>
        </w:tc>
        <w:tc>
          <w:tcPr>
            <w:tcW w:w="0" w:type="auto"/>
          </w:tcPr>
          <w:p w14:paraId="4D5A0CD7" w14:textId="77777777" w:rsidR="00144A12" w:rsidRPr="00673F55" w:rsidRDefault="00144A12" w:rsidP="00AC3F13">
            <w:pPr>
              <w:pStyle w:val="FootnoteText"/>
              <w:rPr>
                <w:i/>
                <w:iCs/>
                <w:sz w:val="16"/>
                <w:szCs w:val="16"/>
              </w:rPr>
            </w:pPr>
            <w:r>
              <w:rPr>
                <w:i/>
                <w:iCs/>
                <w:sz w:val="16"/>
                <w:szCs w:val="16"/>
              </w:rPr>
              <w:t>Dermochelys coriacea</w:t>
            </w:r>
          </w:p>
        </w:tc>
        <w:tc>
          <w:tcPr>
            <w:tcW w:w="0" w:type="auto"/>
          </w:tcPr>
          <w:p w14:paraId="12AB66E8" w14:textId="77777777" w:rsidR="00144A12" w:rsidRPr="00673F55" w:rsidRDefault="00144A12" w:rsidP="00AC3F13">
            <w:pPr>
              <w:pStyle w:val="FootnoteText"/>
              <w:rPr>
                <w:sz w:val="16"/>
                <w:szCs w:val="16"/>
              </w:rPr>
            </w:pPr>
            <w:r>
              <w:rPr>
                <w:sz w:val="16"/>
                <w:szCs w:val="16"/>
              </w:rPr>
              <w:t>1979</w:t>
            </w:r>
          </w:p>
        </w:tc>
        <w:tc>
          <w:tcPr>
            <w:tcW w:w="0" w:type="auto"/>
          </w:tcPr>
          <w:p w14:paraId="54977ABE" w14:textId="77777777" w:rsidR="00144A12" w:rsidRPr="00673F55" w:rsidRDefault="00144A12" w:rsidP="00AC3F13">
            <w:pPr>
              <w:pStyle w:val="FootnoteText"/>
              <w:rPr>
                <w:sz w:val="16"/>
                <w:szCs w:val="16"/>
              </w:rPr>
            </w:pPr>
            <w:r>
              <w:rPr>
                <w:sz w:val="16"/>
                <w:szCs w:val="16"/>
              </w:rPr>
              <w:t>1979</w:t>
            </w:r>
          </w:p>
        </w:tc>
        <w:tc>
          <w:tcPr>
            <w:tcW w:w="0" w:type="auto"/>
          </w:tcPr>
          <w:p w14:paraId="524CA829"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7B4B9F39" w14:textId="77777777">
        <w:tc>
          <w:tcPr>
            <w:tcW w:w="0" w:type="auto"/>
          </w:tcPr>
          <w:p w14:paraId="4FB65A95" w14:textId="77777777" w:rsidR="00144A12" w:rsidRPr="00673F55" w:rsidRDefault="00144A12" w:rsidP="00AC3F13">
            <w:pPr>
              <w:pStyle w:val="FootnoteText"/>
              <w:rPr>
                <w:sz w:val="16"/>
                <w:szCs w:val="16"/>
                <w:lang w:val="fr-FR"/>
              </w:rPr>
            </w:pPr>
            <w:r>
              <w:rPr>
                <w:sz w:val="16"/>
                <w:szCs w:val="16"/>
                <w:lang w:val="fr-FR"/>
              </w:rPr>
              <w:t>Tortue à dos plat</w:t>
            </w:r>
          </w:p>
        </w:tc>
        <w:tc>
          <w:tcPr>
            <w:tcW w:w="0" w:type="auto"/>
          </w:tcPr>
          <w:p w14:paraId="21BDE4D7" w14:textId="77777777" w:rsidR="00144A12" w:rsidRPr="00673F55" w:rsidRDefault="00144A12" w:rsidP="00AC3F13">
            <w:pPr>
              <w:pStyle w:val="FootnoteText"/>
              <w:rPr>
                <w:i/>
                <w:iCs/>
                <w:sz w:val="16"/>
                <w:szCs w:val="16"/>
              </w:rPr>
            </w:pPr>
            <w:r>
              <w:rPr>
                <w:i/>
                <w:iCs/>
                <w:sz w:val="16"/>
                <w:szCs w:val="16"/>
              </w:rPr>
              <w:t xml:space="preserve">Natator </w:t>
            </w:r>
            <w:proofErr w:type="spellStart"/>
            <w:r>
              <w:rPr>
                <w:i/>
                <w:iCs/>
                <w:sz w:val="16"/>
                <w:szCs w:val="16"/>
              </w:rPr>
              <w:t>depressus</w:t>
            </w:r>
            <w:proofErr w:type="spellEnd"/>
          </w:p>
        </w:tc>
        <w:tc>
          <w:tcPr>
            <w:tcW w:w="0" w:type="auto"/>
          </w:tcPr>
          <w:p w14:paraId="0D00D65D" w14:textId="77777777" w:rsidR="00144A12" w:rsidRPr="00673F55" w:rsidRDefault="00144A12" w:rsidP="00AC3F13">
            <w:pPr>
              <w:pStyle w:val="FootnoteText"/>
              <w:rPr>
                <w:sz w:val="16"/>
                <w:szCs w:val="16"/>
              </w:rPr>
            </w:pPr>
            <w:r>
              <w:rPr>
                <w:sz w:val="16"/>
                <w:szCs w:val="16"/>
              </w:rPr>
              <w:t>-</w:t>
            </w:r>
          </w:p>
        </w:tc>
        <w:tc>
          <w:tcPr>
            <w:tcW w:w="0" w:type="auto"/>
          </w:tcPr>
          <w:p w14:paraId="742C617C" w14:textId="77777777" w:rsidR="00144A12" w:rsidRPr="00673F55" w:rsidRDefault="00144A12" w:rsidP="00AC3F13">
            <w:pPr>
              <w:pStyle w:val="FootnoteText"/>
              <w:rPr>
                <w:sz w:val="16"/>
                <w:szCs w:val="16"/>
              </w:rPr>
            </w:pPr>
            <w:r>
              <w:rPr>
                <w:sz w:val="16"/>
                <w:szCs w:val="16"/>
              </w:rPr>
              <w:t>1979</w:t>
            </w:r>
          </w:p>
        </w:tc>
        <w:tc>
          <w:tcPr>
            <w:tcW w:w="0" w:type="auto"/>
          </w:tcPr>
          <w:p w14:paraId="65A4B89F" w14:textId="77777777" w:rsidR="00144A12" w:rsidRPr="00673F55" w:rsidRDefault="00144A12" w:rsidP="00AC3F13">
            <w:pPr>
              <w:pStyle w:val="FootnoteText"/>
              <w:rPr>
                <w:sz w:val="16"/>
                <w:szCs w:val="16"/>
              </w:rPr>
            </w:pPr>
            <w:r>
              <w:rPr>
                <w:sz w:val="16"/>
                <w:szCs w:val="16"/>
              </w:rPr>
              <w:t>DD</w:t>
            </w:r>
          </w:p>
        </w:tc>
      </w:tr>
    </w:tbl>
    <w:p w14:paraId="1F284A64" w14:textId="77777777" w:rsidR="00144A12" w:rsidRPr="00AC3F13" w:rsidRDefault="00144A12" w:rsidP="00144A12">
      <w:pPr>
        <w:pStyle w:val="FootnoteText"/>
        <w:ind w:left="397" w:firstLine="397"/>
        <w:rPr>
          <w:lang w:val="fr-FR"/>
        </w:rPr>
      </w:pPr>
      <w:r>
        <w:rPr>
          <w:sz w:val="16"/>
          <w:szCs w:val="16"/>
          <w:lang w:val="fr-FR"/>
        </w:rPr>
        <w:t>EN = En danger ; VU = Vulnérable ; CR = En danger critique ; DD = Données insuffisantes</w:t>
      </w:r>
    </w:p>
  </w:footnote>
  <w:footnote w:id="2">
    <w:p w14:paraId="67BA9B65" w14:textId="77777777" w:rsidR="00144A12" w:rsidRPr="00C142F8" w:rsidRDefault="00144A12" w:rsidP="00144A12">
      <w:pPr>
        <w:pStyle w:val="FootnoteText"/>
        <w:rPr>
          <w:sz w:val="16"/>
          <w:szCs w:val="16"/>
          <w:lang w:val="fr-FR"/>
        </w:rPr>
      </w:pPr>
      <w:r w:rsidRPr="00C142F8">
        <w:rPr>
          <w:rStyle w:val="FootnoteReference"/>
          <w:sz w:val="16"/>
          <w:szCs w:val="16"/>
          <w:lang w:val="fr-FR"/>
        </w:rPr>
        <w:footnoteRef/>
      </w:r>
      <w:r w:rsidRPr="00C142F8">
        <w:rPr>
          <w:sz w:val="16"/>
          <w:szCs w:val="16"/>
          <w:lang w:val="en-US"/>
        </w:rPr>
        <w:t xml:space="preserve"> Wallace et al. (2010). Regional Management Units for Marine Turtles: A Novel Framework for Prioritizing Conservation and Research across Multiple Scales. </w:t>
      </w:r>
      <w:r w:rsidRPr="00C142F8">
        <w:rPr>
          <w:sz w:val="16"/>
          <w:szCs w:val="16"/>
          <w:lang w:val="fr-FR"/>
        </w:rPr>
        <w:t>PLOS ONE 5(12): e15465.</w:t>
      </w:r>
      <w:hyperlink r:id="rId1" w:history="1">
        <w:r w:rsidRPr="00C142F8">
          <w:rPr>
            <w:rStyle w:val="Hyperlink"/>
            <w:sz w:val="16"/>
            <w:szCs w:val="16"/>
            <w:lang w:val="fr-FR"/>
          </w:rPr>
          <w:t>https://doi.org/10.1371/journal.pone.0015465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0EC7B06" w:rsidR="00EC2A58" w:rsidRPr="00137FEE"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40FD3335" w:rsidR="00EC2A58" w:rsidRPr="00EC2A58"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F18" w14:textId="2F286945" w:rsidR="00467513" w:rsidRPr="00137FEE" w:rsidRDefault="00467513"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46705006"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667D7E">
      <w:rPr>
        <w:rFonts w:cs="Arial"/>
        <w:i/>
        <w:sz w:val="18"/>
        <w:szCs w:val="18"/>
        <w:lang w:val="de-DE"/>
      </w:rPr>
      <w:t>27.6.1</w:t>
    </w:r>
    <w:r w:rsidR="00137FEE">
      <w:rPr>
        <w:rFonts w:cs="Arial"/>
        <w:i/>
        <w:sz w:val="18"/>
        <w:szCs w:val="18"/>
        <w:lang w:val="de-DE"/>
      </w:rPr>
      <w:t>/Rev.1</w:t>
    </w:r>
  </w:p>
  <w:p w14:paraId="2265E9D1" w14:textId="77777777" w:rsidR="0023109C" w:rsidRPr="00137FEE" w:rsidRDefault="002310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28F7" w14:textId="1D6FFE3C" w:rsidR="00667D7E" w:rsidRPr="00EC2A58"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r>
      <w:rPr>
        <w:rFonts w:cs="Arial"/>
        <w:i/>
        <w:sz w:val="18"/>
        <w:szCs w:val="18"/>
        <w:lang w:val="de-DE"/>
      </w:rPr>
      <w:t>Annexe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80AB" w14:textId="4F2075CD" w:rsidR="00C142F8" w:rsidRPr="00661875" w:rsidRDefault="00667D7E" w:rsidP="00F4434F">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r w:rsidR="00C142F8">
      <w:rPr>
        <w:rFonts w:cs="Arial"/>
        <w:i/>
        <w:sz w:val="18"/>
        <w:szCs w:val="18"/>
        <w:lang w:val="de-DE"/>
      </w:rPr>
      <w:t>Annexe</w:t>
    </w:r>
  </w:p>
  <w:p w14:paraId="5B9B08DF" w14:textId="77777777" w:rsidR="00C142F8" w:rsidRDefault="00C14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148"/>
    <w:multiLevelType w:val="hybridMultilevel"/>
    <w:tmpl w:val="D938C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F48E4"/>
    <w:multiLevelType w:val="hybridMultilevel"/>
    <w:tmpl w:val="F936289A"/>
    <w:lvl w:ilvl="0" w:tplc="893A11C2">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1C5114F"/>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6FFE4138"/>
    <w:multiLevelType w:val="hybridMultilevel"/>
    <w:tmpl w:val="69F452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38902923">
    <w:abstractNumId w:val="3"/>
  </w:num>
  <w:num w:numId="2" w16cid:durableId="919287804">
    <w:abstractNumId w:val="5"/>
  </w:num>
  <w:num w:numId="3" w16cid:durableId="2067293072">
    <w:abstractNumId w:val="4"/>
  </w:num>
  <w:num w:numId="4" w16cid:durableId="477845541">
    <w:abstractNumId w:val="1"/>
  </w:num>
  <w:num w:numId="5" w16cid:durableId="1433282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8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37FEE"/>
    <w:rsid w:val="00144A12"/>
    <w:rsid w:val="001F75BE"/>
    <w:rsid w:val="0023109C"/>
    <w:rsid w:val="003831DB"/>
    <w:rsid w:val="003D6F53"/>
    <w:rsid w:val="004465FF"/>
    <w:rsid w:val="00467513"/>
    <w:rsid w:val="004F7AC2"/>
    <w:rsid w:val="005330F7"/>
    <w:rsid w:val="00563598"/>
    <w:rsid w:val="005D1E01"/>
    <w:rsid w:val="00667D7E"/>
    <w:rsid w:val="006A47DE"/>
    <w:rsid w:val="007230FC"/>
    <w:rsid w:val="00772490"/>
    <w:rsid w:val="007B6320"/>
    <w:rsid w:val="00870459"/>
    <w:rsid w:val="00871276"/>
    <w:rsid w:val="00896FBB"/>
    <w:rsid w:val="00B42FA4"/>
    <w:rsid w:val="00BA33FE"/>
    <w:rsid w:val="00C142F8"/>
    <w:rsid w:val="00C433CD"/>
    <w:rsid w:val="00CA436E"/>
    <w:rsid w:val="00E65072"/>
    <w:rsid w:val="00EC2A58"/>
    <w:rsid w:val="00F055E9"/>
    <w:rsid w:val="00F05E0F"/>
    <w:rsid w:val="00F4434F"/>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34"/>
    <w:rsid w:val="00144A12"/>
  </w:style>
  <w:style w:type="paragraph" w:customStyle="1" w:styleId="Title1">
    <w:name w:val="Title1"/>
    <w:basedOn w:val="Normal"/>
    <w:link w:val="TITLEChar"/>
    <w:qFormat/>
    <w:rsid w:val="00144A1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144A12"/>
    <w:rPr>
      <w:rFonts w:eastAsia="Times New Roman" w:cs="Arial"/>
      <w:b/>
      <w:caps/>
      <w:lang w:val="en-GB"/>
    </w:rPr>
  </w:style>
  <w:style w:type="character" w:styleId="Hyperlink">
    <w:name w:val="Hyperlink"/>
    <w:basedOn w:val="DefaultParagraphFont"/>
    <w:uiPriority w:val="99"/>
    <w:unhideWhenUsed/>
    <w:rsid w:val="00144A12"/>
    <w:rPr>
      <w:color w:val="0563C1" w:themeColor="hyperlink"/>
      <w:u w:val="single"/>
    </w:rPr>
  </w:style>
  <w:style w:type="table" w:styleId="TableGrid">
    <w:name w:val="Table Grid"/>
    <w:basedOn w:val="TableNormal"/>
    <w:uiPriority w:val="39"/>
    <w:rsid w:val="0014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4A1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44A12"/>
    <w:rPr>
      <w:sz w:val="20"/>
      <w:szCs w:val="20"/>
      <w:lang w:val="en-GB"/>
    </w:rPr>
  </w:style>
  <w:style w:type="character" w:styleId="FootnoteReference">
    <w:name w:val="footnote reference"/>
    <w:basedOn w:val="DefaultParagraphFont"/>
    <w:uiPriority w:val="99"/>
    <w:semiHidden/>
    <w:unhideWhenUsed/>
    <w:rsid w:val="00144A12"/>
    <w:rPr>
      <w:vertAlign w:val="superscript"/>
    </w:rPr>
  </w:style>
  <w:style w:type="paragraph" w:customStyle="1" w:styleId="Secondnumbering">
    <w:name w:val="Second numbering"/>
    <w:basedOn w:val="Normal"/>
    <w:link w:val="SecondnumberingChar"/>
    <w:qFormat/>
    <w:rsid w:val="00144A12"/>
    <w:pPr>
      <w:numPr>
        <w:numId w:val="4"/>
      </w:numPr>
      <w:spacing w:after="0" w:line="240" w:lineRule="auto"/>
    </w:pPr>
    <w:rPr>
      <w:lang w:val="en-GB"/>
    </w:rPr>
  </w:style>
  <w:style w:type="character" w:customStyle="1" w:styleId="SecondnumberingChar">
    <w:name w:val="Second numbering Char"/>
    <w:basedOn w:val="DefaultParagraphFont"/>
    <w:link w:val="Secondnumbering"/>
    <w:rsid w:val="00144A12"/>
    <w:rPr>
      <w:lang w:val="en-GB"/>
    </w:rPr>
  </w:style>
  <w:style w:type="paragraph" w:customStyle="1" w:styleId="paragraph">
    <w:name w:val="paragraph"/>
    <w:basedOn w:val="Normal"/>
    <w:rsid w:val="00144A12"/>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44A12"/>
  </w:style>
  <w:style w:type="character" w:customStyle="1" w:styleId="eop">
    <w:name w:val="eop"/>
    <w:basedOn w:val="DefaultParagraphFont"/>
    <w:rsid w:val="00144A12"/>
  </w:style>
  <w:style w:type="character" w:customStyle="1" w:styleId="tabchar">
    <w:name w:val="tabchar"/>
    <w:basedOn w:val="DefaultParagraphFont"/>
    <w:rsid w:val="00144A12"/>
  </w:style>
  <w:style w:type="character" w:styleId="FollowedHyperlink">
    <w:name w:val="FollowedHyperlink"/>
    <w:basedOn w:val="DefaultParagraphFont"/>
    <w:uiPriority w:val="99"/>
    <w:semiHidden/>
    <w:unhideWhenUsed/>
    <w:rsid w:val="00C142F8"/>
    <w:rPr>
      <w:color w:val="954F72" w:themeColor="followedHyperlink"/>
      <w:u w:val="single"/>
    </w:rPr>
  </w:style>
  <w:style w:type="character" w:styleId="CommentReference">
    <w:name w:val="annotation reference"/>
    <w:basedOn w:val="DefaultParagraphFont"/>
    <w:uiPriority w:val="99"/>
    <w:semiHidden/>
    <w:unhideWhenUsed/>
    <w:rsid w:val="001F75BE"/>
    <w:rPr>
      <w:sz w:val="16"/>
      <w:szCs w:val="16"/>
    </w:rPr>
  </w:style>
  <w:style w:type="paragraph" w:styleId="CommentText">
    <w:name w:val="annotation text"/>
    <w:basedOn w:val="Normal"/>
    <w:link w:val="CommentTextChar"/>
    <w:uiPriority w:val="99"/>
    <w:unhideWhenUsed/>
    <w:rsid w:val="001F75BE"/>
    <w:pPr>
      <w:spacing w:line="240" w:lineRule="auto"/>
    </w:pPr>
    <w:rPr>
      <w:sz w:val="20"/>
      <w:szCs w:val="20"/>
    </w:rPr>
  </w:style>
  <w:style w:type="character" w:customStyle="1" w:styleId="CommentTextChar">
    <w:name w:val="Comment Text Char"/>
    <w:basedOn w:val="DefaultParagraphFont"/>
    <w:link w:val="CommentText"/>
    <w:uiPriority w:val="99"/>
    <w:rsid w:val="001F75BE"/>
    <w:rPr>
      <w:sz w:val="20"/>
      <w:szCs w:val="20"/>
    </w:rPr>
  </w:style>
  <w:style w:type="paragraph" w:styleId="CommentSubject">
    <w:name w:val="annotation subject"/>
    <w:basedOn w:val="CommentText"/>
    <w:next w:val="CommentText"/>
    <w:link w:val="CommentSubjectChar"/>
    <w:uiPriority w:val="99"/>
    <w:semiHidden/>
    <w:unhideWhenUsed/>
    <w:rsid w:val="001F75BE"/>
    <w:rPr>
      <w:b/>
      <w:bCs/>
    </w:rPr>
  </w:style>
  <w:style w:type="character" w:customStyle="1" w:styleId="CommentSubjectChar">
    <w:name w:val="Comment Subject Char"/>
    <w:basedOn w:val="CommentTextChar"/>
    <w:link w:val="CommentSubject"/>
    <w:uiPriority w:val="99"/>
    <w:semiHidden/>
    <w:rsid w:val="001F7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iosea-turtles/fr/"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ms.int/en/document/single-species-action-plan-hawksbill-turtle-eretmochelys-imbricata-south-east-asia-an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atlantic-turtles/en/legalinstrument/atlantic-turtles-mo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node/23463"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bycatch-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technical-mitigation-reduce-marine-mammal-bycatch-and-entanglement-commercial-fishing-gear"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fr/node/715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single-species-action-plan-hawksbill-turtle-eretmochelys-imbricata-south-east-asia-and-0"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71/journal.pone.001546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CBDB-AB98-4EB3-A3A5-364868991A28}">
  <ds:schemaRefs>
    <ds:schemaRef ds:uri="http://purl.org/dc/elements/1.1/"/>
    <ds:schemaRef ds:uri="http://schemas.microsoft.com/office/2006/metadata/properties"/>
    <ds:schemaRef ds:uri="a7b50396-0b06-45c1-b28e-46f86d566a10"/>
    <ds:schemaRef ds:uri="http://schemas.microsoft.com/office/2006/documentManagement/types"/>
    <ds:schemaRef ds:uri="985ec44e-1bab-4c0b-9df0-6ba128686fc9"/>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15478a5-0be8-4f5d-8383-b307d5ba8bf6"/>
  </ds:schemaRefs>
</ds:datastoreItem>
</file>

<file path=customXml/itemProps2.xml><?xml version="1.0" encoding="utf-8"?>
<ds:datastoreItem xmlns:ds="http://schemas.openxmlformats.org/officeDocument/2006/customXml" ds:itemID="{03A0E046-1E58-4663-8531-CD1B81F6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2023-11-20T11:14:00Z</dcterms:created>
  <dcterms:modified xsi:type="dcterms:W3CDTF">2023-11-20T11:14:00Z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