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EE39FF"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15E5C5F4" w:rsidR="00002A97" w:rsidRPr="00EE39FF"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EE39FF">
              <w:rPr>
                <w:rFonts w:eastAsia="Times New Roman" w:cs="Arial"/>
                <w:szCs w:val="24"/>
                <w:lang w:eastAsia="es-ES"/>
              </w:rPr>
              <w:t>UNEP/CMS/COP1</w:t>
            </w:r>
            <w:r w:rsidR="000F4BDA" w:rsidRPr="00EE39FF">
              <w:rPr>
                <w:rFonts w:eastAsia="Times New Roman" w:cs="Arial"/>
                <w:szCs w:val="24"/>
                <w:lang w:eastAsia="es-ES"/>
              </w:rPr>
              <w:t>4</w:t>
            </w:r>
            <w:r w:rsidRPr="00EE39FF">
              <w:rPr>
                <w:rFonts w:eastAsia="Times New Roman" w:cs="Arial"/>
                <w:szCs w:val="24"/>
                <w:lang w:eastAsia="es-ES"/>
              </w:rPr>
              <w:t>/</w:t>
            </w:r>
            <w:r w:rsidR="00800CB3" w:rsidRPr="00EE39FF">
              <w:rPr>
                <w:rFonts w:eastAsia="Times New Roman" w:cs="Arial"/>
                <w:szCs w:val="24"/>
                <w:lang w:eastAsia="es-ES"/>
              </w:rPr>
              <w:t>Doc</w:t>
            </w:r>
            <w:r w:rsidR="001B4E98" w:rsidRPr="00EE39FF">
              <w:rPr>
                <w:rFonts w:eastAsia="Times New Roman" w:cs="Arial"/>
                <w:szCs w:val="24"/>
                <w:lang w:eastAsia="es-ES"/>
              </w:rPr>
              <w:t>.27.4.2</w:t>
            </w:r>
            <w:r w:rsidR="00EE39FF" w:rsidRPr="00EE39FF">
              <w:rPr>
                <w:rFonts w:eastAsia="Times New Roman" w:cs="Arial"/>
                <w:szCs w:val="24"/>
                <w:lang w:eastAsia="es-ES"/>
              </w:rPr>
              <w:t>/Rev</w:t>
            </w:r>
            <w:r w:rsidR="00EE39FF">
              <w:rPr>
                <w:rFonts w:eastAsia="Times New Roman" w:cs="Arial"/>
                <w:szCs w:val="24"/>
                <w:lang w:eastAsia="es-ES"/>
              </w:rPr>
              <w:t>.1</w:t>
            </w:r>
          </w:p>
          <w:p w14:paraId="5F9B9DE6" w14:textId="39D1EBE6" w:rsidR="00002A97" w:rsidRPr="008D205A" w:rsidRDefault="00EE39FF"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w:t>
            </w:r>
            <w:r w:rsidR="001B4E98" w:rsidRPr="008D205A">
              <w:rPr>
                <w:rFonts w:eastAsia="Times New Roman" w:cs="Arial"/>
                <w:szCs w:val="24"/>
                <w:lang w:val="es-ES" w:eastAsia="es-ES"/>
              </w:rPr>
              <w:t>8</w:t>
            </w:r>
            <w:r w:rsidR="006F22B0" w:rsidRPr="008D205A">
              <w:rPr>
                <w:rFonts w:eastAsia="Times New Roman" w:cs="Arial"/>
                <w:szCs w:val="24"/>
                <w:lang w:val="es-ES" w:eastAsia="es-ES"/>
              </w:rPr>
              <w:t xml:space="preserve"> de </w:t>
            </w:r>
            <w:r>
              <w:rPr>
                <w:rFonts w:eastAsia="Times New Roman" w:cs="Arial"/>
                <w:szCs w:val="24"/>
                <w:lang w:val="es-ES" w:eastAsia="es-ES"/>
              </w:rPr>
              <w:t>septiembre</w:t>
            </w:r>
            <w:r w:rsidR="00EF1D13" w:rsidRPr="008D205A">
              <w:rPr>
                <w:rFonts w:eastAsia="Times New Roman" w:cs="Arial"/>
                <w:szCs w:val="24"/>
                <w:lang w:val="es-ES" w:eastAsia="es-ES"/>
              </w:rPr>
              <w:t xml:space="preserve"> </w:t>
            </w:r>
            <w:r w:rsidR="00002A97" w:rsidRPr="008D205A">
              <w:rPr>
                <w:rFonts w:eastAsia="Times New Roman" w:cs="Arial"/>
                <w:szCs w:val="24"/>
                <w:lang w:val="es-ES" w:eastAsia="es-ES"/>
              </w:rPr>
              <w:t>20</w:t>
            </w:r>
            <w:r w:rsidR="000F4BDA" w:rsidRPr="008D205A">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3B2A3CDD"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EE39FF">
        <w:rPr>
          <w:rFonts w:eastAsia="Times New Roman" w:cs="Arial"/>
          <w:bCs/>
          <w:szCs w:val="24"/>
          <w:lang w:val="es-ES" w:eastAsia="es-ES"/>
        </w:rPr>
        <w:t xml:space="preserve">12 – 17 </w:t>
      </w:r>
      <w:r w:rsidR="003B2C9E">
        <w:rPr>
          <w:rFonts w:eastAsia="Times New Roman" w:cs="Arial"/>
          <w:bCs/>
          <w:szCs w:val="24"/>
          <w:lang w:val="es-ES" w:eastAsia="es-ES"/>
        </w:rPr>
        <w:t>de febrero 2024</w:t>
      </w:r>
    </w:p>
    <w:p w14:paraId="500F7C6B" w14:textId="5C174F13"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Punto</w:t>
      </w:r>
      <w:r w:rsidR="001B4E98">
        <w:rPr>
          <w:rFonts w:eastAsia="Times New Roman" w:cs="Arial"/>
          <w:szCs w:val="24"/>
          <w:lang w:val="es-ES" w:eastAsia="es-ES"/>
        </w:rPr>
        <w:t xml:space="preserve"> 27</w:t>
      </w:r>
      <w:r w:rsidR="008D205A">
        <w:rPr>
          <w:rFonts w:eastAsia="Times New Roman" w:cs="Arial"/>
          <w:szCs w:val="24"/>
          <w:lang w:val="es-ES" w:eastAsia="es-ES"/>
        </w:rPr>
        <w:t>.4</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62AB6703" w14:textId="4355E513" w:rsidR="00002A97" w:rsidRPr="00790422" w:rsidRDefault="001765E6"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1765E6">
        <w:rPr>
          <w:rFonts w:eastAsia="Times New Roman" w:cs="Arial"/>
          <w:b/>
          <w:bCs/>
          <w:caps/>
          <w:lang w:val="es-ES" w:eastAsia="es-ES"/>
        </w:rPr>
        <w:t>ÁREAS IMPORTANTES DE TIBURONES Y RAYAS (ISRA)</w:t>
      </w:r>
    </w:p>
    <w:p w14:paraId="649BC530" w14:textId="62EED1DF" w:rsidR="00002A97" w:rsidRPr="00002A97" w:rsidRDefault="002D5F2A"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 xml:space="preserve">(Preparado por la </w:t>
      </w:r>
      <w:r w:rsidR="00800CB3">
        <w:rPr>
          <w:rFonts w:eastAsia="Times New Roman" w:cs="Arial"/>
          <w:i/>
          <w:szCs w:val="24"/>
          <w:lang w:val="es-ES" w:eastAsia="es-ES"/>
        </w:rPr>
        <w:t>Secretaría</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7728" behindDoc="0" locked="0" layoutInCell="1" allowOverlap="1" wp14:anchorId="70DD936B" wp14:editId="23E241A5">
                <wp:simplePos x="0" y="0"/>
                <wp:positionH relativeFrom="column">
                  <wp:posOffset>971550</wp:posOffset>
                </wp:positionH>
                <wp:positionV relativeFrom="paragraph">
                  <wp:posOffset>147319</wp:posOffset>
                </wp:positionV>
                <wp:extent cx="4304666" cy="20288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028825"/>
                        </a:xfrm>
                        <a:prstGeom prst="rect">
                          <a:avLst/>
                        </a:prstGeom>
                        <a:solidFill>
                          <a:srgbClr val="FFFFFF"/>
                        </a:solidFill>
                        <a:ln w="3172">
                          <a:solidFill>
                            <a:srgbClr val="000000"/>
                          </a:solidFill>
                          <a:prstDash val="solid"/>
                        </a:ln>
                      </wps:spPr>
                      <wps:txbx>
                        <w:txbxContent>
                          <w:p w14:paraId="78EFDF6D" w14:textId="1DCE26E8" w:rsidR="002D5F2A" w:rsidRPr="0024591F" w:rsidRDefault="002D5F2A" w:rsidP="00646292">
                            <w:pPr>
                              <w:spacing w:after="0" w:line="240" w:lineRule="auto"/>
                              <w:rPr>
                                <w:lang w:val="es-ES"/>
                              </w:rPr>
                            </w:pPr>
                            <w:r w:rsidRPr="0024591F">
                              <w:rPr>
                                <w:rFonts w:eastAsia="Arial" w:cs="Arial"/>
                                <w:lang w:val="es-ES"/>
                              </w:rPr>
                              <w:t>Resumen:</w:t>
                            </w:r>
                          </w:p>
                          <w:p w14:paraId="255B4E63" w14:textId="77777777" w:rsidR="002D5F2A" w:rsidRPr="0024591F" w:rsidRDefault="002D5F2A" w:rsidP="00646292">
                            <w:pPr>
                              <w:spacing w:after="0" w:line="240" w:lineRule="auto"/>
                              <w:rPr>
                                <w:rFonts w:cs="Arial"/>
                                <w:lang w:val="es-ES"/>
                              </w:rPr>
                            </w:pPr>
                          </w:p>
                          <w:p w14:paraId="58C199FD" w14:textId="3971E62E" w:rsidR="00646292" w:rsidRPr="00646292" w:rsidRDefault="00646292" w:rsidP="00646292">
                            <w:pPr>
                              <w:spacing w:after="0" w:line="240" w:lineRule="auto"/>
                              <w:jc w:val="both"/>
                              <w:rPr>
                                <w:lang w:val="es-ES"/>
                              </w:rPr>
                            </w:pPr>
                            <w:r w:rsidRPr="00646292">
                              <w:rPr>
                                <w:rFonts w:cs="Arial"/>
                                <w:lang w:val="es-ES"/>
                              </w:rPr>
                              <w:t xml:space="preserve">Para avanzar en la aplicación de los mandatos fundamentales de la Convención sobre los tiburones y rayas incluidos en los Apéndices de la CMS, en particular en el art. III (4), este documento proporciona información sobre el aprovechamiento de las Áreas Importantes de Tiburones y Rayas (ISRA) y propone un </w:t>
                            </w:r>
                            <w:r w:rsidR="006C12AD">
                              <w:rPr>
                                <w:rFonts w:cs="Arial"/>
                                <w:lang w:val="es-ES"/>
                              </w:rPr>
                              <w:t>Proyecto</w:t>
                            </w:r>
                            <w:r w:rsidRPr="00646292">
                              <w:rPr>
                                <w:rFonts w:cs="Arial"/>
                                <w:lang w:val="es-ES"/>
                              </w:rPr>
                              <w:t xml:space="preserve"> de Resolución y un </w:t>
                            </w:r>
                            <w:r w:rsidR="006C12AD">
                              <w:rPr>
                                <w:rFonts w:cs="Arial"/>
                                <w:lang w:val="es-ES"/>
                              </w:rPr>
                              <w:t>Proyecto</w:t>
                            </w:r>
                            <w:r w:rsidRPr="00646292">
                              <w:rPr>
                                <w:rFonts w:cs="Arial"/>
                                <w:lang w:val="es-ES"/>
                              </w:rPr>
                              <w:t xml:space="preserve"> de Decisiones. </w:t>
                            </w:r>
                          </w:p>
                          <w:p w14:paraId="62C272F9" w14:textId="77777777" w:rsidR="00646292" w:rsidRDefault="00646292" w:rsidP="00646292">
                            <w:pPr>
                              <w:spacing w:after="0"/>
                              <w:rPr>
                                <w:rFonts w:cs="Arial"/>
                                <w:lang w:val="es-ES"/>
                              </w:rPr>
                            </w:pPr>
                          </w:p>
                          <w:p w14:paraId="7CF30FB9" w14:textId="57EEE28A" w:rsidR="003B2C9E" w:rsidRDefault="003B2C9E" w:rsidP="003B2C9E">
                            <w:pPr>
                              <w:jc w:val="both"/>
                              <w:rPr>
                                <w:lang w:val="es-ES"/>
                              </w:rPr>
                            </w:pPr>
                            <w:r>
                              <w:rPr>
                                <w:lang w:val="es-ES"/>
                              </w:rPr>
                              <w:t>Rev.</w:t>
                            </w:r>
                            <w:r>
                              <w:rPr>
                                <w:lang w:val="es-ES"/>
                              </w:rPr>
                              <w:t>1</w:t>
                            </w:r>
                            <w:r>
                              <w:rPr>
                                <w:lang w:val="es-ES"/>
                              </w:rPr>
                              <w:t xml:space="preserve"> hace consistente el lenguaje en las decisiones dirigidas al Consejo Científico. </w:t>
                            </w:r>
                          </w:p>
                          <w:p w14:paraId="3C4BD39F" w14:textId="77777777" w:rsidR="003B2C9E" w:rsidRPr="00646292" w:rsidRDefault="003B2C9E" w:rsidP="00646292">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5pt;margin-top:11.6pt;width:338.95pt;height:159.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" strokeweight=".08811mm">
                <v:textbox>
                  <w:txbxContent>
                    <w:p w14:paraId="78EFDF6D" w14:textId="1DCE26E8" w:rsidR="002D5F2A" w:rsidRPr="0024591F" w:rsidRDefault="002D5F2A" w:rsidP="00646292">
                      <w:pPr>
                        <w:spacing w:after="0" w:line="240" w:lineRule="auto"/>
                        <w:rPr>
                          <w:lang w:val="es-ES"/>
                        </w:rPr>
                      </w:pPr>
                      <w:r w:rsidRPr="0024591F">
                        <w:rPr>
                          <w:rFonts w:eastAsia="Arial" w:cs="Arial"/>
                          <w:lang w:val="es-ES"/>
                        </w:rPr>
                        <w:t>Resumen:</w:t>
                      </w:r>
                    </w:p>
                    <w:p w14:paraId="255B4E63" w14:textId="77777777" w:rsidR="002D5F2A" w:rsidRPr="0024591F" w:rsidRDefault="002D5F2A" w:rsidP="00646292">
                      <w:pPr>
                        <w:spacing w:after="0" w:line="240" w:lineRule="auto"/>
                        <w:rPr>
                          <w:rFonts w:cs="Arial"/>
                          <w:lang w:val="es-ES"/>
                        </w:rPr>
                      </w:pPr>
                    </w:p>
                    <w:p w14:paraId="58C199FD" w14:textId="3971E62E" w:rsidR="00646292" w:rsidRPr="00646292" w:rsidRDefault="00646292" w:rsidP="00646292">
                      <w:pPr>
                        <w:spacing w:after="0" w:line="240" w:lineRule="auto"/>
                        <w:jc w:val="both"/>
                        <w:rPr>
                          <w:lang w:val="es-ES"/>
                        </w:rPr>
                      </w:pPr>
                      <w:r w:rsidRPr="00646292">
                        <w:rPr>
                          <w:rFonts w:cs="Arial"/>
                          <w:lang w:val="es-ES"/>
                        </w:rPr>
                        <w:t xml:space="preserve">Para avanzar en la aplicación de los mandatos fundamentales de la Convención sobre los tiburones y rayas incluidos en los Apéndices de la CMS, en particular en el art. III (4), este documento proporciona información sobre el aprovechamiento de las Áreas Importantes de Tiburones y Rayas (ISRA) y propone un </w:t>
                      </w:r>
                      <w:r w:rsidR="006C12AD">
                        <w:rPr>
                          <w:rFonts w:cs="Arial"/>
                          <w:lang w:val="es-ES"/>
                        </w:rPr>
                        <w:t>Proyecto</w:t>
                      </w:r>
                      <w:r w:rsidRPr="00646292">
                        <w:rPr>
                          <w:rFonts w:cs="Arial"/>
                          <w:lang w:val="es-ES"/>
                        </w:rPr>
                        <w:t xml:space="preserve"> de Resolución y un </w:t>
                      </w:r>
                      <w:r w:rsidR="006C12AD">
                        <w:rPr>
                          <w:rFonts w:cs="Arial"/>
                          <w:lang w:val="es-ES"/>
                        </w:rPr>
                        <w:t>Proyecto</w:t>
                      </w:r>
                      <w:r w:rsidRPr="00646292">
                        <w:rPr>
                          <w:rFonts w:cs="Arial"/>
                          <w:lang w:val="es-ES"/>
                        </w:rPr>
                        <w:t xml:space="preserve"> de Decisiones. </w:t>
                      </w:r>
                    </w:p>
                    <w:p w14:paraId="62C272F9" w14:textId="77777777" w:rsidR="00646292" w:rsidRDefault="00646292" w:rsidP="00646292">
                      <w:pPr>
                        <w:spacing w:after="0"/>
                        <w:rPr>
                          <w:rFonts w:cs="Arial"/>
                          <w:lang w:val="es-ES"/>
                        </w:rPr>
                      </w:pPr>
                    </w:p>
                    <w:p w14:paraId="7CF30FB9" w14:textId="57EEE28A" w:rsidR="003B2C9E" w:rsidRDefault="003B2C9E" w:rsidP="003B2C9E">
                      <w:pPr>
                        <w:jc w:val="both"/>
                        <w:rPr>
                          <w:lang w:val="es-ES"/>
                        </w:rPr>
                      </w:pPr>
                      <w:r>
                        <w:rPr>
                          <w:lang w:val="es-ES"/>
                        </w:rPr>
                        <w:t>Rev.</w:t>
                      </w:r>
                      <w:r>
                        <w:rPr>
                          <w:lang w:val="es-ES"/>
                        </w:rPr>
                        <w:t>1</w:t>
                      </w:r>
                      <w:r>
                        <w:rPr>
                          <w:lang w:val="es-ES"/>
                        </w:rPr>
                        <w:t xml:space="preserve"> hace consistente el lenguaje en las decisiones dirigidas al Consejo Científico. </w:t>
                      </w:r>
                    </w:p>
                    <w:p w14:paraId="3C4BD39F" w14:textId="77777777" w:rsidR="003B2C9E" w:rsidRPr="00646292" w:rsidRDefault="003B2C9E" w:rsidP="00646292">
                      <w:pPr>
                        <w:spacing w:after="0"/>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02368D96" w14:textId="77777777" w:rsidR="002A664A" w:rsidRPr="002A664A" w:rsidRDefault="002A664A" w:rsidP="00D84B1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2A664A">
        <w:rPr>
          <w:rFonts w:eastAsia="Times New Roman" w:cs="Arial"/>
          <w:b/>
          <w:bCs/>
          <w:lang w:val="es-ES"/>
        </w:rPr>
        <w:lastRenderedPageBreak/>
        <w:t>ÁREAS IMPORTANTES DE TIBURONES Y RAYAS (ISRA)</w:t>
      </w:r>
    </w:p>
    <w:p w14:paraId="01E26D31" w14:textId="77777777" w:rsidR="002A664A" w:rsidRPr="002A664A" w:rsidRDefault="002A664A" w:rsidP="00D84B14">
      <w:pPr>
        <w:suppressAutoHyphens/>
        <w:autoSpaceDN w:val="0"/>
        <w:spacing w:after="0" w:line="240" w:lineRule="auto"/>
        <w:textAlignment w:val="baseline"/>
        <w:rPr>
          <w:rFonts w:eastAsia="Calibri" w:cs="Arial"/>
          <w:u w:val="single"/>
          <w:lang w:val="es-ES"/>
        </w:rPr>
      </w:pPr>
    </w:p>
    <w:p w14:paraId="66839F08" w14:textId="77777777" w:rsidR="002A664A" w:rsidRPr="002A664A" w:rsidRDefault="002A664A" w:rsidP="00D84B14">
      <w:pPr>
        <w:suppressAutoHyphens/>
        <w:autoSpaceDN w:val="0"/>
        <w:spacing w:after="0" w:line="240" w:lineRule="auto"/>
        <w:textAlignment w:val="baseline"/>
        <w:rPr>
          <w:rFonts w:eastAsia="Calibri" w:cs="Arial"/>
          <w:u w:val="single"/>
          <w:lang w:val="es-ES"/>
        </w:rPr>
      </w:pPr>
    </w:p>
    <w:p w14:paraId="6278E984" w14:textId="77777777" w:rsidR="002A664A" w:rsidRPr="002A664A" w:rsidRDefault="002A664A" w:rsidP="00D84B14">
      <w:pPr>
        <w:suppressAutoHyphens/>
        <w:autoSpaceDN w:val="0"/>
        <w:spacing w:after="0" w:line="240" w:lineRule="auto"/>
        <w:textAlignment w:val="baseline"/>
        <w:rPr>
          <w:rFonts w:eastAsia="Calibri" w:cs="Arial"/>
          <w:u w:val="single"/>
          <w:lang w:val="es-ES"/>
        </w:rPr>
      </w:pPr>
      <w:r w:rsidRPr="002A664A">
        <w:rPr>
          <w:rFonts w:eastAsia="Calibri" w:cs="Arial"/>
          <w:u w:val="single"/>
          <w:lang w:val="es-ES"/>
        </w:rPr>
        <w:t>Antecedentes</w:t>
      </w:r>
    </w:p>
    <w:p w14:paraId="53A34990" w14:textId="77777777" w:rsidR="002A664A" w:rsidRPr="002A664A" w:rsidRDefault="002A664A" w:rsidP="00D84B14">
      <w:pPr>
        <w:spacing w:after="0" w:line="240" w:lineRule="auto"/>
        <w:rPr>
          <w:lang w:val="es-ES"/>
        </w:rPr>
      </w:pPr>
    </w:p>
    <w:p w14:paraId="3A4A06A2"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lang w:val="es-ES"/>
        </w:rPr>
      </w:pPr>
      <w:r w:rsidRPr="002A664A">
        <w:rPr>
          <w:rFonts w:cs="Arial"/>
          <w:lang w:val="es-ES"/>
        </w:rPr>
        <w:t>Los tiburones y rayas, junto con los peces óseos, son las especies más amenazadas incluidas en los Apéndices de la CMS. La Lista Roja de Especies Amenazadas de la Unión Internacional para la Conservación de la Naturaleza (Lista Roja de la UICN)</w:t>
      </w:r>
      <w:r w:rsidRPr="002A664A">
        <w:rPr>
          <w:rFonts w:cs="Arial"/>
          <w:vertAlign w:val="superscript"/>
          <w:lang w:val="es-ES"/>
        </w:rPr>
        <w:footnoteReference w:id="1"/>
      </w:r>
      <w:r w:rsidRPr="002A664A">
        <w:rPr>
          <w:rFonts w:cs="Arial"/>
          <w:lang w:val="es-ES"/>
        </w:rPr>
        <w:t xml:space="preserve"> estima que aproximadamente el 37 % de estas especies están en peligro de extinción. El declive de las poblaciones se debe a la sobrepesca provocada por las capturas objetivo e incidentales, pero la degradación del hábitat también puede afectar a algunas de las especies incluidas en los Apéndices de la Convención, como el pez sierra o el angelote.</w:t>
      </w:r>
    </w:p>
    <w:p w14:paraId="44ED4F37" w14:textId="77777777" w:rsidR="002A664A" w:rsidRPr="002A664A" w:rsidRDefault="002A664A" w:rsidP="00D84B14">
      <w:pPr>
        <w:widowControl w:val="0"/>
        <w:autoSpaceDE w:val="0"/>
        <w:autoSpaceDN w:val="0"/>
        <w:adjustRightInd w:val="0"/>
        <w:spacing w:after="0" w:line="240" w:lineRule="auto"/>
        <w:ind w:left="540"/>
        <w:contextualSpacing/>
        <w:jc w:val="both"/>
        <w:rPr>
          <w:rFonts w:cs="Arial"/>
          <w:bCs/>
          <w:iCs/>
          <w:lang w:val="es-ES"/>
        </w:rPr>
      </w:pPr>
    </w:p>
    <w:p w14:paraId="5F04CD11"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bCs/>
          <w:iCs/>
          <w:lang w:val="es-ES"/>
        </w:rPr>
        <w:t xml:space="preserve">La conservación de hábitats importantes que sustenten poblaciones de especies incluidas en las listas de la CMS, reviste una importancia significativa para alcanzar el objetivo central de la Convención de lograr y mantener un estado de conservación sostenible para las especies migratorias de animales silvestres.  </w:t>
      </w:r>
    </w:p>
    <w:p w14:paraId="563BE815" w14:textId="77777777" w:rsidR="002A664A" w:rsidRPr="002A664A" w:rsidRDefault="002A664A" w:rsidP="00D84B14">
      <w:pPr>
        <w:widowControl w:val="0"/>
        <w:autoSpaceDE w:val="0"/>
        <w:autoSpaceDN w:val="0"/>
        <w:adjustRightInd w:val="0"/>
        <w:spacing w:after="0" w:line="240" w:lineRule="auto"/>
        <w:jc w:val="both"/>
        <w:rPr>
          <w:rFonts w:cs="Arial"/>
          <w:bCs/>
          <w:iCs/>
          <w:lang w:val="es-ES"/>
        </w:rPr>
      </w:pPr>
    </w:p>
    <w:p w14:paraId="53433E7A" w14:textId="77777777" w:rsidR="002A664A" w:rsidRPr="002A664A" w:rsidRDefault="002A664A" w:rsidP="00D84B14">
      <w:pPr>
        <w:widowControl w:val="0"/>
        <w:numPr>
          <w:ilvl w:val="0"/>
          <w:numId w:val="13"/>
        </w:numPr>
        <w:autoSpaceDE w:val="0"/>
        <w:autoSpaceDN w:val="0"/>
        <w:adjustRightInd w:val="0"/>
        <w:spacing w:after="0" w:line="240" w:lineRule="auto"/>
        <w:ind w:left="567" w:hanging="567"/>
        <w:contextualSpacing/>
        <w:jc w:val="both"/>
        <w:rPr>
          <w:rFonts w:cs="Arial"/>
          <w:lang w:val="es-ES"/>
        </w:rPr>
      </w:pPr>
      <w:r w:rsidRPr="002A664A">
        <w:rPr>
          <w:rFonts w:cs="Arial"/>
          <w:lang w:val="es-ES"/>
        </w:rPr>
        <w:t>De acuerdo con el Artículo II (1) de la CMS</w:t>
      </w:r>
    </w:p>
    <w:p w14:paraId="55C0A7C9" w14:textId="77777777" w:rsidR="002A664A" w:rsidRPr="002A664A" w:rsidRDefault="002A664A" w:rsidP="00D84B14">
      <w:pPr>
        <w:widowControl w:val="0"/>
        <w:autoSpaceDE w:val="0"/>
        <w:autoSpaceDN w:val="0"/>
        <w:adjustRightInd w:val="0"/>
        <w:spacing w:after="0" w:line="240" w:lineRule="auto"/>
        <w:contextualSpacing/>
        <w:jc w:val="both"/>
        <w:rPr>
          <w:rFonts w:cs="Arial"/>
          <w:lang w:val="es-ES"/>
        </w:rPr>
      </w:pPr>
    </w:p>
    <w:p w14:paraId="5AF19F36" w14:textId="4D52079A" w:rsidR="002A664A" w:rsidRPr="002A664A" w:rsidRDefault="002A664A" w:rsidP="00D84B14">
      <w:pPr>
        <w:widowControl w:val="0"/>
        <w:autoSpaceDE w:val="0"/>
        <w:autoSpaceDN w:val="0"/>
        <w:adjustRightInd w:val="0"/>
        <w:spacing w:after="0" w:line="240" w:lineRule="auto"/>
        <w:ind w:left="720"/>
        <w:contextualSpacing/>
        <w:jc w:val="both"/>
        <w:rPr>
          <w:rFonts w:cs="Arial"/>
          <w:i/>
          <w:iCs/>
          <w:lang w:val="es-ES"/>
        </w:rPr>
      </w:pPr>
      <w:r w:rsidRPr="002A664A">
        <w:rPr>
          <w:rFonts w:cs="Arial"/>
          <w:i/>
          <w:iCs/>
          <w:lang w:val="es-ES"/>
        </w:rPr>
        <w:t>«</w:t>
      </w:r>
      <w:r w:rsidR="007C360E" w:rsidRPr="007C360E">
        <w:rPr>
          <w:rFonts w:cs="Arial"/>
          <w:i/>
          <w:iCs/>
          <w:lang w:val="es-ES"/>
        </w:rPr>
        <w:t xml:space="preserve"> Las Partes reconocen la importancia de la conservación de las especies migratorias y de las medidas a convenir para este fin por los Estados del área de distribución, siempre que sea posible y apropiado, concediendo particular atención a las especies migratorias cuyo estado de conservación sea desfavorable; el mismo reconocimiento se extiende también a las medidas apropiadas y necesarias, por ellas adoptadas separada o conjuntamente, para la conservación de tales especies y de su hábitat.</w:t>
      </w:r>
      <w:r w:rsidRPr="002A664A">
        <w:rPr>
          <w:rFonts w:cs="Arial"/>
          <w:i/>
          <w:iCs/>
          <w:lang w:val="es-ES"/>
        </w:rPr>
        <w:t>».</w:t>
      </w:r>
    </w:p>
    <w:p w14:paraId="0275C89E" w14:textId="77777777" w:rsidR="002A664A" w:rsidRPr="002A664A" w:rsidRDefault="002A664A" w:rsidP="00D84B14">
      <w:pPr>
        <w:widowControl w:val="0"/>
        <w:autoSpaceDE w:val="0"/>
        <w:autoSpaceDN w:val="0"/>
        <w:adjustRightInd w:val="0"/>
        <w:spacing w:after="0" w:line="240" w:lineRule="auto"/>
        <w:contextualSpacing/>
        <w:jc w:val="both"/>
        <w:rPr>
          <w:rFonts w:cs="Arial"/>
          <w:lang w:val="es-ES"/>
        </w:rPr>
      </w:pPr>
    </w:p>
    <w:p w14:paraId="7B9DFB62" w14:textId="77777777" w:rsidR="002A664A" w:rsidRPr="002A664A" w:rsidRDefault="002A664A" w:rsidP="00D84B14">
      <w:pPr>
        <w:widowControl w:val="0"/>
        <w:numPr>
          <w:ilvl w:val="0"/>
          <w:numId w:val="13"/>
        </w:numPr>
        <w:autoSpaceDE w:val="0"/>
        <w:autoSpaceDN w:val="0"/>
        <w:adjustRightInd w:val="0"/>
        <w:spacing w:after="0" w:line="240" w:lineRule="auto"/>
        <w:ind w:left="567" w:hanging="567"/>
        <w:contextualSpacing/>
        <w:jc w:val="both"/>
        <w:rPr>
          <w:rFonts w:cs="Arial"/>
          <w:lang w:val="es-ES"/>
        </w:rPr>
      </w:pPr>
      <w:r w:rsidRPr="002A664A">
        <w:rPr>
          <w:rFonts w:cs="Arial"/>
          <w:lang w:val="es-ES"/>
        </w:rPr>
        <w:t>El Artículo III (4) establece que</w:t>
      </w:r>
    </w:p>
    <w:p w14:paraId="76C1E253" w14:textId="77777777" w:rsidR="002A664A" w:rsidRPr="002A664A" w:rsidRDefault="002A664A" w:rsidP="00D84B14">
      <w:pPr>
        <w:widowControl w:val="0"/>
        <w:autoSpaceDE w:val="0"/>
        <w:autoSpaceDN w:val="0"/>
        <w:adjustRightInd w:val="0"/>
        <w:spacing w:after="0" w:line="240" w:lineRule="auto"/>
        <w:ind w:left="567"/>
        <w:contextualSpacing/>
        <w:jc w:val="both"/>
        <w:rPr>
          <w:rFonts w:cs="Arial"/>
          <w:lang w:val="es-ES"/>
        </w:rPr>
      </w:pPr>
    </w:p>
    <w:p w14:paraId="07148783" w14:textId="185AE024" w:rsidR="002A664A" w:rsidRPr="002A664A" w:rsidRDefault="002A664A" w:rsidP="00D84B14">
      <w:pPr>
        <w:widowControl w:val="0"/>
        <w:autoSpaceDE w:val="0"/>
        <w:autoSpaceDN w:val="0"/>
        <w:adjustRightInd w:val="0"/>
        <w:spacing w:after="0" w:line="240" w:lineRule="auto"/>
        <w:ind w:left="720"/>
        <w:contextualSpacing/>
        <w:jc w:val="both"/>
        <w:rPr>
          <w:rFonts w:cs="Arial"/>
          <w:i/>
          <w:iCs/>
          <w:lang w:val="es-ES"/>
        </w:rPr>
      </w:pPr>
      <w:r w:rsidRPr="002A664A">
        <w:rPr>
          <w:rFonts w:cs="Arial"/>
          <w:i/>
          <w:iCs/>
          <w:lang w:val="es-ES"/>
        </w:rPr>
        <w:t>«</w:t>
      </w:r>
      <w:r w:rsidR="00220490" w:rsidRPr="00220490">
        <w:rPr>
          <w:rFonts w:cs="Arial"/>
          <w:i/>
          <w:iCs/>
          <w:lang w:val="es-ES"/>
        </w:rPr>
        <w:t>Las Partes que sean Estados del área de distribución de una especie migratoria que figura en el Apéndice I se esforzarán por</w:t>
      </w:r>
      <w:r w:rsidRPr="002A664A">
        <w:rPr>
          <w:rFonts w:cs="Arial"/>
          <w:i/>
          <w:iCs/>
          <w:lang w:val="es-ES"/>
        </w:rPr>
        <w:t xml:space="preserve"> </w:t>
      </w:r>
    </w:p>
    <w:p w14:paraId="399F5BB8" w14:textId="318A3A3C" w:rsidR="002A664A" w:rsidRPr="002A664A" w:rsidRDefault="002A664A" w:rsidP="00D84B14">
      <w:pPr>
        <w:widowControl w:val="0"/>
        <w:autoSpaceDE w:val="0"/>
        <w:autoSpaceDN w:val="0"/>
        <w:adjustRightInd w:val="0"/>
        <w:spacing w:after="0" w:line="240" w:lineRule="auto"/>
        <w:ind w:left="720"/>
        <w:contextualSpacing/>
        <w:jc w:val="both"/>
        <w:rPr>
          <w:rFonts w:cs="Arial"/>
          <w:i/>
          <w:iCs/>
          <w:lang w:val="es-ES"/>
        </w:rPr>
      </w:pPr>
      <w:r w:rsidRPr="002A664A">
        <w:rPr>
          <w:rFonts w:cs="Arial"/>
          <w:i/>
          <w:iCs/>
          <w:lang w:val="es-ES"/>
        </w:rPr>
        <w:br/>
        <w:t xml:space="preserve">a) </w:t>
      </w:r>
      <w:r w:rsidR="00180CD2" w:rsidRPr="00180CD2">
        <w:rPr>
          <w:rFonts w:cs="Arial"/>
          <w:i/>
          <w:iCs/>
          <w:lang w:val="es-ES"/>
        </w:rPr>
        <w:t>conservar y, cuando sea posible y apropiado, restaurar los hábitats que sean importantes para preservar dicha especie del peligro de extinción</w:t>
      </w:r>
      <w:r w:rsidRPr="002A664A">
        <w:rPr>
          <w:rFonts w:cs="Arial"/>
          <w:i/>
          <w:iCs/>
          <w:lang w:val="es-ES"/>
        </w:rPr>
        <w:t>;….»</w:t>
      </w:r>
    </w:p>
    <w:p w14:paraId="318E855A" w14:textId="77777777" w:rsidR="002A664A" w:rsidRPr="002A664A" w:rsidRDefault="002A664A" w:rsidP="00D84B14">
      <w:pPr>
        <w:widowControl w:val="0"/>
        <w:autoSpaceDE w:val="0"/>
        <w:autoSpaceDN w:val="0"/>
        <w:adjustRightInd w:val="0"/>
        <w:spacing w:after="0" w:line="240" w:lineRule="auto"/>
        <w:ind w:left="794"/>
        <w:contextualSpacing/>
        <w:jc w:val="both"/>
        <w:rPr>
          <w:rFonts w:cs="Arial"/>
          <w:i/>
          <w:iCs/>
          <w:lang w:val="es-ES"/>
        </w:rPr>
      </w:pPr>
    </w:p>
    <w:p w14:paraId="439E8990" w14:textId="77777777" w:rsidR="002A664A" w:rsidRPr="002A664A" w:rsidRDefault="002A664A" w:rsidP="00D84B14">
      <w:pPr>
        <w:widowControl w:val="0"/>
        <w:numPr>
          <w:ilvl w:val="0"/>
          <w:numId w:val="13"/>
        </w:numPr>
        <w:autoSpaceDE w:val="0"/>
        <w:autoSpaceDN w:val="0"/>
        <w:adjustRightInd w:val="0"/>
        <w:spacing w:after="0" w:line="240" w:lineRule="auto"/>
        <w:ind w:left="567" w:hanging="567"/>
        <w:contextualSpacing/>
        <w:jc w:val="both"/>
        <w:rPr>
          <w:rFonts w:eastAsia="Times New Roman" w:cs="Arial"/>
          <w:bCs/>
          <w:iCs/>
          <w:lang w:val="es-ES"/>
        </w:rPr>
      </w:pPr>
      <w:r w:rsidRPr="002A664A">
        <w:rPr>
          <w:rFonts w:eastAsia="Times New Roman" w:cs="Arial"/>
          <w:bCs/>
          <w:iCs/>
          <w:lang w:val="es-ES"/>
        </w:rPr>
        <w:t xml:space="preserve">El Memorando de Entendimiento sobre la Conservación de los Tiburones Migratorios (MdE sobre tiburones) incluye mandatos firmes para la identificación de hábitats críticos (entre ellos, los lugares conocidos de agregación, alimentación y cría, los corredores migratorios) y su conservación para mejorar el estado de conservación de las especies incluidas en el Anexo 1 del MdE sobre tiburones. </w:t>
      </w:r>
    </w:p>
    <w:p w14:paraId="3410382C" w14:textId="77777777" w:rsidR="002A664A" w:rsidRPr="002A664A" w:rsidRDefault="002A664A" w:rsidP="00D84B14">
      <w:pPr>
        <w:widowControl w:val="0"/>
        <w:autoSpaceDE w:val="0"/>
        <w:autoSpaceDN w:val="0"/>
        <w:adjustRightInd w:val="0"/>
        <w:spacing w:after="0" w:line="240" w:lineRule="auto"/>
        <w:ind w:left="567"/>
        <w:contextualSpacing/>
        <w:jc w:val="both"/>
        <w:rPr>
          <w:rFonts w:cs="Arial"/>
          <w:bCs/>
          <w:iCs/>
          <w:lang w:val="es-ES"/>
        </w:rPr>
      </w:pPr>
    </w:p>
    <w:p w14:paraId="6D47C82C" w14:textId="77777777" w:rsidR="002A664A" w:rsidRPr="002A664A" w:rsidRDefault="002A664A" w:rsidP="00D84B14">
      <w:pPr>
        <w:widowControl w:val="0"/>
        <w:numPr>
          <w:ilvl w:val="0"/>
          <w:numId w:val="13"/>
        </w:numPr>
        <w:autoSpaceDE w:val="0"/>
        <w:autoSpaceDN w:val="0"/>
        <w:adjustRightInd w:val="0"/>
        <w:spacing w:after="0" w:line="240" w:lineRule="auto"/>
        <w:ind w:left="567" w:hanging="567"/>
        <w:contextualSpacing/>
        <w:jc w:val="both"/>
        <w:rPr>
          <w:rFonts w:cs="Arial"/>
          <w:bCs/>
          <w:iCs/>
          <w:lang w:val="es-ES"/>
        </w:rPr>
      </w:pPr>
      <w:r w:rsidRPr="002A664A">
        <w:rPr>
          <w:rFonts w:cs="Arial"/>
          <w:bCs/>
          <w:iCs/>
          <w:lang w:val="es-ES"/>
        </w:rPr>
        <w:t>En 2022, las Partes del Convenio sobre Diversidad Biológica (CDB) adoptaron el Marco Global de Biodiversidad de Kunming-Montreal en su 15.</w:t>
      </w:r>
      <w:r w:rsidRPr="002A664A">
        <w:rPr>
          <w:rFonts w:cs="Arial"/>
          <w:bCs/>
          <w:iCs/>
          <w:vertAlign w:val="superscript"/>
          <w:lang w:val="es-ES"/>
        </w:rPr>
        <w:t>ª</w:t>
      </w:r>
      <w:r w:rsidRPr="002A664A">
        <w:rPr>
          <w:rFonts w:cs="Arial"/>
          <w:bCs/>
          <w:iCs/>
          <w:lang w:val="es-ES"/>
        </w:rPr>
        <w:t xml:space="preserve">Conferencia de las Partes. A través del Objetivo 3 las Partes acordaron </w:t>
      </w:r>
    </w:p>
    <w:p w14:paraId="75D7382B" w14:textId="77777777" w:rsidR="002A664A" w:rsidRPr="002A664A" w:rsidRDefault="002A664A" w:rsidP="00D84B14">
      <w:pPr>
        <w:widowControl w:val="0"/>
        <w:autoSpaceDE w:val="0"/>
        <w:autoSpaceDN w:val="0"/>
        <w:adjustRightInd w:val="0"/>
        <w:spacing w:after="0" w:line="240" w:lineRule="auto"/>
        <w:ind w:left="360"/>
        <w:contextualSpacing/>
        <w:jc w:val="both"/>
        <w:rPr>
          <w:rFonts w:cs="Arial"/>
          <w:bCs/>
          <w:iCs/>
          <w:lang w:val="es-ES"/>
        </w:rPr>
      </w:pPr>
    </w:p>
    <w:p w14:paraId="5C92B0F2" w14:textId="77777777" w:rsidR="002A664A" w:rsidRPr="002A664A" w:rsidRDefault="002A664A" w:rsidP="00D84B14">
      <w:pPr>
        <w:widowControl w:val="0"/>
        <w:autoSpaceDE w:val="0"/>
        <w:autoSpaceDN w:val="0"/>
        <w:adjustRightInd w:val="0"/>
        <w:spacing w:after="0" w:line="240" w:lineRule="auto"/>
        <w:ind w:left="720"/>
        <w:contextualSpacing/>
        <w:jc w:val="both"/>
        <w:rPr>
          <w:rFonts w:cs="Arial"/>
          <w:bCs/>
          <w:i/>
          <w:lang w:val="es-ES"/>
        </w:rPr>
      </w:pPr>
      <w:r w:rsidRPr="002A664A">
        <w:rPr>
          <w:rFonts w:cs="Arial"/>
          <w:bCs/>
          <w:i/>
          <w:lang w:val="es-ES"/>
        </w:rPr>
        <w:t xml:space="preserve">«asegurar y permitir que, para 2030, al menos el 30 por ciento de las áreas terrestres, de aguas continentales, y de las áreas costeras y marinas, especialmente áreas de particular importancia para la biodiversidad y las funciones y servicios de los ecosistemas, se conserven y gestionen de manera eficaz mediante sistemas de áreas protegidas bien conectadas y gobernadas de forma equitativa, y otras medidas </w:t>
      </w:r>
      <w:r w:rsidRPr="002A664A">
        <w:rPr>
          <w:rFonts w:cs="Arial"/>
          <w:bCs/>
          <w:i/>
          <w:lang w:val="es-ES"/>
        </w:rPr>
        <w:lastRenderedPageBreak/>
        <w:t>eficaces de conservación basadas en áreas geográficas específicas, reconociendo los territorios indígenas y tradicionales, cuando corresponda, e integrados en paisajes terrestres, marinos y oceánicos más amplios, garantizando al mismo tiempo que todo aprovechamiento sostenible, cuando proceda en dichas zonas, sea plenamente coherente con los resultados de la conservación, reconociendo y respetando los derechos de los pueblos indígenas y las comunidades locales, incluso sobre sus territorios tradicionales».</w:t>
      </w:r>
    </w:p>
    <w:p w14:paraId="029B2057" w14:textId="77777777" w:rsidR="002A664A" w:rsidRPr="002A664A" w:rsidRDefault="002A664A" w:rsidP="00D84B14">
      <w:pPr>
        <w:widowControl w:val="0"/>
        <w:autoSpaceDE w:val="0"/>
        <w:autoSpaceDN w:val="0"/>
        <w:adjustRightInd w:val="0"/>
        <w:spacing w:after="0" w:line="240" w:lineRule="auto"/>
        <w:ind w:left="720"/>
        <w:contextualSpacing/>
        <w:jc w:val="both"/>
        <w:rPr>
          <w:rFonts w:cs="Arial"/>
          <w:bCs/>
          <w:iCs/>
          <w:lang w:val="es-ES"/>
        </w:rPr>
      </w:pPr>
    </w:p>
    <w:p w14:paraId="143456B7"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bCs/>
          <w:iCs/>
          <w:lang w:val="es-ES"/>
        </w:rPr>
        <w:t xml:space="preserve">La conservación basada en áreas puede ser una herramienta importante de gestión para salvaguardar la biodiversidad. Se han desarrollado y aplicado varios enfoques para identificar redes de áreas de importancia global basadas en la delimitación de enclaves o paisajes marinos de importancia para diversos elementos de la biodiversidad (por ejemplo, para aves, mamíferos marinos). </w:t>
      </w:r>
    </w:p>
    <w:p w14:paraId="36EF6B4C" w14:textId="77777777" w:rsidR="002A664A" w:rsidRPr="002A664A" w:rsidRDefault="002A664A" w:rsidP="00D84B14">
      <w:pPr>
        <w:widowControl w:val="0"/>
        <w:autoSpaceDE w:val="0"/>
        <w:autoSpaceDN w:val="0"/>
        <w:adjustRightInd w:val="0"/>
        <w:spacing w:after="0" w:line="240" w:lineRule="auto"/>
        <w:jc w:val="both"/>
        <w:rPr>
          <w:rFonts w:cs="Arial"/>
          <w:bCs/>
          <w:iCs/>
          <w:lang w:val="es-ES"/>
        </w:rPr>
      </w:pPr>
    </w:p>
    <w:p w14:paraId="19F411A9" w14:textId="77777777" w:rsidR="002A664A" w:rsidRPr="002A664A" w:rsidRDefault="002A664A" w:rsidP="00D84B14">
      <w:pPr>
        <w:spacing w:after="0" w:line="240" w:lineRule="auto"/>
        <w:rPr>
          <w:rFonts w:cs="Arial"/>
          <w:u w:val="single"/>
          <w:lang w:val="es-ES"/>
        </w:rPr>
      </w:pPr>
      <w:r w:rsidRPr="002A664A">
        <w:rPr>
          <w:rFonts w:cs="Arial"/>
          <w:u w:val="single"/>
          <w:lang w:val="es-ES"/>
        </w:rPr>
        <w:t>Iniciativa ISRA</w:t>
      </w:r>
    </w:p>
    <w:p w14:paraId="43564C12" w14:textId="77777777" w:rsidR="002A664A" w:rsidRPr="002A664A" w:rsidRDefault="002A664A" w:rsidP="00D84B14">
      <w:pPr>
        <w:spacing w:after="0" w:line="240" w:lineRule="auto"/>
        <w:ind w:left="540" w:right="252"/>
        <w:contextualSpacing/>
        <w:jc w:val="both"/>
        <w:rPr>
          <w:rFonts w:cs="Arial"/>
          <w:bCs/>
          <w:iCs/>
          <w:lang w:val="es-ES"/>
        </w:rPr>
      </w:pPr>
    </w:p>
    <w:p w14:paraId="60B139E9"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lang w:val="es-ES"/>
        </w:rPr>
      </w:pPr>
      <w:r w:rsidRPr="002A664A">
        <w:rPr>
          <w:rFonts w:cs="Arial"/>
          <w:bCs/>
          <w:iCs/>
          <w:lang w:val="es-ES"/>
        </w:rPr>
        <w:t>La iniciativa para identificar Áreas Importantes de Tiburones y Rayas (ISRA)</w:t>
      </w:r>
      <w:r w:rsidRPr="002A664A">
        <w:rPr>
          <w:rFonts w:cs="Arial"/>
          <w:bCs/>
          <w:iCs/>
          <w:vertAlign w:val="superscript"/>
          <w:lang w:val="es-ES"/>
        </w:rPr>
        <w:footnoteReference w:id="2"/>
      </w:r>
      <w:r w:rsidRPr="002A664A">
        <w:rPr>
          <w:rFonts w:cs="Arial"/>
          <w:bCs/>
          <w:iCs/>
          <w:lang w:val="es-ES"/>
        </w:rPr>
        <w:t xml:space="preserve"> está dirigida por el Grupo de Especialistas en Tiburones de la Comisión de Supervivencia de Especies de la UICN</w:t>
      </w:r>
      <w:bookmarkStart w:id="1" w:name="_Hlk118976143"/>
      <w:r w:rsidRPr="002A664A">
        <w:rPr>
          <w:rFonts w:cs="Arial"/>
          <w:bCs/>
          <w:iCs/>
          <w:lang w:val="es-ES"/>
        </w:rPr>
        <w:t xml:space="preserve"> (SSG de la CSE de la UICN)</w:t>
      </w:r>
      <w:bookmarkEnd w:id="1"/>
      <w:r w:rsidRPr="002A664A">
        <w:rPr>
          <w:rFonts w:cs="Arial"/>
          <w:bCs/>
          <w:iCs/>
          <w:lang w:val="es-ES"/>
        </w:rPr>
        <w:t xml:space="preserve">. Se basa en el ejemplo de éxito para la identificación de Áreas Importantes para los Mamíferos Marinos (IMMA) desarrollado por el Grupo de Trabajo sobre Áreas Protegidas de Mamíferos Marinos de la UICN, secundado por la Resolución 12.13 de la CMS. Esta Resolución </w:t>
      </w:r>
      <w:r w:rsidRPr="002A664A">
        <w:rPr>
          <w:rFonts w:cs="Arial"/>
          <w:lang w:val="es-ES"/>
        </w:rPr>
        <w:t xml:space="preserve">sentó un precedente según el cual la identificación de las «áreas importantes» específicas de un taxón puede ayudar a la consecución del objetivo de proteger las especies incluidas en las listas de la CMS y se debería fomentar. </w:t>
      </w:r>
      <w:r w:rsidRPr="002A664A">
        <w:rPr>
          <w:rFonts w:cs="Arial"/>
          <w:bCs/>
          <w:iCs/>
          <w:lang w:val="es-ES"/>
        </w:rPr>
        <w:t>Tanto las ISRA como las IMMA se basan en las directrices de otros métodos de identificación de los lugares o paisajes marinos de importancia para la biodiversidad, como las Áreas Importantes para la Conservación de las Aves y la Biodiversidad (IBA), las Áreas de Importancia Ecológica o Biológica (EBSA) y las Áreas Clave para la Biodiversidad (KBA).</w:t>
      </w:r>
    </w:p>
    <w:p w14:paraId="0A0784A7" w14:textId="77777777" w:rsidR="002A664A" w:rsidRPr="002A664A" w:rsidRDefault="002A664A" w:rsidP="00D84B14">
      <w:pPr>
        <w:widowControl w:val="0"/>
        <w:autoSpaceDE w:val="0"/>
        <w:autoSpaceDN w:val="0"/>
        <w:adjustRightInd w:val="0"/>
        <w:spacing w:after="0" w:line="240" w:lineRule="auto"/>
        <w:ind w:right="4"/>
        <w:jc w:val="both"/>
        <w:rPr>
          <w:rFonts w:cs="Arial"/>
          <w:bCs/>
          <w:iCs/>
          <w:u w:val="single"/>
          <w:lang w:val="es-ES"/>
        </w:rPr>
      </w:pPr>
    </w:p>
    <w:p w14:paraId="5D78A873" w14:textId="77777777" w:rsidR="002A664A" w:rsidRPr="002A664A" w:rsidRDefault="002A664A" w:rsidP="00D84B14">
      <w:pPr>
        <w:widowControl w:val="0"/>
        <w:autoSpaceDE w:val="0"/>
        <w:autoSpaceDN w:val="0"/>
        <w:adjustRightInd w:val="0"/>
        <w:spacing w:after="0" w:line="240" w:lineRule="auto"/>
        <w:ind w:right="4"/>
        <w:jc w:val="both"/>
        <w:rPr>
          <w:rFonts w:cs="Arial"/>
          <w:bCs/>
          <w:i/>
          <w:lang w:val="es-ES"/>
        </w:rPr>
      </w:pPr>
      <w:r w:rsidRPr="002A664A">
        <w:rPr>
          <w:rFonts w:cs="Arial"/>
          <w:bCs/>
          <w:i/>
          <w:lang w:val="es-ES"/>
        </w:rPr>
        <w:t>Criterios y procesos de identificación de ISRA</w:t>
      </w:r>
    </w:p>
    <w:p w14:paraId="78E31CF0" w14:textId="77777777" w:rsidR="002A664A" w:rsidRPr="002A664A" w:rsidRDefault="002A664A" w:rsidP="00D84B14">
      <w:pPr>
        <w:widowControl w:val="0"/>
        <w:autoSpaceDE w:val="0"/>
        <w:autoSpaceDN w:val="0"/>
        <w:adjustRightInd w:val="0"/>
        <w:spacing w:after="0" w:line="240" w:lineRule="auto"/>
        <w:ind w:left="720" w:right="4"/>
        <w:contextualSpacing/>
        <w:jc w:val="both"/>
        <w:rPr>
          <w:rFonts w:cs="Arial"/>
          <w:bCs/>
          <w:iCs/>
          <w:lang w:val="es-ES"/>
        </w:rPr>
      </w:pPr>
    </w:p>
    <w:p w14:paraId="3BDA293C"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bCs/>
          <w:iCs/>
          <w:lang w:val="es-ES"/>
        </w:rPr>
        <w:t xml:space="preserve">Se desarrollaron cuatro criterios científicos estandarizados a nivel mundial, con siete subcriterios, basados en las aportaciones recopiladas durante cuatro talleres de expertos celebrados en 2022, organizados por el SSG de la CSE de la UICN y el Ocean Team de la UICN, con el apoyo del Grupo de Trabajo sobre Áreas Protegidas de Mamíferos Marinos de la UICN. En el Anexo 3 de este documento y en el sitio web de esta iniciativa se proporciona información detallada sobre estos criterios y sobre la forma en que deben aplicarse en: </w:t>
      </w:r>
      <w:hyperlink r:id="rId12" w:history="1">
        <w:r w:rsidRPr="002A664A">
          <w:rPr>
            <w:rFonts w:cs="Arial"/>
            <w:bCs/>
            <w:iCs/>
            <w:color w:val="0000FF"/>
            <w:u w:val="single"/>
            <w:lang w:val="es-ES"/>
          </w:rPr>
          <w:t>https://sharkrayareas.org/isra</w:t>
        </w:r>
      </w:hyperlink>
      <w:r w:rsidRPr="002A664A">
        <w:rPr>
          <w:rFonts w:cs="Arial"/>
          <w:bCs/>
          <w:iCs/>
          <w:lang w:val="es-ES"/>
        </w:rPr>
        <w:t>.</w:t>
      </w:r>
    </w:p>
    <w:p w14:paraId="3B6CBAFD" w14:textId="77777777" w:rsidR="002A664A" w:rsidRPr="002A664A" w:rsidRDefault="002A664A" w:rsidP="00D84B14">
      <w:pPr>
        <w:widowControl w:val="0"/>
        <w:autoSpaceDE w:val="0"/>
        <w:autoSpaceDN w:val="0"/>
        <w:adjustRightInd w:val="0"/>
        <w:spacing w:after="0" w:line="240" w:lineRule="auto"/>
        <w:ind w:left="720" w:right="4"/>
        <w:contextualSpacing/>
        <w:jc w:val="both"/>
        <w:rPr>
          <w:rFonts w:cs="Arial"/>
          <w:bCs/>
          <w:iCs/>
          <w:lang w:val="es-ES"/>
        </w:rPr>
      </w:pPr>
    </w:p>
    <w:p w14:paraId="554E4DBB"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bCs/>
          <w:iCs/>
          <w:lang w:val="es-ES"/>
        </w:rPr>
        <w:t>Los criterios de ISRA proporcionan un marco para ayudar en un proceso independiente, de expertos, para informar sobre la identificación y selección de áreas que son críticas para las poblaciones de tiburones, y para identificar porciones discretas y tridimensionales de hábitats importantes para una o más especies de tiburones, que tengan el potencial de delinearse y gestionarse para su conservación. Los criterios de ISRA pueden aplicarse a todos los entornos en los que haya tiburones (marinos, estuarios y de agua dulce) y en los que se tenga en cuenta la diversidad de especies, sus complejos comportamientos y la ecología, y sus necesidades biológicas. Se pretende que sea un recurso primario que sirva de base para la designación de Áreas de Interés preliminar (pAoI) y el desarrollo de áreas candidatas a Áreas Importantes para la Conservación de Tiburones y Rayas (cISRA) antes, y durante, los talleres regionales dirigidos por expertos.</w:t>
      </w:r>
    </w:p>
    <w:p w14:paraId="3808E643" w14:textId="77777777" w:rsidR="002A664A" w:rsidRPr="002A664A" w:rsidRDefault="002A664A" w:rsidP="00D84B14">
      <w:pPr>
        <w:widowControl w:val="0"/>
        <w:autoSpaceDE w:val="0"/>
        <w:autoSpaceDN w:val="0"/>
        <w:adjustRightInd w:val="0"/>
        <w:spacing w:after="0" w:line="240" w:lineRule="auto"/>
        <w:ind w:left="720" w:right="4"/>
        <w:contextualSpacing/>
        <w:jc w:val="both"/>
        <w:rPr>
          <w:rFonts w:cs="Arial"/>
          <w:bCs/>
          <w:iCs/>
          <w:lang w:val="es-ES"/>
        </w:rPr>
      </w:pPr>
    </w:p>
    <w:p w14:paraId="48765E53"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bCs/>
          <w:iCs/>
          <w:lang w:val="es-ES"/>
        </w:rPr>
        <w:t>La identificación de las ISRA se lleva a cabo región por región, con 13 regiones globales identificadas. Se prevé que cada año se pueda abarcar una o dos regiones, y que en 2027 se hayan evaluado todas las aguas del planeta. A lo largo del proceso de identificación, el SSG de la CSE de la UICN se comprometerá con los representantes de cada región para asegurar que se identifiquen a los expertos pertinentes que tengan la experiencia y habilidades necesarias para proponer ISRA, cotejar y evaluar los datos disponibles, y aplicar la prueba contra los Criterios ISRA. Las áreas candidatas a ISRA (cISRA) identificadas en el taller, se someten a la revisión de un Panel de Revisión Independiente antes de que las ISRA aparezcan en un Atlas en línea de ISRA. Idealmente, la reevaluación de las regiones tendrá lugar cada 10 años. En este tiempo, tanto los cambios ambientales (por ejemplo, calentamiento, áreas de distribución de las especies), como el estado de la Lista Roja de la UICN y la disponibilidad de datos implican que estaría justificado revisar la configuración regional de ISRA.</w:t>
      </w:r>
    </w:p>
    <w:p w14:paraId="1C8E8BF8" w14:textId="77777777" w:rsidR="002A664A" w:rsidRPr="002A664A" w:rsidRDefault="002A664A" w:rsidP="00D84B14">
      <w:pPr>
        <w:spacing w:after="0" w:line="240" w:lineRule="auto"/>
        <w:jc w:val="both"/>
        <w:rPr>
          <w:rFonts w:cs="Arial"/>
          <w:bCs/>
          <w:iCs/>
          <w:u w:val="single"/>
          <w:lang w:val="es-ES"/>
        </w:rPr>
      </w:pPr>
    </w:p>
    <w:p w14:paraId="239C60C5" w14:textId="77777777" w:rsidR="002A664A" w:rsidRPr="002A664A" w:rsidRDefault="002A664A" w:rsidP="00D84B14">
      <w:pPr>
        <w:spacing w:after="0" w:line="240" w:lineRule="auto"/>
        <w:jc w:val="both"/>
        <w:rPr>
          <w:rFonts w:cs="Arial"/>
          <w:bCs/>
          <w:i/>
          <w:lang w:val="es-ES"/>
        </w:rPr>
      </w:pPr>
      <w:r w:rsidRPr="002A664A">
        <w:rPr>
          <w:rFonts w:cs="Arial"/>
          <w:bCs/>
          <w:i/>
          <w:lang w:val="es-ES"/>
        </w:rPr>
        <w:t>Progresos en la aplicación</w:t>
      </w:r>
    </w:p>
    <w:p w14:paraId="4139251B" w14:textId="77777777" w:rsidR="002A664A" w:rsidRPr="002A664A" w:rsidRDefault="002A664A" w:rsidP="00D84B14">
      <w:pPr>
        <w:spacing w:after="0" w:line="240" w:lineRule="auto"/>
        <w:jc w:val="both"/>
        <w:rPr>
          <w:rFonts w:cs="Arial"/>
          <w:bCs/>
          <w:iCs/>
          <w:u w:val="single"/>
          <w:lang w:val="es-ES"/>
        </w:rPr>
      </w:pPr>
    </w:p>
    <w:p w14:paraId="60065798" w14:textId="77777777" w:rsidR="00C23DDE" w:rsidRDefault="002A664A" w:rsidP="00C23DDE">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bCs/>
          <w:iCs/>
          <w:lang w:val="es-ES"/>
        </w:rPr>
        <w:t xml:space="preserve">El primer taller de ISRA se celebró de forma híbrida (presencial y en línea) en Bogotá, Colombia, del 3 al 7 de octubre de 2022. El objetivo era identificar y delinear porciones tridimensionales y diferenciadas de hábitat que fueran críticas para las poblaciones de tiburones y que tuvieran el potencial para ser gestionadas con fines de conservación. El taller abarcó la Región 12 de ISRA (el Pacífico de América Central y del Sur (CSAP), desde el extremo de Baja California, en México, hasta el sur de Chile). </w:t>
      </w:r>
      <w:r w:rsidR="00722D80" w:rsidRPr="00722D80">
        <w:rPr>
          <w:rFonts w:cs="Arial"/>
          <w:bCs/>
          <w:iCs/>
          <w:lang w:val="es-ES"/>
        </w:rPr>
        <w:t>Esta colaboración científica entre expertos regionales y mundiales dio como resultado la identificación de 65 ISRAs, cinco ISRAs candidatas y 11 Áreas de Interés que ahora están mapeadas en el ISRA eAtlas (</w:t>
      </w:r>
      <w:hyperlink r:id="rId13" w:history="1">
        <w:r w:rsidR="00722D80" w:rsidRPr="0092421D">
          <w:rPr>
            <w:rStyle w:val="Hyperlink"/>
            <w:rFonts w:cs="Arial"/>
            <w:bCs/>
            <w:iCs/>
            <w:lang w:val="es-ES"/>
          </w:rPr>
          <w:t>www.sharkrayareas.org/e-atlas/</w:t>
        </w:r>
      </w:hyperlink>
      <w:r w:rsidR="00722D80" w:rsidRPr="00722D80">
        <w:rPr>
          <w:rFonts w:cs="Arial"/>
          <w:bCs/>
          <w:iCs/>
          <w:lang w:val="es-ES"/>
        </w:rPr>
        <w:t>).</w:t>
      </w:r>
    </w:p>
    <w:p w14:paraId="609B9BF4" w14:textId="77777777" w:rsidR="00C23DDE" w:rsidRDefault="00C23DDE" w:rsidP="00C23DDE">
      <w:pPr>
        <w:widowControl w:val="0"/>
        <w:autoSpaceDE w:val="0"/>
        <w:autoSpaceDN w:val="0"/>
        <w:adjustRightInd w:val="0"/>
        <w:spacing w:after="0" w:line="240" w:lineRule="auto"/>
        <w:ind w:left="540"/>
        <w:contextualSpacing/>
        <w:jc w:val="both"/>
        <w:rPr>
          <w:rFonts w:cs="Arial"/>
          <w:bCs/>
          <w:iCs/>
          <w:lang w:val="es-ES"/>
        </w:rPr>
      </w:pPr>
    </w:p>
    <w:p w14:paraId="22F9F878" w14:textId="27A39F4F" w:rsidR="00C23DDE" w:rsidRPr="00C23DDE" w:rsidRDefault="00C23DDE" w:rsidP="00C23DDE">
      <w:pPr>
        <w:widowControl w:val="0"/>
        <w:numPr>
          <w:ilvl w:val="0"/>
          <w:numId w:val="13"/>
        </w:numPr>
        <w:autoSpaceDE w:val="0"/>
        <w:autoSpaceDN w:val="0"/>
        <w:adjustRightInd w:val="0"/>
        <w:spacing w:after="0" w:line="240" w:lineRule="auto"/>
        <w:ind w:left="540" w:hanging="540"/>
        <w:contextualSpacing/>
        <w:jc w:val="both"/>
        <w:rPr>
          <w:rFonts w:cs="Arial"/>
          <w:lang w:val="es-ES"/>
        </w:rPr>
      </w:pPr>
      <w:r w:rsidRPr="00C23DDE">
        <w:rPr>
          <w:rFonts w:cs="Arial"/>
          <w:lang w:val="es-ES"/>
        </w:rPr>
        <w:t xml:space="preserve">El segundo taller de la ISRA se celebró en modo híbrido en Tesalónica (Grecia) del 8-12 de mayo de 2023. El taller </w:t>
      </w:r>
      <w:r w:rsidR="00632FB1" w:rsidRPr="00632FB1">
        <w:rPr>
          <w:rFonts w:cs="Arial"/>
          <w:lang w:val="es-ES"/>
        </w:rPr>
        <w:t>abarcó</w:t>
      </w:r>
      <w:r w:rsidRPr="00C23DDE">
        <w:rPr>
          <w:rFonts w:cs="Arial"/>
          <w:lang w:val="es-ES"/>
        </w:rPr>
        <w:t xml:space="preserve"> la Región 3 de la ISRA, el Mediterráneo y el Mar Negro. Las ISRA candidatas propuestas en el taller pasarán por un proceso de revisión por pares antes de ser finalizadas en agosto de 2023.</w:t>
      </w:r>
    </w:p>
    <w:p w14:paraId="6ABDE497" w14:textId="77777777" w:rsidR="00C23DDE" w:rsidRPr="00C23DDE" w:rsidRDefault="00C23DDE" w:rsidP="00C23DDE">
      <w:pPr>
        <w:widowControl w:val="0"/>
        <w:autoSpaceDE w:val="0"/>
        <w:autoSpaceDN w:val="0"/>
        <w:adjustRightInd w:val="0"/>
        <w:spacing w:after="0" w:line="240" w:lineRule="auto"/>
        <w:ind w:left="540"/>
        <w:contextualSpacing/>
        <w:jc w:val="both"/>
        <w:rPr>
          <w:rFonts w:cs="Arial"/>
          <w:lang w:val="es-ES"/>
        </w:rPr>
      </w:pPr>
    </w:p>
    <w:p w14:paraId="0A80BCDE" w14:textId="56B34624" w:rsidR="00041286" w:rsidRPr="00C23DDE" w:rsidRDefault="00C23DDE" w:rsidP="00C23DDE">
      <w:pPr>
        <w:widowControl w:val="0"/>
        <w:numPr>
          <w:ilvl w:val="0"/>
          <w:numId w:val="13"/>
        </w:numPr>
        <w:autoSpaceDE w:val="0"/>
        <w:autoSpaceDN w:val="0"/>
        <w:adjustRightInd w:val="0"/>
        <w:spacing w:after="0" w:line="240" w:lineRule="auto"/>
        <w:ind w:left="540" w:hanging="540"/>
        <w:contextualSpacing/>
        <w:jc w:val="both"/>
        <w:rPr>
          <w:rFonts w:cs="Arial"/>
          <w:lang w:val="es-ES"/>
        </w:rPr>
      </w:pPr>
      <w:r w:rsidRPr="00C23DDE">
        <w:rPr>
          <w:rFonts w:cs="Arial"/>
          <w:lang w:val="es-ES"/>
        </w:rPr>
        <w:t>El tercer taller de la ISRA está previsto para septiembre de 2023 y abarcará la región 7 de la ISRA, el Océano Índico occidental. Se prevé que las áreas delimitadas queden finalizadas en diciembre de 2023.</w:t>
      </w:r>
    </w:p>
    <w:p w14:paraId="72EAC175" w14:textId="77777777" w:rsidR="002A664A" w:rsidRPr="002A664A" w:rsidRDefault="002A664A" w:rsidP="00D84B14">
      <w:pPr>
        <w:spacing w:after="0" w:line="240" w:lineRule="auto"/>
        <w:jc w:val="both"/>
        <w:rPr>
          <w:rFonts w:cs="Arial"/>
          <w:lang w:val="es-ES"/>
        </w:rPr>
      </w:pPr>
    </w:p>
    <w:p w14:paraId="330CA02A" w14:textId="77777777" w:rsidR="002A664A" w:rsidRPr="002A664A" w:rsidRDefault="002A664A" w:rsidP="00D84B14">
      <w:pPr>
        <w:spacing w:after="0" w:line="240" w:lineRule="auto"/>
        <w:rPr>
          <w:rFonts w:cs="Arial"/>
          <w:u w:val="single"/>
          <w:lang w:val="es-ES"/>
        </w:rPr>
      </w:pPr>
      <w:r w:rsidRPr="002A664A">
        <w:rPr>
          <w:rFonts w:cs="Arial"/>
          <w:u w:val="single"/>
          <w:lang w:val="es-ES"/>
        </w:rPr>
        <w:t>Aprobación de los Signatarios del MdE sobre tiburones</w:t>
      </w:r>
    </w:p>
    <w:p w14:paraId="06692C13" w14:textId="77777777" w:rsidR="002A664A" w:rsidRPr="002A664A" w:rsidRDefault="002A664A" w:rsidP="00D84B14">
      <w:pPr>
        <w:spacing w:after="0" w:line="240" w:lineRule="auto"/>
        <w:rPr>
          <w:rFonts w:cs="Arial"/>
          <w:u w:val="single"/>
          <w:lang w:val="es-ES"/>
        </w:rPr>
      </w:pPr>
    </w:p>
    <w:p w14:paraId="0BCC8CF4"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lang w:val="es-ES"/>
        </w:rPr>
        <w:t>En la 4.</w:t>
      </w:r>
      <w:r w:rsidRPr="002A664A">
        <w:rPr>
          <w:rFonts w:cs="Arial"/>
          <w:vertAlign w:val="superscript"/>
          <w:lang w:val="es-ES"/>
        </w:rPr>
        <w:t>ª</w:t>
      </w:r>
      <w:r w:rsidRPr="002A664A">
        <w:rPr>
          <w:rFonts w:cs="Arial"/>
          <w:lang w:val="es-ES"/>
        </w:rPr>
        <w:t xml:space="preserve"> Reunión de los Signatarios del MdE sobre tiburones (MOS4), los Signatarios a</w:t>
      </w:r>
      <w:r w:rsidRPr="002A664A">
        <w:rPr>
          <w:rFonts w:cs="Arial"/>
          <w:bCs/>
          <w:iCs/>
          <w:lang w:val="es-ES"/>
        </w:rPr>
        <w:t>cogieron con beneplácito la Iniciativa y los progresos realizados por el SSG de la CSE de la UICN en el desarrollo de criterios sólidos de selección y revisión para identificar las ISRA, y reconocieron los criterios y el proceso de identificación publicados en el sitio web de ISRA (</w:t>
      </w:r>
      <w:hyperlink r:id="rId14" w:history="1">
        <w:r w:rsidRPr="002A664A">
          <w:rPr>
            <w:rFonts w:cs="Arial"/>
            <w:iCs/>
            <w:color w:val="0000FF"/>
            <w:u w:val="single"/>
            <w:lang w:val="es-ES"/>
          </w:rPr>
          <w:t>sharkrayareas.org</w:t>
        </w:r>
      </w:hyperlink>
      <w:r w:rsidRPr="002A664A">
        <w:rPr>
          <w:rFonts w:cs="Arial"/>
          <w:bCs/>
          <w:iCs/>
          <w:lang w:val="es-ES"/>
        </w:rPr>
        <w:t xml:space="preserve">) con cambios leves. Además, reconocieron que las ISRA suponen una clasificación consultiva, basada en expertos, que puede emplearse como un recurso valioso para la integración de las especies de tiburones, rayas y quimeras en las estrategias de conservación nacionales, regionales e internacionales existentes y futuras. </w:t>
      </w:r>
    </w:p>
    <w:p w14:paraId="41481B06" w14:textId="77777777" w:rsidR="002A664A" w:rsidRPr="002A664A" w:rsidRDefault="002A664A" w:rsidP="00D84B14">
      <w:pPr>
        <w:widowControl w:val="0"/>
        <w:autoSpaceDE w:val="0"/>
        <w:autoSpaceDN w:val="0"/>
        <w:adjustRightInd w:val="0"/>
        <w:spacing w:after="0" w:line="240" w:lineRule="auto"/>
        <w:ind w:left="540"/>
        <w:contextualSpacing/>
        <w:jc w:val="both"/>
        <w:rPr>
          <w:rFonts w:cs="Arial"/>
          <w:bCs/>
          <w:iCs/>
          <w:lang w:val="es-ES"/>
        </w:rPr>
      </w:pPr>
    </w:p>
    <w:p w14:paraId="0641795E"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strike/>
          <w:lang w:val="es-ES"/>
        </w:rPr>
      </w:pPr>
      <w:r w:rsidRPr="002A664A">
        <w:rPr>
          <w:rFonts w:cs="Arial"/>
          <w:bCs/>
          <w:iCs/>
          <w:lang w:val="es-ES"/>
        </w:rPr>
        <w:t>Los Signatarios incluyeron a</w:t>
      </w:r>
      <w:r w:rsidRPr="002A664A">
        <w:rPr>
          <w:lang w:val="es-ES"/>
        </w:rPr>
        <w:t xml:space="preserve">ctividades para apoyar la implementación de la iniciativa en su Programa de Trabajo (2023-2025) y </w:t>
      </w:r>
      <w:r w:rsidRPr="002A664A">
        <w:rPr>
          <w:rFonts w:cs="Arial"/>
          <w:bCs/>
          <w:iCs/>
          <w:lang w:val="es-ES"/>
        </w:rPr>
        <w:t xml:space="preserve">acordaron, en la medida de lo posible, apoyar y alentar al SSG de la CSE de la UICN para avanzar en estos planteamientos, en consulta con los Signatarios y los Estados del área de distribución, y apoyar al SSG de la CSE de la UICN, según corresponda y sea factible, en la identificación de las ISRA, incluyendo el intercambio de información y conocimientos pertinentes y, por ejemplo, proporcionando datos, cuando estén disponibles. </w:t>
      </w:r>
    </w:p>
    <w:p w14:paraId="1129641A" w14:textId="77777777" w:rsidR="002A664A" w:rsidRPr="002A664A" w:rsidRDefault="002A664A" w:rsidP="00D84B14">
      <w:pPr>
        <w:spacing w:after="0" w:line="240" w:lineRule="auto"/>
        <w:rPr>
          <w:rFonts w:cs="Arial"/>
          <w:u w:val="single"/>
          <w:lang w:val="es-ES"/>
        </w:rPr>
      </w:pPr>
      <w:r w:rsidRPr="002A664A">
        <w:rPr>
          <w:rFonts w:cs="Arial"/>
          <w:u w:val="single"/>
          <w:lang w:val="es-ES"/>
        </w:rPr>
        <w:lastRenderedPageBreak/>
        <w:t>Debate y análisis</w:t>
      </w:r>
    </w:p>
    <w:p w14:paraId="7BF1F336" w14:textId="77777777" w:rsidR="002A664A" w:rsidRPr="002A664A" w:rsidRDefault="002A664A" w:rsidP="00D84B14">
      <w:pPr>
        <w:spacing w:after="0" w:line="240" w:lineRule="auto"/>
        <w:rPr>
          <w:rFonts w:cs="Arial"/>
          <w:lang w:val="es-ES"/>
        </w:rPr>
      </w:pPr>
    </w:p>
    <w:p w14:paraId="0C0C608C"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Cs/>
          <w:iCs/>
          <w:lang w:val="es-ES"/>
        </w:rPr>
      </w:pPr>
      <w:r w:rsidRPr="002A664A">
        <w:rPr>
          <w:rFonts w:cs="Arial"/>
          <w:bCs/>
          <w:iCs/>
          <w:lang w:val="es-ES"/>
        </w:rPr>
        <w:t>La iniciativa de ISRA contribuirá significativamente a la implementación de varios de los mandatos de la CMS, entre ellos el de los Artículos II (1) y III (4) de la Convención sobre Especies Migratorias y el MdE sobre Tiburones de la CMS. Su objetivo es aumentar la identificación de las necesidades de hábitat de los tiburones y rayas, guiar el desarrollo de iniciativas de conservación basadas en áreas y contribuir a la reducción de la mortalidad y la recuperación de las poblaciones. Al incrementar la conciencia sobre la importancia de tener en cuenta a los tiburones y rayas en la ordenación del espacio marino, se proporcionarán orientaciones para el diseño e implementación de las medidas de conservación que reducirán la mortalidad y restablecerán las poblaciones.</w:t>
      </w:r>
    </w:p>
    <w:p w14:paraId="51E08D23" w14:textId="77777777" w:rsidR="002A664A" w:rsidRPr="002A664A" w:rsidRDefault="002A664A" w:rsidP="00D84B14">
      <w:pPr>
        <w:widowControl w:val="0"/>
        <w:autoSpaceDE w:val="0"/>
        <w:autoSpaceDN w:val="0"/>
        <w:adjustRightInd w:val="0"/>
        <w:spacing w:after="0" w:line="240" w:lineRule="auto"/>
        <w:ind w:left="540"/>
        <w:contextualSpacing/>
        <w:jc w:val="both"/>
        <w:rPr>
          <w:rFonts w:cs="Arial"/>
          <w:b/>
          <w:iCs/>
          <w:lang w:val="es-ES"/>
        </w:rPr>
      </w:pPr>
    </w:p>
    <w:p w14:paraId="2E934CFC" w14:textId="77777777" w:rsidR="002A664A" w:rsidRPr="002A664A" w:rsidRDefault="002A664A" w:rsidP="00D84B14">
      <w:pPr>
        <w:widowControl w:val="0"/>
        <w:numPr>
          <w:ilvl w:val="0"/>
          <w:numId w:val="13"/>
        </w:numPr>
        <w:autoSpaceDE w:val="0"/>
        <w:autoSpaceDN w:val="0"/>
        <w:adjustRightInd w:val="0"/>
        <w:spacing w:after="0" w:line="240" w:lineRule="auto"/>
        <w:ind w:left="540" w:hanging="540"/>
        <w:contextualSpacing/>
        <w:jc w:val="both"/>
        <w:rPr>
          <w:rFonts w:cs="Arial"/>
          <w:b/>
          <w:iCs/>
          <w:lang w:val="es-ES"/>
        </w:rPr>
      </w:pPr>
      <w:r w:rsidRPr="002A664A">
        <w:rPr>
          <w:rFonts w:cs="Arial"/>
          <w:bCs/>
          <w:iCs/>
          <w:lang w:val="es-ES"/>
        </w:rPr>
        <w:t xml:space="preserve">El resultado previsto, un mapa global de las ISRA identificadas, será fundamental para ayudar a las Partes a identificar y priorizar las áreas marinas de conservación que son más críticas para la supervivencia de los tiburones y rayas incluidos en los Apéndices de la CMS. Esto será especialmente importante a la luz del «objetivo 30 para el 30», un propósito importante del Marco Mundial de Biodiversidad con el objetivo de conservar y gestionar eficazmente al menos el 30 % de las zonas costeras y marinas. La Secretaría, por tanto, sugiere apoyar la iniciativa en la medida en que sea factible y apropiado a través de la Convención. </w:t>
      </w:r>
    </w:p>
    <w:p w14:paraId="02E0300A" w14:textId="77777777" w:rsidR="002A664A" w:rsidRPr="002A664A" w:rsidRDefault="002A664A" w:rsidP="00D84B14">
      <w:pPr>
        <w:spacing w:after="0" w:line="240" w:lineRule="auto"/>
        <w:jc w:val="both"/>
        <w:rPr>
          <w:rFonts w:cs="Arial"/>
          <w:lang w:val="es-ES"/>
        </w:rPr>
      </w:pPr>
    </w:p>
    <w:p w14:paraId="6D9FA701" w14:textId="77777777" w:rsidR="002A664A" w:rsidRPr="002A664A" w:rsidRDefault="002A664A" w:rsidP="00D84B14">
      <w:pPr>
        <w:spacing w:after="0" w:line="240" w:lineRule="auto"/>
        <w:rPr>
          <w:rFonts w:cs="Arial"/>
          <w:lang w:val="es-ES"/>
        </w:rPr>
      </w:pPr>
      <w:r w:rsidRPr="002A664A">
        <w:rPr>
          <w:rFonts w:cs="Arial"/>
          <w:u w:val="single"/>
          <w:lang w:val="es-ES"/>
        </w:rPr>
        <w:t>Acciones recomendadas</w:t>
      </w:r>
    </w:p>
    <w:p w14:paraId="20D6B420" w14:textId="77777777" w:rsidR="002A664A" w:rsidRPr="002A664A" w:rsidRDefault="002A664A" w:rsidP="00D84B14">
      <w:pPr>
        <w:spacing w:after="0" w:line="240" w:lineRule="auto"/>
        <w:rPr>
          <w:rFonts w:cs="Arial"/>
          <w:lang w:val="es-ES"/>
        </w:rPr>
      </w:pPr>
    </w:p>
    <w:p w14:paraId="67C8E340" w14:textId="77777777" w:rsidR="002A664A" w:rsidRPr="002A664A" w:rsidRDefault="002A664A" w:rsidP="00D84B14">
      <w:pPr>
        <w:widowControl w:val="0"/>
        <w:numPr>
          <w:ilvl w:val="0"/>
          <w:numId w:val="13"/>
        </w:numPr>
        <w:autoSpaceDE w:val="0"/>
        <w:autoSpaceDN w:val="0"/>
        <w:adjustRightInd w:val="0"/>
        <w:spacing w:after="0" w:line="240" w:lineRule="auto"/>
        <w:ind w:left="567" w:hanging="567"/>
        <w:jc w:val="both"/>
        <w:rPr>
          <w:rFonts w:cs="Arial"/>
          <w:lang w:val="es-ES"/>
        </w:rPr>
      </w:pPr>
      <w:r w:rsidRPr="002A664A">
        <w:rPr>
          <w:rFonts w:cs="Arial"/>
          <w:lang w:val="es-ES" w:eastAsia="es-ES"/>
        </w:rPr>
        <w:t>Se recomienda a la Conferencia de las Partes:</w:t>
      </w:r>
    </w:p>
    <w:p w14:paraId="712BE211" w14:textId="77777777" w:rsidR="002A664A" w:rsidRPr="002A664A" w:rsidRDefault="002A664A" w:rsidP="00D84B14">
      <w:pPr>
        <w:spacing w:after="0" w:line="240" w:lineRule="auto"/>
        <w:rPr>
          <w:lang w:val="es-ES"/>
        </w:rPr>
      </w:pPr>
    </w:p>
    <w:p w14:paraId="3B8C9B84" w14:textId="74E32986" w:rsidR="002A664A" w:rsidRPr="00F13FE3" w:rsidRDefault="002A664A" w:rsidP="00F13FE3">
      <w:pPr>
        <w:pStyle w:val="ListParagraph"/>
        <w:numPr>
          <w:ilvl w:val="0"/>
          <w:numId w:val="14"/>
        </w:numPr>
        <w:spacing w:after="0" w:line="240" w:lineRule="auto"/>
        <w:ind w:left="900"/>
        <w:rPr>
          <w:lang w:val="es-ES"/>
        </w:rPr>
      </w:pPr>
      <w:r w:rsidRPr="00F13FE3">
        <w:rPr>
          <w:rFonts w:cs="Arial"/>
          <w:lang w:val="es-ES"/>
        </w:rPr>
        <w:t xml:space="preserve">adoptar el </w:t>
      </w:r>
      <w:r w:rsidR="006C12AD">
        <w:rPr>
          <w:rFonts w:cs="Arial"/>
          <w:lang w:val="es-ES"/>
        </w:rPr>
        <w:t>proyecto</w:t>
      </w:r>
      <w:r w:rsidRPr="00F13FE3">
        <w:rPr>
          <w:rFonts w:cs="Arial"/>
          <w:lang w:val="es-ES"/>
        </w:rPr>
        <w:t xml:space="preserve"> de Resolución que figura en el Anexo 1 de este documento; </w:t>
      </w:r>
    </w:p>
    <w:p w14:paraId="1C36DBD1" w14:textId="77777777" w:rsidR="002A664A" w:rsidRPr="002A664A" w:rsidRDefault="002A664A" w:rsidP="00F13FE3">
      <w:pPr>
        <w:spacing w:after="0" w:line="240" w:lineRule="auto"/>
        <w:ind w:left="900" w:hanging="360"/>
        <w:rPr>
          <w:lang w:val="es-ES"/>
        </w:rPr>
      </w:pPr>
    </w:p>
    <w:p w14:paraId="7F9B91A0" w14:textId="784741BF" w:rsidR="002A664A" w:rsidRPr="00F13FE3" w:rsidRDefault="002A664A" w:rsidP="00F13FE3">
      <w:pPr>
        <w:pStyle w:val="ListParagraph"/>
        <w:numPr>
          <w:ilvl w:val="0"/>
          <w:numId w:val="14"/>
        </w:numPr>
        <w:spacing w:after="0" w:line="240" w:lineRule="auto"/>
        <w:ind w:left="900"/>
        <w:rPr>
          <w:lang w:val="es-ES"/>
        </w:rPr>
      </w:pPr>
      <w:r w:rsidRPr="00F13FE3">
        <w:rPr>
          <w:rFonts w:cs="Arial"/>
          <w:lang w:val="es-ES"/>
        </w:rPr>
        <w:t xml:space="preserve">adoptar el </w:t>
      </w:r>
      <w:r w:rsidR="006C12AD">
        <w:rPr>
          <w:rFonts w:cs="Arial"/>
          <w:lang w:val="es-ES"/>
        </w:rPr>
        <w:t>proyecto</w:t>
      </w:r>
      <w:r w:rsidRPr="00F13FE3">
        <w:rPr>
          <w:rFonts w:cs="Arial"/>
          <w:lang w:val="es-ES"/>
        </w:rPr>
        <w:t xml:space="preserve"> de Decisiones que figura en el Anexo 2 de este documento;</w:t>
      </w:r>
    </w:p>
    <w:p w14:paraId="0E2EA9E1" w14:textId="77777777" w:rsidR="002A664A" w:rsidRPr="002A664A" w:rsidRDefault="002A664A" w:rsidP="00F13FE3">
      <w:pPr>
        <w:spacing w:after="0" w:line="240" w:lineRule="auto"/>
        <w:ind w:left="900" w:hanging="360"/>
        <w:rPr>
          <w:lang w:val="es-ES"/>
        </w:rPr>
      </w:pPr>
    </w:p>
    <w:p w14:paraId="2F37CEDE" w14:textId="77777777" w:rsidR="002A664A" w:rsidRPr="00F13FE3" w:rsidRDefault="002A664A" w:rsidP="00F13FE3">
      <w:pPr>
        <w:pStyle w:val="ListParagraph"/>
        <w:numPr>
          <w:ilvl w:val="0"/>
          <w:numId w:val="14"/>
        </w:numPr>
        <w:spacing w:after="0" w:line="240" w:lineRule="auto"/>
        <w:ind w:left="900"/>
        <w:rPr>
          <w:lang w:val="es-ES"/>
        </w:rPr>
      </w:pPr>
      <w:r w:rsidRPr="00F13FE3">
        <w:rPr>
          <w:rFonts w:cs="Arial"/>
          <w:lang w:val="es-ES"/>
        </w:rPr>
        <w:t xml:space="preserve">tomar nota de los criterios y procesos de identificación de ISRA que figuran en el Anexo 3 de este documento. </w:t>
      </w:r>
    </w:p>
    <w:p w14:paraId="035054B1" w14:textId="77777777" w:rsidR="002D5F2A" w:rsidRDefault="002D5F2A" w:rsidP="00002A97">
      <w:pPr>
        <w:widowControl w:val="0"/>
        <w:suppressAutoHyphens/>
        <w:autoSpaceDE w:val="0"/>
        <w:autoSpaceDN w:val="0"/>
        <w:spacing w:after="0" w:line="240" w:lineRule="auto"/>
        <w:textAlignment w:val="baseline"/>
        <w:rPr>
          <w:rFonts w:eastAsia="Times New Roman" w:cs="Arial"/>
          <w:lang w:val="es-ES" w:eastAsia="es-ES"/>
        </w:rPr>
      </w:pPr>
    </w:p>
    <w:p w14:paraId="11F28211"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3DF3525A" w14:textId="77777777" w:rsidR="00F13FE3" w:rsidRDefault="00F13FE3">
      <w:pPr>
        <w:rPr>
          <w:rFonts w:eastAsia="Times New Roman" w:cs="Arial"/>
          <w:lang w:val="es-ES" w:eastAsia="es-ES"/>
        </w:rPr>
        <w:sectPr w:rsidR="00F13FE3" w:rsidSect="0024591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112E99E1" w14:textId="77777777" w:rsidR="008B540B" w:rsidRPr="00344468" w:rsidRDefault="008B540B" w:rsidP="008B540B">
      <w:pPr>
        <w:pStyle w:val="Secondnumbering"/>
        <w:numPr>
          <w:ilvl w:val="0"/>
          <w:numId w:val="0"/>
        </w:numPr>
        <w:jc w:val="right"/>
        <w:rPr>
          <w:lang w:val="es-ES"/>
        </w:rPr>
      </w:pPr>
      <w:r w:rsidRPr="00344468">
        <w:rPr>
          <w:rFonts w:cs="Arial"/>
          <w:b/>
          <w:caps/>
          <w:lang w:val="es-ES"/>
        </w:rPr>
        <w:lastRenderedPageBreak/>
        <w:t>Anexo 1</w:t>
      </w:r>
    </w:p>
    <w:p w14:paraId="43D1F74C" w14:textId="77777777" w:rsidR="008B540B" w:rsidRPr="00344468" w:rsidRDefault="008B540B" w:rsidP="008B540B">
      <w:pPr>
        <w:pStyle w:val="Secondnumbering"/>
        <w:numPr>
          <w:ilvl w:val="0"/>
          <w:numId w:val="0"/>
        </w:numPr>
        <w:rPr>
          <w:lang w:val="es-ES"/>
        </w:rPr>
      </w:pPr>
    </w:p>
    <w:p w14:paraId="6908FF0A" w14:textId="77777777" w:rsidR="008B540B" w:rsidRPr="00344468" w:rsidRDefault="008B540B" w:rsidP="008B540B">
      <w:pPr>
        <w:pStyle w:val="Secondnumbering"/>
        <w:numPr>
          <w:ilvl w:val="0"/>
          <w:numId w:val="0"/>
        </w:numPr>
        <w:rPr>
          <w:lang w:val="es-ES"/>
        </w:rPr>
      </w:pPr>
    </w:p>
    <w:p w14:paraId="192D1A12" w14:textId="74C1C5C9" w:rsidR="008B540B" w:rsidRPr="00344468" w:rsidRDefault="006C12AD" w:rsidP="008B540B">
      <w:pPr>
        <w:widowControl w:val="0"/>
        <w:autoSpaceDE w:val="0"/>
        <w:autoSpaceDN w:val="0"/>
        <w:adjustRightInd w:val="0"/>
        <w:spacing w:after="0" w:line="240" w:lineRule="auto"/>
        <w:jc w:val="center"/>
        <w:rPr>
          <w:rFonts w:eastAsia="Times New Roman" w:cs="Arial"/>
          <w:lang w:val="es-ES"/>
        </w:rPr>
      </w:pPr>
      <w:r>
        <w:rPr>
          <w:rFonts w:eastAsia="Times New Roman" w:cs="Arial"/>
          <w:lang w:val="es-ES"/>
        </w:rPr>
        <w:t>PROYECTO</w:t>
      </w:r>
      <w:r w:rsidR="008B540B" w:rsidRPr="00344468">
        <w:rPr>
          <w:rFonts w:eastAsia="Times New Roman" w:cs="Arial"/>
          <w:lang w:val="es-ES"/>
        </w:rPr>
        <w:t xml:space="preserve"> DE RESOLUCIÓN</w:t>
      </w:r>
    </w:p>
    <w:p w14:paraId="724DEC8B" w14:textId="77777777" w:rsidR="008B540B" w:rsidRPr="008B540B" w:rsidRDefault="008B540B" w:rsidP="008B540B">
      <w:pPr>
        <w:widowControl w:val="0"/>
        <w:autoSpaceDE w:val="0"/>
        <w:autoSpaceDN w:val="0"/>
        <w:adjustRightInd w:val="0"/>
        <w:spacing w:after="0" w:line="240" w:lineRule="auto"/>
        <w:jc w:val="both"/>
        <w:rPr>
          <w:rFonts w:eastAsia="Times New Roman" w:cs="Arial"/>
          <w:i/>
          <w:lang w:val="es-ES"/>
        </w:rPr>
      </w:pPr>
    </w:p>
    <w:p w14:paraId="32787FB1" w14:textId="77777777" w:rsidR="008B540B" w:rsidRPr="008B540B" w:rsidRDefault="008B540B" w:rsidP="008B540B">
      <w:pPr>
        <w:widowControl w:val="0"/>
        <w:autoSpaceDE w:val="0"/>
        <w:autoSpaceDN w:val="0"/>
        <w:adjustRightInd w:val="0"/>
        <w:spacing w:after="0" w:line="240" w:lineRule="auto"/>
        <w:jc w:val="both"/>
        <w:rPr>
          <w:rFonts w:eastAsia="Times New Roman" w:cs="Arial"/>
          <w:lang w:val="es-ES"/>
        </w:rPr>
      </w:pPr>
    </w:p>
    <w:p w14:paraId="53C7720E" w14:textId="77777777" w:rsidR="008B540B" w:rsidRPr="00344468" w:rsidRDefault="008B540B" w:rsidP="008B540B">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r w:rsidRPr="00344468">
        <w:rPr>
          <w:rFonts w:eastAsia="Times New Roman" w:cs="Arial"/>
          <w:b/>
          <w:caps/>
          <w:lang w:val="es-ES"/>
        </w:rPr>
        <w:t>ÁREAS IMPORTANTES DE TIBURONES Y RAYAS (ISRA)</w:t>
      </w:r>
    </w:p>
    <w:p w14:paraId="256F6B3D" w14:textId="77777777" w:rsidR="008B540B" w:rsidRPr="00344468" w:rsidRDefault="008B540B" w:rsidP="008B540B">
      <w:pPr>
        <w:widowControl w:val="0"/>
        <w:autoSpaceDE w:val="0"/>
        <w:autoSpaceDN w:val="0"/>
        <w:adjustRightInd w:val="0"/>
        <w:spacing w:after="0" w:line="240" w:lineRule="auto"/>
        <w:jc w:val="both"/>
        <w:rPr>
          <w:rFonts w:eastAsia="Times New Roman" w:cs="Arial"/>
          <w:lang w:val="es-ES"/>
        </w:rPr>
      </w:pPr>
    </w:p>
    <w:p w14:paraId="3E71C912"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2E3B7D13"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r w:rsidRPr="00344468">
        <w:rPr>
          <w:rFonts w:eastAsia="Times New Roman" w:cs="Arial"/>
          <w:i/>
          <w:lang w:val="es-ES"/>
        </w:rPr>
        <w:t xml:space="preserve">Alarmados </w:t>
      </w:r>
      <w:r w:rsidRPr="00344468">
        <w:rPr>
          <w:rFonts w:eastAsia="Times New Roman" w:cs="Arial"/>
          <w:iCs/>
          <w:lang w:val="es-ES"/>
        </w:rPr>
        <w:t>porque los tiburones, rayas y quimeras se enfrentan a una crisis de biodiversidad con un 37 % de especies amenazadas de extinción debido a la sobrepesca.</w:t>
      </w:r>
    </w:p>
    <w:p w14:paraId="3B3A0AF5"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3CC336AA" w14:textId="77777777" w:rsidR="008B540B" w:rsidRPr="00344468" w:rsidRDefault="008B540B" w:rsidP="008B540B">
      <w:pPr>
        <w:widowControl w:val="0"/>
        <w:autoSpaceDE w:val="0"/>
        <w:autoSpaceDN w:val="0"/>
        <w:adjustRightInd w:val="0"/>
        <w:spacing w:after="0" w:line="240" w:lineRule="auto"/>
        <w:jc w:val="both"/>
        <w:rPr>
          <w:rFonts w:eastAsia="Times New Roman" w:cs="Arial"/>
          <w:iCs/>
          <w:lang w:val="es-ES"/>
        </w:rPr>
      </w:pPr>
      <w:r w:rsidRPr="00344468">
        <w:rPr>
          <w:rFonts w:eastAsia="Times New Roman" w:cs="Arial"/>
          <w:i/>
          <w:lang w:val="es-ES"/>
        </w:rPr>
        <w:t xml:space="preserve">Conscientes </w:t>
      </w:r>
      <w:r w:rsidRPr="00344468">
        <w:rPr>
          <w:rFonts w:eastAsia="Times New Roman" w:cs="Arial"/>
          <w:iCs/>
          <w:lang w:val="es-ES"/>
        </w:rPr>
        <w:t>de que la conservación basada en áreas geográficas específicas es esencial para salvaguardar la biodiversidad en declive, y preocupados por el hecho de que los tiburones, rayas y quimeras sean ignorados en muchos esfuerzos nacionales e internacionales por desarrollar y aplicar medidas de conservación y gestión marina basadas en áreas geográficas específicas, como la creación de áreas marinas protegidas y otras formas de protección de hábitats.</w:t>
      </w:r>
    </w:p>
    <w:p w14:paraId="2814F38C" w14:textId="77777777" w:rsidR="008B540B" w:rsidRPr="00344468" w:rsidRDefault="008B540B" w:rsidP="008B540B">
      <w:pPr>
        <w:widowControl w:val="0"/>
        <w:autoSpaceDE w:val="0"/>
        <w:autoSpaceDN w:val="0"/>
        <w:adjustRightInd w:val="0"/>
        <w:spacing w:after="0" w:line="240" w:lineRule="auto"/>
        <w:jc w:val="both"/>
        <w:rPr>
          <w:rFonts w:eastAsia="Times New Roman" w:cs="Arial"/>
          <w:iCs/>
          <w:lang w:val="es-ES"/>
        </w:rPr>
      </w:pPr>
    </w:p>
    <w:p w14:paraId="46D008E4" w14:textId="77777777" w:rsidR="008B540B" w:rsidRPr="00344468" w:rsidRDefault="008B540B" w:rsidP="008B540B">
      <w:pPr>
        <w:widowControl w:val="0"/>
        <w:autoSpaceDE w:val="0"/>
        <w:autoSpaceDN w:val="0"/>
        <w:adjustRightInd w:val="0"/>
        <w:spacing w:after="0" w:line="240" w:lineRule="auto"/>
        <w:jc w:val="both"/>
        <w:rPr>
          <w:rFonts w:eastAsia="Times New Roman" w:cs="Arial"/>
          <w:iCs/>
          <w:lang w:val="es-ES"/>
        </w:rPr>
      </w:pPr>
      <w:r w:rsidRPr="00344468">
        <w:rPr>
          <w:rFonts w:eastAsia="Times New Roman" w:cs="Arial"/>
          <w:i/>
          <w:lang w:val="es-ES"/>
        </w:rPr>
        <w:t>Acogiendo con beneplácito</w:t>
      </w:r>
      <w:r w:rsidRPr="00344468">
        <w:rPr>
          <w:rFonts w:eastAsia="Times New Roman" w:cs="Arial"/>
          <w:iCs/>
          <w:lang w:val="es-ES"/>
        </w:rPr>
        <w:t xml:space="preserve"> el objetivo 3 del Marco Mundial para la Biodiversidad de Kunming-Montreal cuyo objetivo es</w:t>
      </w:r>
      <w:r w:rsidRPr="00344468">
        <w:rPr>
          <w:rFonts w:eastAsia="Times New Roman" w:cs="Arial"/>
          <w:b/>
          <w:bCs/>
          <w:iCs/>
          <w:lang w:val="es-ES"/>
        </w:rPr>
        <w:t xml:space="preserve"> </w:t>
      </w:r>
      <w:r w:rsidRPr="00344468">
        <w:rPr>
          <w:rFonts w:eastAsia="Times New Roman" w:cs="Arial"/>
          <w:iCs/>
          <w:lang w:val="es-ES"/>
        </w:rPr>
        <w:t xml:space="preserve">garantizar y permitir que, para 2030, al menos el 30 % de las zonas terrestres, de aguas continentales, costeras y marinas, especialmente las zonas de especial importancia para la biodiversidad y las funciones y servicios de los ecosistemas, se conserven y gestionen eficazmente. </w:t>
      </w:r>
    </w:p>
    <w:p w14:paraId="35F1F429"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1E30A0DD"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r w:rsidRPr="00344468">
        <w:rPr>
          <w:rFonts w:eastAsia="Times New Roman" w:cs="Arial"/>
          <w:i/>
          <w:lang w:val="es-ES"/>
        </w:rPr>
        <w:t xml:space="preserve">Recordando </w:t>
      </w:r>
      <w:r w:rsidRPr="00344468">
        <w:rPr>
          <w:rFonts w:eastAsia="Times New Roman" w:cs="Arial"/>
          <w:iCs/>
          <w:lang w:val="es-ES"/>
        </w:rPr>
        <w:t>el Memorando de Entendimiento sobre la Conservación de los Tiburones Migratorios (MdE sobre tiburones) que insta en el Art. 13 (f) a «Identificar y realizar estudios sobre la migración, la agregación, los hábitats críticos, la ecología, el comportamiento y las fases vitales de los tiburones y, en la medida de lo posible, proteger estos lugares»</w:t>
      </w:r>
      <w:r w:rsidRPr="00344468">
        <w:rPr>
          <w:rFonts w:eastAsia="Times New Roman" w:cs="Arial"/>
          <w:i/>
          <w:lang w:val="es-ES"/>
        </w:rPr>
        <w:t>.</w:t>
      </w:r>
    </w:p>
    <w:p w14:paraId="4A97FB34"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438CC737" w14:textId="77777777" w:rsidR="008B540B" w:rsidRPr="00344468" w:rsidRDefault="008B540B" w:rsidP="008B540B">
      <w:pPr>
        <w:widowControl w:val="0"/>
        <w:autoSpaceDE w:val="0"/>
        <w:autoSpaceDN w:val="0"/>
        <w:adjustRightInd w:val="0"/>
        <w:spacing w:after="0" w:line="240" w:lineRule="auto"/>
        <w:jc w:val="both"/>
        <w:rPr>
          <w:rFonts w:eastAsia="Times New Roman" w:cs="Arial"/>
          <w:iCs/>
          <w:lang w:val="es-ES"/>
        </w:rPr>
      </w:pPr>
      <w:r w:rsidRPr="00344468">
        <w:rPr>
          <w:rFonts w:eastAsia="Times New Roman" w:cs="Arial"/>
          <w:i/>
          <w:lang w:val="es-ES"/>
        </w:rPr>
        <w:t>Reconociendo</w:t>
      </w:r>
      <w:r w:rsidRPr="00344468">
        <w:rPr>
          <w:rFonts w:eastAsia="Times New Roman" w:cs="Arial"/>
          <w:iCs/>
          <w:lang w:val="es-ES"/>
        </w:rPr>
        <w:t xml:space="preserve"> que las Áreas Importantes de Tiburones y Rayas (ISRA) son una clasificación consultiva, basada en expertos, que se aplica a los océanos del mundo, y a las masas de agua continentales relevantes, y que consiste en porciones diferenciadas de hábitat, importantes para las especies de tiburones, rayas y quimeras, que tienen el potencial de ser delineadas y gestionadas para su conservación.  </w:t>
      </w:r>
    </w:p>
    <w:p w14:paraId="0AC37435"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074DC5F6" w14:textId="77777777" w:rsidR="008B540B" w:rsidRPr="00344468" w:rsidRDefault="008B540B" w:rsidP="008B540B">
      <w:pPr>
        <w:widowControl w:val="0"/>
        <w:autoSpaceDE w:val="0"/>
        <w:autoSpaceDN w:val="0"/>
        <w:adjustRightInd w:val="0"/>
        <w:spacing w:after="0" w:line="240" w:lineRule="auto"/>
        <w:jc w:val="both"/>
        <w:rPr>
          <w:rFonts w:eastAsia="Times New Roman" w:cs="Arial"/>
          <w:iCs/>
          <w:lang w:val="es-ES"/>
        </w:rPr>
      </w:pPr>
      <w:r w:rsidRPr="00344468">
        <w:rPr>
          <w:rFonts w:eastAsia="Times New Roman" w:cs="Arial"/>
          <w:i/>
          <w:lang w:val="es-ES"/>
        </w:rPr>
        <w:t>Recordando</w:t>
      </w:r>
      <w:r w:rsidRPr="00344468">
        <w:rPr>
          <w:rFonts w:eastAsia="Times New Roman" w:cs="Arial"/>
          <w:iCs/>
          <w:lang w:val="es-ES"/>
        </w:rPr>
        <w:t xml:space="preserve"> la Resolución 12.13 de la CMS, </w:t>
      </w:r>
      <w:r w:rsidRPr="00344468">
        <w:rPr>
          <w:rFonts w:eastAsia="Times New Roman" w:cs="Arial"/>
          <w:i/>
          <w:lang w:val="es-ES"/>
        </w:rPr>
        <w:t>Áreas Importantes para los Mamíferos Marinos (IMMA)</w:t>
      </w:r>
      <w:r w:rsidRPr="00344468">
        <w:rPr>
          <w:rFonts w:eastAsia="Times New Roman" w:cs="Arial"/>
          <w:iCs/>
          <w:lang w:val="es-ES"/>
        </w:rPr>
        <w:t xml:space="preserve"> que, entre otras cosas, reconoce los criterios y el proceso de identificación de las IMMA para los mamíferos marinos incluidos en las listas de la CMS, solicita a las Partes e invita a los Estados del área de distribución, a las organizaciones intergubernamentales y a los socios a identificar áreas específicas en las que la identificación de las IMMA podría ser especialmente favorable.</w:t>
      </w:r>
    </w:p>
    <w:p w14:paraId="4DB02464"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7970E8BE"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r w:rsidRPr="00344468">
        <w:rPr>
          <w:rFonts w:eastAsia="Times New Roman" w:cs="Arial"/>
          <w:i/>
          <w:lang w:val="es-ES"/>
        </w:rPr>
        <w:t>Acogiendo con beneplácito</w:t>
      </w:r>
      <w:r>
        <w:rPr>
          <w:rFonts w:eastAsia="Times New Roman" w:cs="Arial"/>
          <w:i/>
          <w:lang w:val="es-ES"/>
        </w:rPr>
        <w:t xml:space="preserve"> </w:t>
      </w:r>
      <w:r w:rsidRPr="00344468">
        <w:rPr>
          <w:rFonts w:eastAsia="Times New Roman" w:cs="Arial"/>
          <w:iCs/>
          <w:lang w:val="es-ES"/>
        </w:rPr>
        <w:t>el desarrollo de criterios sólidos de selección y revisión para la identificación de ISRA por parte del Grupo de Especialistas en Tiburones de la CSE de la UICN (SSG de la CSE de la UICN) y los progresos realizados en la identificación de ISRA que complementarán y contribuirán a las Áreas de Importancia Ecológica o Biológica (EBSA) del Convenio sobre la Diversidad Biológica (CDB) y las Áreas Clave para la Biodiversidad (KBA) de la UICN.</w:t>
      </w:r>
      <w:r w:rsidRPr="00344468">
        <w:rPr>
          <w:rFonts w:eastAsia="Times New Roman" w:cs="Arial"/>
          <w:i/>
          <w:lang w:val="es-ES"/>
        </w:rPr>
        <w:t xml:space="preserve">  </w:t>
      </w:r>
    </w:p>
    <w:p w14:paraId="7B9DA7BF"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6A394BC9" w14:textId="111E83B1" w:rsidR="008B540B" w:rsidRDefault="008B540B">
      <w:pPr>
        <w:rPr>
          <w:rFonts w:eastAsia="Times New Roman" w:cs="Arial"/>
          <w:i/>
          <w:lang w:val="es-ES"/>
        </w:rPr>
      </w:pPr>
      <w:r>
        <w:rPr>
          <w:rFonts w:eastAsia="Times New Roman" w:cs="Arial"/>
          <w:i/>
          <w:lang w:val="es-ES"/>
        </w:rPr>
        <w:br w:type="page"/>
      </w:r>
    </w:p>
    <w:p w14:paraId="5AAED040" w14:textId="77777777" w:rsidR="008B540B" w:rsidRPr="00344468" w:rsidRDefault="008B540B" w:rsidP="008B540B">
      <w:pPr>
        <w:widowControl w:val="0"/>
        <w:autoSpaceDE w:val="0"/>
        <w:autoSpaceDN w:val="0"/>
        <w:adjustRightInd w:val="0"/>
        <w:spacing w:after="0" w:line="240" w:lineRule="auto"/>
        <w:jc w:val="center"/>
        <w:rPr>
          <w:rFonts w:eastAsia="Times New Roman" w:cs="Arial"/>
          <w:i/>
          <w:lang w:val="es-ES"/>
        </w:rPr>
      </w:pPr>
    </w:p>
    <w:p w14:paraId="331D5289" w14:textId="77777777" w:rsidR="008B540B" w:rsidRPr="00344468" w:rsidRDefault="008B540B" w:rsidP="008B540B">
      <w:pPr>
        <w:widowControl w:val="0"/>
        <w:autoSpaceDE w:val="0"/>
        <w:autoSpaceDN w:val="0"/>
        <w:adjustRightInd w:val="0"/>
        <w:spacing w:after="0" w:line="240" w:lineRule="auto"/>
        <w:jc w:val="center"/>
        <w:rPr>
          <w:rFonts w:eastAsia="Times New Roman" w:cs="Arial"/>
          <w:i/>
          <w:lang w:val="es-ES"/>
        </w:rPr>
      </w:pPr>
    </w:p>
    <w:p w14:paraId="06F4168F" w14:textId="77777777" w:rsidR="008B540B" w:rsidRPr="00344468" w:rsidRDefault="008B540B" w:rsidP="008B540B">
      <w:pPr>
        <w:widowControl w:val="0"/>
        <w:autoSpaceDE w:val="0"/>
        <w:autoSpaceDN w:val="0"/>
        <w:adjustRightInd w:val="0"/>
        <w:spacing w:after="0" w:line="240" w:lineRule="auto"/>
        <w:jc w:val="center"/>
        <w:rPr>
          <w:rFonts w:eastAsia="Times New Roman" w:cs="Arial"/>
          <w:i/>
          <w:lang w:val="es-ES"/>
        </w:rPr>
      </w:pPr>
      <w:r w:rsidRPr="00344468">
        <w:rPr>
          <w:rFonts w:eastAsia="Times New Roman" w:cs="Arial"/>
          <w:i/>
          <w:lang w:val="es-ES"/>
        </w:rPr>
        <w:t>La Conferencia de las Partes para la</w:t>
      </w:r>
    </w:p>
    <w:p w14:paraId="5D1215AF" w14:textId="77777777" w:rsidR="008B540B" w:rsidRPr="00344468" w:rsidRDefault="008B540B" w:rsidP="008B540B">
      <w:pPr>
        <w:widowControl w:val="0"/>
        <w:autoSpaceDE w:val="0"/>
        <w:autoSpaceDN w:val="0"/>
        <w:adjustRightInd w:val="0"/>
        <w:spacing w:after="0" w:line="240" w:lineRule="auto"/>
        <w:jc w:val="center"/>
        <w:rPr>
          <w:rFonts w:eastAsia="Times New Roman" w:cs="Arial"/>
          <w:i/>
          <w:lang w:val="es-ES"/>
        </w:rPr>
      </w:pPr>
      <w:r w:rsidRPr="00344468">
        <w:rPr>
          <w:rFonts w:eastAsia="Times New Roman" w:cs="Arial"/>
          <w:i/>
          <w:lang w:val="es-ES"/>
        </w:rPr>
        <w:t>Convención sobre la Conservación de las Especies Migratorias de Animales Silvestres</w:t>
      </w:r>
    </w:p>
    <w:p w14:paraId="19D6BB16"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5DD3ECAB" w14:textId="77777777" w:rsidR="008B540B" w:rsidRPr="00344468" w:rsidRDefault="008B540B" w:rsidP="008B540B">
      <w:pPr>
        <w:widowControl w:val="0"/>
        <w:autoSpaceDE w:val="0"/>
        <w:autoSpaceDN w:val="0"/>
        <w:adjustRightInd w:val="0"/>
        <w:spacing w:after="0" w:line="240" w:lineRule="auto"/>
        <w:ind w:left="360"/>
        <w:jc w:val="both"/>
        <w:rPr>
          <w:rFonts w:eastAsia="Times New Roman" w:cs="Arial"/>
          <w:i/>
          <w:lang w:val="es-ES"/>
        </w:rPr>
      </w:pPr>
    </w:p>
    <w:p w14:paraId="262B465F" w14:textId="77777777" w:rsidR="008B540B" w:rsidRPr="00344468" w:rsidRDefault="008B540B" w:rsidP="008B540B">
      <w:pPr>
        <w:widowControl w:val="0"/>
        <w:numPr>
          <w:ilvl w:val="0"/>
          <w:numId w:val="16"/>
        </w:numPr>
        <w:autoSpaceDE w:val="0"/>
        <w:autoSpaceDN w:val="0"/>
        <w:adjustRightInd w:val="0"/>
        <w:spacing w:after="0" w:line="240" w:lineRule="auto"/>
        <w:ind w:left="567" w:hanging="567"/>
        <w:jc w:val="both"/>
        <w:rPr>
          <w:rFonts w:eastAsia="Times New Roman" w:cs="Arial"/>
          <w:i/>
          <w:lang w:val="es-ES"/>
        </w:rPr>
      </w:pPr>
      <w:r w:rsidRPr="00344468">
        <w:rPr>
          <w:rFonts w:eastAsia="Times New Roman" w:cs="Arial"/>
          <w:i/>
          <w:lang w:val="es-ES"/>
        </w:rPr>
        <w:t xml:space="preserve">Reconoce </w:t>
      </w:r>
      <w:r w:rsidRPr="00344468">
        <w:rPr>
          <w:rFonts w:eastAsia="Times New Roman" w:cs="Arial"/>
          <w:iCs/>
          <w:lang w:val="es-ES"/>
        </w:rPr>
        <w:t>los criterios y el proceso de identificación de las Áreas Importantes de Tiburones y Rayas (ISRA) disponible como Documento de Guía ISRA publicado en el sitio web ISRA (sharkrayareas.org) para los tiburones y rayas incluidos en la CMS</w:t>
      </w:r>
      <w:r w:rsidRPr="00344468">
        <w:rPr>
          <w:rFonts w:eastAsia="Times New Roman" w:cs="Arial"/>
          <w:i/>
          <w:lang w:val="es-ES"/>
        </w:rPr>
        <w:t>;</w:t>
      </w:r>
    </w:p>
    <w:p w14:paraId="653773B7" w14:textId="77777777" w:rsidR="008B540B" w:rsidRPr="00344468" w:rsidRDefault="008B540B" w:rsidP="008B540B">
      <w:pPr>
        <w:widowControl w:val="0"/>
        <w:autoSpaceDE w:val="0"/>
        <w:autoSpaceDN w:val="0"/>
        <w:adjustRightInd w:val="0"/>
        <w:spacing w:after="0" w:line="240" w:lineRule="auto"/>
        <w:ind w:left="567"/>
        <w:jc w:val="both"/>
        <w:rPr>
          <w:rFonts w:eastAsia="Times New Roman" w:cs="Arial"/>
          <w:i/>
          <w:lang w:val="es-ES"/>
        </w:rPr>
      </w:pPr>
    </w:p>
    <w:p w14:paraId="1B5F1F14" w14:textId="77777777" w:rsidR="008B540B" w:rsidRPr="00344468" w:rsidRDefault="008B540B" w:rsidP="008B540B">
      <w:pPr>
        <w:widowControl w:val="0"/>
        <w:numPr>
          <w:ilvl w:val="0"/>
          <w:numId w:val="16"/>
        </w:numPr>
        <w:autoSpaceDE w:val="0"/>
        <w:autoSpaceDN w:val="0"/>
        <w:adjustRightInd w:val="0"/>
        <w:spacing w:after="0" w:line="240" w:lineRule="auto"/>
        <w:ind w:left="567" w:hanging="567"/>
        <w:jc w:val="both"/>
        <w:rPr>
          <w:rFonts w:eastAsia="Times New Roman" w:cs="Arial"/>
          <w:i/>
          <w:lang w:val="es-ES"/>
        </w:rPr>
      </w:pPr>
      <w:r w:rsidRPr="00344468">
        <w:rPr>
          <w:rFonts w:eastAsia="Times New Roman" w:cs="Arial"/>
          <w:i/>
          <w:lang w:val="es-ES"/>
        </w:rPr>
        <w:t>Solicita</w:t>
      </w:r>
      <w:r w:rsidRPr="00344468">
        <w:rPr>
          <w:rFonts w:eastAsia="Times New Roman" w:cs="Arial"/>
          <w:iCs/>
          <w:lang w:val="es-ES"/>
        </w:rPr>
        <w:t xml:space="preserve"> a las Partes e invita a todos los Estados del área de distribución, organizaciones intergubernamentales y socios a apoyar con la identificación de áreas específicas donde la delimitación de las ISRA podría ser particularmente favorable, por ejemplo, al estimular el diseño de redes de áreas protegidas y la conectividad, o al abordar las amenazas de los tiburones y rayas de manera más integral;</w:t>
      </w:r>
    </w:p>
    <w:p w14:paraId="2B3815D0" w14:textId="77777777" w:rsidR="008B540B" w:rsidRPr="00344468" w:rsidRDefault="008B540B" w:rsidP="008B540B">
      <w:pPr>
        <w:widowControl w:val="0"/>
        <w:autoSpaceDE w:val="0"/>
        <w:autoSpaceDN w:val="0"/>
        <w:adjustRightInd w:val="0"/>
        <w:spacing w:after="0" w:line="240" w:lineRule="auto"/>
        <w:ind w:left="567"/>
        <w:jc w:val="both"/>
        <w:rPr>
          <w:rFonts w:eastAsia="Times New Roman" w:cs="Arial"/>
          <w:i/>
          <w:lang w:val="es-ES"/>
        </w:rPr>
      </w:pPr>
    </w:p>
    <w:p w14:paraId="21A99459" w14:textId="77777777" w:rsidR="008B540B" w:rsidRPr="00344468" w:rsidRDefault="008B540B" w:rsidP="008B540B">
      <w:pPr>
        <w:widowControl w:val="0"/>
        <w:numPr>
          <w:ilvl w:val="0"/>
          <w:numId w:val="16"/>
        </w:numPr>
        <w:autoSpaceDE w:val="0"/>
        <w:autoSpaceDN w:val="0"/>
        <w:adjustRightInd w:val="0"/>
        <w:spacing w:after="0" w:line="240" w:lineRule="auto"/>
        <w:ind w:left="567" w:hanging="567"/>
        <w:jc w:val="both"/>
        <w:rPr>
          <w:rFonts w:eastAsia="Times New Roman" w:cs="Arial"/>
          <w:iCs/>
          <w:lang w:val="es-ES"/>
        </w:rPr>
      </w:pPr>
      <w:r w:rsidRPr="00344468">
        <w:rPr>
          <w:rFonts w:eastAsia="Times New Roman" w:cs="Arial"/>
          <w:i/>
          <w:lang w:val="es-ES"/>
        </w:rPr>
        <w:t>Recomienda</w:t>
      </w:r>
      <w:r w:rsidRPr="00344468">
        <w:rPr>
          <w:rFonts w:eastAsia="Times New Roman" w:cs="Arial"/>
          <w:iCs/>
          <w:lang w:val="es-ES"/>
        </w:rPr>
        <w:t xml:space="preserve"> que esta labor de identificación de áreas específicas involucre a las autoridades de las Partes en un espíritu de transparencia en una fase temprana;  </w:t>
      </w:r>
    </w:p>
    <w:p w14:paraId="01ACCE43" w14:textId="77777777" w:rsidR="008B540B" w:rsidRPr="00344468" w:rsidRDefault="008B540B" w:rsidP="008B540B">
      <w:pPr>
        <w:widowControl w:val="0"/>
        <w:autoSpaceDE w:val="0"/>
        <w:autoSpaceDN w:val="0"/>
        <w:adjustRightInd w:val="0"/>
        <w:spacing w:after="0" w:line="240" w:lineRule="auto"/>
        <w:ind w:left="567"/>
        <w:jc w:val="both"/>
        <w:rPr>
          <w:rFonts w:eastAsia="Times New Roman" w:cs="Arial"/>
          <w:i/>
          <w:lang w:val="es-ES"/>
        </w:rPr>
      </w:pPr>
    </w:p>
    <w:p w14:paraId="5D718F18" w14:textId="77777777" w:rsidR="008B540B" w:rsidRPr="00344468" w:rsidRDefault="008B540B" w:rsidP="008B540B">
      <w:pPr>
        <w:widowControl w:val="0"/>
        <w:numPr>
          <w:ilvl w:val="0"/>
          <w:numId w:val="16"/>
        </w:numPr>
        <w:autoSpaceDE w:val="0"/>
        <w:autoSpaceDN w:val="0"/>
        <w:adjustRightInd w:val="0"/>
        <w:spacing w:after="0" w:line="240" w:lineRule="auto"/>
        <w:ind w:left="567" w:hanging="567"/>
        <w:jc w:val="both"/>
        <w:rPr>
          <w:rFonts w:eastAsia="Times New Roman" w:cs="Arial"/>
          <w:i/>
          <w:lang w:val="es-ES"/>
        </w:rPr>
      </w:pPr>
      <w:r w:rsidRPr="00344468">
        <w:rPr>
          <w:rFonts w:eastAsia="Times New Roman" w:cs="Arial"/>
          <w:i/>
          <w:lang w:val="es-ES"/>
        </w:rPr>
        <w:t>Invita</w:t>
      </w:r>
      <w:r>
        <w:rPr>
          <w:rFonts w:eastAsia="Times New Roman" w:cs="Arial"/>
          <w:i/>
          <w:lang w:val="es-ES"/>
        </w:rPr>
        <w:t xml:space="preserve"> </w:t>
      </w:r>
      <w:r w:rsidRPr="00344468">
        <w:rPr>
          <w:rFonts w:eastAsia="Times New Roman" w:cs="Arial"/>
          <w:iCs/>
          <w:lang w:val="es-ES"/>
        </w:rPr>
        <w:t>a las Partes, Estados del área de distribución, organizaciones intergubernamentales y socios a solicitar el apoyo del SSG de la CSE de la UICN para avanzar en estos planteamientos;</w:t>
      </w:r>
      <w:r w:rsidRPr="00344468">
        <w:rPr>
          <w:rFonts w:eastAsia="Times New Roman" w:cs="Arial"/>
          <w:i/>
          <w:lang w:val="es-ES"/>
        </w:rPr>
        <w:t xml:space="preserve"> </w:t>
      </w:r>
    </w:p>
    <w:p w14:paraId="688B72BF" w14:textId="77777777" w:rsidR="008B540B" w:rsidRPr="00344468" w:rsidRDefault="008B540B" w:rsidP="008B540B">
      <w:pPr>
        <w:widowControl w:val="0"/>
        <w:autoSpaceDE w:val="0"/>
        <w:autoSpaceDN w:val="0"/>
        <w:adjustRightInd w:val="0"/>
        <w:spacing w:after="0" w:line="240" w:lineRule="auto"/>
        <w:jc w:val="both"/>
        <w:rPr>
          <w:rFonts w:eastAsia="Times New Roman" w:cs="Arial"/>
          <w:i/>
          <w:lang w:val="es-ES"/>
        </w:rPr>
      </w:pPr>
    </w:p>
    <w:p w14:paraId="48BDF0DD" w14:textId="77777777" w:rsidR="008B540B" w:rsidRPr="006C12AD" w:rsidRDefault="008B540B" w:rsidP="008B540B">
      <w:pPr>
        <w:widowControl w:val="0"/>
        <w:numPr>
          <w:ilvl w:val="0"/>
          <w:numId w:val="16"/>
        </w:numPr>
        <w:autoSpaceDE w:val="0"/>
        <w:autoSpaceDN w:val="0"/>
        <w:adjustRightInd w:val="0"/>
        <w:spacing w:after="0" w:line="240" w:lineRule="auto"/>
        <w:ind w:left="567" w:hanging="567"/>
        <w:jc w:val="both"/>
        <w:rPr>
          <w:rFonts w:cs="Arial"/>
          <w:iCs/>
          <w:lang w:val="es-ES"/>
        </w:rPr>
      </w:pPr>
      <w:r w:rsidRPr="00344468">
        <w:rPr>
          <w:rFonts w:eastAsia="Times New Roman" w:cs="Arial"/>
          <w:i/>
          <w:lang w:val="es-ES"/>
        </w:rPr>
        <w:t xml:space="preserve">Además, invita </w:t>
      </w:r>
      <w:r w:rsidRPr="00344468">
        <w:rPr>
          <w:rFonts w:eastAsia="Times New Roman" w:cs="Arial"/>
          <w:iCs/>
          <w:lang w:val="es-ES"/>
        </w:rPr>
        <w:t>al Convenio sobre la Diversidad Biológica y a la Organización Marítima Internacional que consideren las ISRA como contribuciones convenientes para la determinación de las Áreas de Importancia Ecológica o Biológica (EBSA), las Áreas Clave para la Biodiversidad (KBA) y otras áreas como las Zonas Marinas Especialmente Sensibles (ZMES); y</w:t>
      </w:r>
    </w:p>
    <w:p w14:paraId="57BE938B" w14:textId="77777777" w:rsidR="006C12AD" w:rsidRPr="00344468" w:rsidRDefault="006C12AD" w:rsidP="006C12AD">
      <w:pPr>
        <w:widowControl w:val="0"/>
        <w:autoSpaceDE w:val="0"/>
        <w:autoSpaceDN w:val="0"/>
        <w:adjustRightInd w:val="0"/>
        <w:spacing w:after="0" w:line="240" w:lineRule="auto"/>
        <w:jc w:val="both"/>
        <w:rPr>
          <w:rFonts w:cs="Arial"/>
          <w:iCs/>
          <w:lang w:val="es-ES"/>
        </w:rPr>
      </w:pPr>
    </w:p>
    <w:p w14:paraId="39CE2235" w14:textId="77777777" w:rsidR="008B540B" w:rsidRPr="00344468" w:rsidRDefault="008B540B" w:rsidP="008B540B">
      <w:pPr>
        <w:widowControl w:val="0"/>
        <w:numPr>
          <w:ilvl w:val="0"/>
          <w:numId w:val="16"/>
        </w:numPr>
        <w:autoSpaceDE w:val="0"/>
        <w:autoSpaceDN w:val="0"/>
        <w:adjustRightInd w:val="0"/>
        <w:spacing w:after="0" w:line="240" w:lineRule="auto"/>
        <w:ind w:left="567" w:hanging="567"/>
        <w:jc w:val="both"/>
        <w:rPr>
          <w:rFonts w:eastAsia="Times New Roman" w:cs="Arial"/>
          <w:i/>
          <w:lang w:val="es-ES"/>
        </w:rPr>
      </w:pPr>
      <w:r w:rsidRPr="00344468">
        <w:rPr>
          <w:rFonts w:eastAsia="Times New Roman" w:cs="Arial"/>
          <w:i/>
          <w:lang w:val="es-ES"/>
        </w:rPr>
        <w:t>Alienta</w:t>
      </w:r>
      <w:r>
        <w:rPr>
          <w:rFonts w:eastAsia="Times New Roman" w:cs="Arial"/>
          <w:i/>
          <w:lang w:val="es-ES"/>
        </w:rPr>
        <w:t xml:space="preserve"> </w:t>
      </w:r>
      <w:r w:rsidRPr="00344468">
        <w:rPr>
          <w:rFonts w:eastAsia="Times New Roman" w:cs="Arial"/>
          <w:iCs/>
          <w:lang w:val="es-ES"/>
        </w:rPr>
        <w:t xml:space="preserve">a las Partes a hacer uso de las Áreas Importantes de Tiburones y Rayas (ISRA) identificadas y publicadas en el sitio web de ISRA (https://sharkrayareas.org) a la hora de designar áreas marinas protegidas o, en general, para los procesos de planificación espacial marina, con el fin de apoyar la conservación de </w:t>
      </w:r>
      <w:r w:rsidRPr="00344468">
        <w:rPr>
          <w:rFonts w:eastAsia="Times New Roman" w:cs="Arial"/>
          <w:iCs/>
          <w:lang w:val="es-ES"/>
        </w:rPr>
        <w:br/>
        <w:t>los tiburones y rayas incluidos en la CMS; y</w:t>
      </w:r>
    </w:p>
    <w:p w14:paraId="6E10C141" w14:textId="77777777" w:rsidR="002D5F2A" w:rsidRDefault="002D5F2A" w:rsidP="008B540B">
      <w:pPr>
        <w:pStyle w:val="Firstnumbering1"/>
        <w:numPr>
          <w:ilvl w:val="0"/>
          <w:numId w:val="0"/>
        </w:numPr>
        <w:ind w:left="567" w:hanging="567"/>
      </w:pPr>
    </w:p>
    <w:p w14:paraId="028860D3" w14:textId="77777777" w:rsidR="008B540B" w:rsidRDefault="008B540B" w:rsidP="008B540B">
      <w:pPr>
        <w:pStyle w:val="Firstnumbering1"/>
        <w:numPr>
          <w:ilvl w:val="0"/>
          <w:numId w:val="0"/>
        </w:numPr>
        <w:ind w:left="567" w:hanging="567"/>
        <w:sectPr w:rsidR="008B540B" w:rsidSect="0024591F">
          <w:head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4BB39A14" w14:textId="77777777" w:rsidR="00075985" w:rsidRPr="00075985" w:rsidRDefault="00075985" w:rsidP="00075985">
      <w:pPr>
        <w:spacing w:after="0" w:line="240" w:lineRule="auto"/>
        <w:jc w:val="right"/>
        <w:rPr>
          <w:rFonts w:cs="Arial"/>
          <w:b/>
          <w:bCs/>
          <w:caps/>
          <w:lang w:val="es-ES"/>
        </w:rPr>
      </w:pPr>
      <w:r w:rsidRPr="00075985">
        <w:rPr>
          <w:rFonts w:cs="Arial"/>
          <w:b/>
          <w:bCs/>
          <w:caps/>
          <w:lang w:val="es-ES"/>
        </w:rPr>
        <w:lastRenderedPageBreak/>
        <w:t>Anexo 2</w:t>
      </w:r>
    </w:p>
    <w:p w14:paraId="442AC0B1" w14:textId="77777777" w:rsidR="00075985" w:rsidRPr="00075985" w:rsidRDefault="00075985" w:rsidP="00075985">
      <w:pPr>
        <w:spacing w:after="0" w:line="240" w:lineRule="auto"/>
        <w:rPr>
          <w:rFonts w:cs="Arial"/>
          <w:lang w:val="es-ES"/>
        </w:rPr>
      </w:pPr>
    </w:p>
    <w:p w14:paraId="372F0E75" w14:textId="77777777" w:rsidR="00075985" w:rsidRPr="00075985" w:rsidRDefault="00075985" w:rsidP="00075985">
      <w:pPr>
        <w:spacing w:after="0" w:line="240" w:lineRule="auto"/>
        <w:jc w:val="center"/>
        <w:rPr>
          <w:rFonts w:cs="Arial"/>
          <w:lang w:val="es-ES"/>
        </w:rPr>
      </w:pPr>
    </w:p>
    <w:p w14:paraId="234A7546" w14:textId="3ABB06A7" w:rsidR="00075985" w:rsidRPr="00075985" w:rsidRDefault="006C12AD" w:rsidP="00075985">
      <w:pPr>
        <w:spacing w:after="0" w:line="240" w:lineRule="auto"/>
        <w:jc w:val="center"/>
        <w:rPr>
          <w:rFonts w:cs="Arial"/>
          <w:lang w:val="es-ES"/>
        </w:rPr>
      </w:pPr>
      <w:r>
        <w:rPr>
          <w:rFonts w:cs="Arial"/>
          <w:lang w:val="es-ES"/>
        </w:rPr>
        <w:t>PROYECTO</w:t>
      </w:r>
      <w:r w:rsidR="00075985" w:rsidRPr="00075985">
        <w:rPr>
          <w:rFonts w:cs="Arial"/>
          <w:lang w:val="es-ES"/>
        </w:rPr>
        <w:t xml:space="preserve"> DE DECISIONES </w:t>
      </w:r>
    </w:p>
    <w:p w14:paraId="7A81BEF1" w14:textId="77777777" w:rsidR="00075985" w:rsidRPr="00075985" w:rsidRDefault="00075985" w:rsidP="00075985">
      <w:pPr>
        <w:spacing w:after="0" w:line="240" w:lineRule="auto"/>
        <w:rPr>
          <w:rFonts w:cs="Arial"/>
          <w:lang w:val="es-ES"/>
        </w:rPr>
      </w:pPr>
    </w:p>
    <w:p w14:paraId="5E870C73" w14:textId="77777777" w:rsidR="00075985" w:rsidRPr="00075985" w:rsidRDefault="00075985" w:rsidP="0007598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075985">
        <w:rPr>
          <w:rFonts w:cs="Arial"/>
          <w:b/>
          <w:caps/>
          <w:lang w:val="es-ES"/>
        </w:rPr>
        <w:t>Áreas Importantes de Tiburones y Rayas (ISRA)</w:t>
      </w:r>
    </w:p>
    <w:p w14:paraId="7DF57D01" w14:textId="77777777" w:rsidR="00075985" w:rsidRPr="00075985" w:rsidRDefault="00075985" w:rsidP="00075985">
      <w:pPr>
        <w:spacing w:after="0" w:line="240" w:lineRule="auto"/>
        <w:jc w:val="both"/>
        <w:rPr>
          <w:rFonts w:cs="Arial"/>
          <w:b/>
          <w:i/>
          <w:lang w:val="es-ES"/>
        </w:rPr>
      </w:pPr>
    </w:p>
    <w:p w14:paraId="4DC9786A" w14:textId="77777777" w:rsidR="00075985" w:rsidRPr="00075985" w:rsidRDefault="00075985" w:rsidP="00075985">
      <w:pPr>
        <w:spacing w:after="0" w:line="240" w:lineRule="auto"/>
        <w:jc w:val="both"/>
        <w:rPr>
          <w:rFonts w:cs="Arial"/>
          <w:b/>
          <w:i/>
          <w:lang w:val="es-ES"/>
        </w:rPr>
      </w:pPr>
    </w:p>
    <w:p w14:paraId="451D4776" w14:textId="77777777" w:rsidR="00075985" w:rsidRPr="00075985" w:rsidRDefault="00075985" w:rsidP="00075985">
      <w:pPr>
        <w:spacing w:after="0" w:line="240" w:lineRule="auto"/>
        <w:jc w:val="both"/>
        <w:rPr>
          <w:rFonts w:cs="Arial"/>
          <w:b/>
          <w:i/>
          <w:lang w:val="es-ES"/>
        </w:rPr>
      </w:pPr>
      <w:r w:rsidRPr="00075985">
        <w:rPr>
          <w:rFonts w:cs="Arial"/>
          <w:b/>
          <w:i/>
          <w:lang w:val="es-ES"/>
        </w:rPr>
        <w:t xml:space="preserve">Dirigido a las Partes </w:t>
      </w:r>
    </w:p>
    <w:p w14:paraId="0F4B4240" w14:textId="77777777" w:rsidR="00075985" w:rsidRPr="00075985" w:rsidRDefault="00075985" w:rsidP="00075985">
      <w:pPr>
        <w:spacing w:after="0" w:line="240" w:lineRule="auto"/>
        <w:jc w:val="both"/>
        <w:rPr>
          <w:rFonts w:cs="Arial"/>
          <w:lang w:val="es-ES"/>
        </w:rPr>
      </w:pPr>
    </w:p>
    <w:p w14:paraId="5539568F" w14:textId="712A6634" w:rsidR="00075985" w:rsidRPr="00075985" w:rsidRDefault="00075985" w:rsidP="00075985">
      <w:pPr>
        <w:spacing w:after="0" w:line="240" w:lineRule="auto"/>
        <w:ind w:left="720" w:hanging="720"/>
        <w:jc w:val="both"/>
        <w:rPr>
          <w:rFonts w:cs="Arial"/>
          <w:iCs/>
          <w:lang w:val="es-ES"/>
        </w:rPr>
      </w:pPr>
      <w:r w:rsidRPr="00075985">
        <w:rPr>
          <w:rFonts w:cs="Arial"/>
          <w:lang w:val="es-ES"/>
        </w:rPr>
        <w:t>14.AA</w:t>
      </w:r>
      <w:r w:rsidRPr="00075985">
        <w:rPr>
          <w:rFonts w:cs="Arial"/>
          <w:lang w:val="es-ES"/>
        </w:rPr>
        <w:tab/>
      </w:r>
      <w:r w:rsidRPr="00075985">
        <w:rPr>
          <w:rFonts w:cs="Arial"/>
          <w:iCs/>
          <w:lang w:val="es-ES"/>
        </w:rPr>
        <w:t>Se solicita a las Partes:</w:t>
      </w:r>
    </w:p>
    <w:p w14:paraId="13BA8677" w14:textId="77777777" w:rsidR="00075985" w:rsidRPr="00075985" w:rsidRDefault="00075985" w:rsidP="00075985">
      <w:pPr>
        <w:spacing w:after="0" w:line="240" w:lineRule="auto"/>
        <w:ind w:left="720" w:hanging="720"/>
        <w:jc w:val="both"/>
        <w:rPr>
          <w:rFonts w:cs="Arial"/>
          <w:iCs/>
          <w:lang w:val="es-ES"/>
        </w:rPr>
      </w:pPr>
    </w:p>
    <w:p w14:paraId="75C546E3" w14:textId="312B3FA3" w:rsidR="00075985" w:rsidRPr="00075985" w:rsidRDefault="005F0A40" w:rsidP="00075985">
      <w:pPr>
        <w:widowControl w:val="0"/>
        <w:numPr>
          <w:ilvl w:val="0"/>
          <w:numId w:val="17"/>
        </w:numPr>
        <w:autoSpaceDE w:val="0"/>
        <w:autoSpaceDN w:val="0"/>
        <w:adjustRightInd w:val="0"/>
        <w:spacing w:after="0" w:line="240" w:lineRule="auto"/>
        <w:ind w:left="1080"/>
        <w:jc w:val="both"/>
        <w:rPr>
          <w:rFonts w:eastAsia="Times New Roman" w:cs="Arial"/>
          <w:iCs/>
          <w:lang w:val="es-ES"/>
        </w:rPr>
      </w:pPr>
      <w:r>
        <w:rPr>
          <w:rFonts w:eastAsia="Times New Roman" w:cs="Arial"/>
          <w:iCs/>
          <w:lang w:val="es-ES"/>
        </w:rPr>
        <w:t>d</w:t>
      </w:r>
      <w:r w:rsidR="00075985" w:rsidRPr="00075985">
        <w:rPr>
          <w:rFonts w:eastAsia="Times New Roman" w:cs="Arial"/>
          <w:iCs/>
          <w:lang w:val="es-ES"/>
        </w:rPr>
        <w:t>ar prioridad a la conservación de las ISRA identificadas a la luz del objetivo 3 del Marco Mundial para la Diversidad Biológica, cuyo objetivo es garantizar y posibilitar que, para 2030, al menos el 30 % de las zonas terrestres, de aguas continentales, costeras y marinas se conserven y gestionen eficazmente mediante sistemas de áreas protegidas ecológicamente representativas, bien conectadas y gobernadas de forma equitativa, así como otras medidas eficaces de conservación basadas en áreas.</w:t>
      </w:r>
    </w:p>
    <w:p w14:paraId="2C3D737E" w14:textId="77777777" w:rsidR="00075985" w:rsidRPr="00075985" w:rsidRDefault="00075985" w:rsidP="00075985">
      <w:pPr>
        <w:widowControl w:val="0"/>
        <w:autoSpaceDE w:val="0"/>
        <w:autoSpaceDN w:val="0"/>
        <w:adjustRightInd w:val="0"/>
        <w:spacing w:after="0" w:line="240" w:lineRule="auto"/>
        <w:ind w:left="1080" w:hanging="360"/>
        <w:jc w:val="both"/>
        <w:rPr>
          <w:rFonts w:cs="Arial"/>
          <w:iCs/>
          <w:lang w:val="es-ES"/>
        </w:rPr>
      </w:pPr>
    </w:p>
    <w:p w14:paraId="4C847A85" w14:textId="06B58E21" w:rsidR="00075985" w:rsidRPr="00075985" w:rsidRDefault="005F0A40" w:rsidP="00075985">
      <w:pPr>
        <w:widowControl w:val="0"/>
        <w:numPr>
          <w:ilvl w:val="0"/>
          <w:numId w:val="17"/>
        </w:numPr>
        <w:autoSpaceDE w:val="0"/>
        <w:autoSpaceDN w:val="0"/>
        <w:adjustRightInd w:val="0"/>
        <w:spacing w:after="0" w:line="240" w:lineRule="auto"/>
        <w:ind w:left="1080"/>
        <w:jc w:val="both"/>
        <w:rPr>
          <w:rFonts w:cs="Arial"/>
          <w:iCs/>
          <w:lang w:val="es-ES"/>
        </w:rPr>
      </w:pPr>
      <w:r>
        <w:rPr>
          <w:rFonts w:cs="Arial"/>
          <w:iCs/>
          <w:lang w:val="es-ES"/>
        </w:rPr>
        <w:t>i</w:t>
      </w:r>
      <w:r w:rsidR="00075985" w:rsidRPr="00075985">
        <w:rPr>
          <w:rFonts w:cs="Arial"/>
          <w:iCs/>
          <w:lang w:val="es-ES"/>
        </w:rPr>
        <w:t>nformar a la Conferencia de las Partes en su 15.</w:t>
      </w:r>
      <w:r w:rsidR="00075985" w:rsidRPr="00075985">
        <w:rPr>
          <w:rFonts w:cs="Arial"/>
          <w:iCs/>
          <w:vertAlign w:val="superscript"/>
          <w:lang w:val="es-ES"/>
        </w:rPr>
        <w:t>ª</w:t>
      </w:r>
      <w:r w:rsidR="00075985" w:rsidRPr="00075985">
        <w:rPr>
          <w:rFonts w:cs="Arial"/>
          <w:iCs/>
          <w:lang w:val="es-ES"/>
        </w:rPr>
        <w:t xml:space="preserve"> Reunión sobre los progresos realizados en la aplicación de la decisión.</w:t>
      </w:r>
    </w:p>
    <w:p w14:paraId="3CBB56F4" w14:textId="77777777" w:rsidR="00075985" w:rsidRPr="00075985" w:rsidRDefault="00075985" w:rsidP="00075985">
      <w:pPr>
        <w:spacing w:after="0" w:line="240" w:lineRule="auto"/>
        <w:jc w:val="both"/>
        <w:rPr>
          <w:rFonts w:cs="Arial"/>
          <w:b/>
          <w:i/>
          <w:lang w:val="es-ES"/>
        </w:rPr>
      </w:pPr>
    </w:p>
    <w:p w14:paraId="7A039AC4" w14:textId="77777777" w:rsidR="00075985" w:rsidRPr="00075985" w:rsidRDefault="00075985" w:rsidP="00075985">
      <w:pPr>
        <w:spacing w:after="0" w:line="240" w:lineRule="auto"/>
        <w:jc w:val="both"/>
        <w:rPr>
          <w:rFonts w:cs="Arial"/>
          <w:b/>
          <w:i/>
          <w:lang w:val="es-ES"/>
        </w:rPr>
      </w:pPr>
      <w:r w:rsidRPr="00075985">
        <w:rPr>
          <w:rFonts w:cs="Arial"/>
          <w:b/>
          <w:i/>
          <w:lang w:val="es-ES"/>
        </w:rPr>
        <w:t>Dirigido a las Partes, organizaciones intergubernamentales y no gubernamentales</w:t>
      </w:r>
    </w:p>
    <w:p w14:paraId="77554005" w14:textId="77777777" w:rsidR="00075985" w:rsidRPr="00075985" w:rsidRDefault="00075985" w:rsidP="00075985">
      <w:pPr>
        <w:spacing w:after="0" w:line="240" w:lineRule="auto"/>
        <w:jc w:val="both"/>
        <w:rPr>
          <w:rFonts w:cs="Arial"/>
          <w:lang w:val="es-ES"/>
        </w:rPr>
      </w:pPr>
    </w:p>
    <w:p w14:paraId="1C85F289" w14:textId="77777777" w:rsidR="00075985" w:rsidRPr="00075985" w:rsidRDefault="00075985" w:rsidP="008C143E">
      <w:pPr>
        <w:spacing w:after="0" w:line="240" w:lineRule="auto"/>
        <w:ind w:left="720" w:hanging="720"/>
        <w:jc w:val="both"/>
        <w:rPr>
          <w:rFonts w:cs="Arial"/>
          <w:lang w:val="es-ES"/>
        </w:rPr>
      </w:pPr>
      <w:r w:rsidRPr="00075985">
        <w:rPr>
          <w:rFonts w:cs="Arial"/>
          <w:lang w:val="es-ES"/>
        </w:rPr>
        <w:t>14.BB</w:t>
      </w:r>
      <w:r w:rsidRPr="00075985">
        <w:rPr>
          <w:rFonts w:cs="Arial"/>
          <w:lang w:val="es-ES"/>
        </w:rPr>
        <w:tab/>
        <w:t>Se alienta a las Partes, a las organizaciones intergubernamentales y no gubernamentales a</w:t>
      </w:r>
    </w:p>
    <w:p w14:paraId="59B628D7" w14:textId="77777777" w:rsidR="00075985" w:rsidRPr="00075985" w:rsidRDefault="00075985" w:rsidP="00075985">
      <w:pPr>
        <w:spacing w:after="0" w:line="240" w:lineRule="auto"/>
        <w:jc w:val="both"/>
        <w:rPr>
          <w:rFonts w:cs="Arial"/>
          <w:lang w:val="es-ES"/>
        </w:rPr>
      </w:pPr>
    </w:p>
    <w:p w14:paraId="3C49AD5A" w14:textId="4DB3298F" w:rsidR="00075985" w:rsidRPr="00075985" w:rsidRDefault="005F0A40" w:rsidP="008C143E">
      <w:pPr>
        <w:widowControl w:val="0"/>
        <w:numPr>
          <w:ilvl w:val="0"/>
          <w:numId w:val="18"/>
        </w:numPr>
        <w:autoSpaceDE w:val="0"/>
        <w:autoSpaceDN w:val="0"/>
        <w:adjustRightInd w:val="0"/>
        <w:spacing w:after="0" w:line="240" w:lineRule="auto"/>
        <w:jc w:val="both"/>
        <w:rPr>
          <w:rFonts w:cs="Arial"/>
          <w:lang w:val="es-ES"/>
        </w:rPr>
      </w:pPr>
      <w:r>
        <w:rPr>
          <w:rFonts w:cs="Arial"/>
          <w:lang w:val="es-ES"/>
        </w:rPr>
        <w:t>c</w:t>
      </w:r>
      <w:r w:rsidR="00075985" w:rsidRPr="00075985">
        <w:rPr>
          <w:rFonts w:cs="Arial"/>
          <w:lang w:val="es-ES"/>
        </w:rPr>
        <w:t>olaborar activamente con el Grupo de Especialistas en Tiburones de la CSE de la UICN y prestarle apoyo técnico en el proceso de identificación de áreas importantes para los tiburones y rayas a escala mundial.</w:t>
      </w:r>
    </w:p>
    <w:p w14:paraId="29113791" w14:textId="77777777" w:rsidR="00075985" w:rsidRPr="00075985" w:rsidRDefault="00075985" w:rsidP="00075985">
      <w:pPr>
        <w:spacing w:after="0" w:line="240" w:lineRule="auto"/>
        <w:jc w:val="both"/>
        <w:rPr>
          <w:rFonts w:cs="Arial"/>
          <w:b/>
          <w:i/>
          <w:lang w:val="es-ES"/>
        </w:rPr>
      </w:pPr>
    </w:p>
    <w:p w14:paraId="148D71D9" w14:textId="77777777" w:rsidR="00075985" w:rsidRPr="00075985" w:rsidRDefault="00075985" w:rsidP="00075985">
      <w:pPr>
        <w:spacing w:after="0" w:line="240" w:lineRule="auto"/>
        <w:jc w:val="both"/>
        <w:rPr>
          <w:rFonts w:cs="Arial"/>
          <w:lang w:val="es-ES"/>
        </w:rPr>
      </w:pPr>
      <w:r w:rsidRPr="00075985">
        <w:rPr>
          <w:rFonts w:cs="Arial"/>
          <w:b/>
          <w:i/>
          <w:lang w:val="es-ES"/>
        </w:rPr>
        <w:t xml:space="preserve">Dirigido al Consejo Científico </w:t>
      </w:r>
    </w:p>
    <w:p w14:paraId="11553FD7" w14:textId="77777777" w:rsidR="00075985" w:rsidRPr="00075985" w:rsidRDefault="00075985" w:rsidP="00075985">
      <w:pPr>
        <w:spacing w:after="0" w:line="240" w:lineRule="auto"/>
        <w:jc w:val="both"/>
        <w:rPr>
          <w:rFonts w:cs="Arial"/>
          <w:lang w:val="es-ES"/>
        </w:rPr>
      </w:pPr>
    </w:p>
    <w:p w14:paraId="0E7EE2D1" w14:textId="05865799" w:rsidR="00075985" w:rsidRPr="00075985" w:rsidRDefault="00075985" w:rsidP="008C143E">
      <w:pPr>
        <w:spacing w:after="0" w:line="240" w:lineRule="auto"/>
        <w:ind w:left="720" w:hanging="720"/>
        <w:jc w:val="both"/>
        <w:rPr>
          <w:rFonts w:cs="Arial"/>
          <w:lang w:val="es-ES"/>
        </w:rPr>
      </w:pPr>
      <w:r w:rsidRPr="00075985">
        <w:rPr>
          <w:rFonts w:cs="Arial"/>
          <w:lang w:val="es-ES"/>
        </w:rPr>
        <w:t>14.CC</w:t>
      </w:r>
      <w:r w:rsidRPr="00075985">
        <w:rPr>
          <w:rFonts w:cs="Arial"/>
          <w:lang w:val="es-ES"/>
        </w:rPr>
        <w:tab/>
      </w:r>
      <w:r w:rsidR="003B2C9E">
        <w:rPr>
          <w:rFonts w:cs="Arial"/>
          <w:lang w:val="es-ES"/>
        </w:rPr>
        <w:t xml:space="preserve">Se solicita al </w:t>
      </w:r>
      <w:r w:rsidRPr="00075985">
        <w:rPr>
          <w:rFonts w:cs="Arial"/>
          <w:lang w:val="es-ES"/>
        </w:rPr>
        <w:t>Consejo Científico:</w:t>
      </w:r>
    </w:p>
    <w:p w14:paraId="34D018E2" w14:textId="77777777" w:rsidR="00075985" w:rsidRPr="00075985" w:rsidRDefault="00075985" w:rsidP="00075985">
      <w:pPr>
        <w:spacing w:after="0" w:line="240" w:lineRule="auto"/>
        <w:ind w:left="720" w:hanging="720"/>
        <w:jc w:val="both"/>
        <w:rPr>
          <w:rFonts w:cs="Arial"/>
          <w:lang w:val="es-ES"/>
        </w:rPr>
      </w:pPr>
    </w:p>
    <w:p w14:paraId="2E576F58" w14:textId="6CF07DD8" w:rsidR="00075985" w:rsidRPr="00075985" w:rsidRDefault="005F0A40" w:rsidP="008C143E">
      <w:pPr>
        <w:widowControl w:val="0"/>
        <w:numPr>
          <w:ilvl w:val="0"/>
          <w:numId w:val="19"/>
        </w:numPr>
        <w:autoSpaceDE w:val="0"/>
        <w:autoSpaceDN w:val="0"/>
        <w:adjustRightInd w:val="0"/>
        <w:spacing w:after="0" w:line="240" w:lineRule="auto"/>
        <w:ind w:left="1080"/>
        <w:jc w:val="both"/>
        <w:rPr>
          <w:rFonts w:cs="Arial"/>
          <w:lang w:val="es-ES"/>
        </w:rPr>
      </w:pPr>
      <w:r>
        <w:rPr>
          <w:rFonts w:cs="Arial"/>
          <w:lang w:val="es-ES"/>
        </w:rPr>
        <w:t>a</w:t>
      </w:r>
      <w:r w:rsidR="00075985" w:rsidRPr="00075985">
        <w:rPr>
          <w:rFonts w:cs="Arial"/>
          <w:lang w:val="es-ES"/>
        </w:rPr>
        <w:t xml:space="preserve">poyar al </w:t>
      </w:r>
      <w:r w:rsidR="00075985" w:rsidRPr="00075985">
        <w:rPr>
          <w:rFonts w:cs="Arial"/>
          <w:bCs/>
          <w:iCs/>
          <w:lang w:val="es-ES"/>
        </w:rPr>
        <w:t>Grupo de Especialistas en Tiburones de la CSE de la UICN, en</w:t>
      </w:r>
      <w:r w:rsidR="00075985" w:rsidRPr="00075985">
        <w:rPr>
          <w:rFonts w:cs="Arial"/>
          <w:lang w:val="es-ES"/>
        </w:rPr>
        <w:t xml:space="preserve"> colaboración con el Comité Asesor del MdE sobre tiburones,</w:t>
      </w:r>
      <w:r w:rsidR="00075985" w:rsidRPr="00075985">
        <w:rPr>
          <w:rFonts w:cs="Arial"/>
          <w:bCs/>
          <w:iCs/>
          <w:lang w:val="es-ES"/>
        </w:rPr>
        <w:t xml:space="preserve"> en la identificación de las ISRA para las especies de tiburones y rayas incluidas en la lista de la CMS, compartiendo información y datos y contribuyendo a los talleres de expertos en ISRA</w:t>
      </w:r>
      <w:r w:rsidR="00075985" w:rsidRPr="00075985">
        <w:rPr>
          <w:rFonts w:cs="Arial"/>
          <w:lang w:val="es-ES"/>
        </w:rPr>
        <w:t>.</w:t>
      </w:r>
    </w:p>
    <w:p w14:paraId="0DBC0EF9" w14:textId="77777777" w:rsidR="00075985" w:rsidRPr="00075985" w:rsidRDefault="00075985" w:rsidP="00075985">
      <w:pPr>
        <w:spacing w:after="0" w:line="240" w:lineRule="auto"/>
        <w:jc w:val="both"/>
        <w:rPr>
          <w:rFonts w:cs="Arial"/>
          <w:b/>
          <w:i/>
          <w:lang w:val="es-ES"/>
        </w:rPr>
      </w:pPr>
    </w:p>
    <w:p w14:paraId="029731C4" w14:textId="77777777" w:rsidR="00075985" w:rsidRPr="00075985" w:rsidRDefault="00075985" w:rsidP="00075985">
      <w:pPr>
        <w:spacing w:after="0" w:line="240" w:lineRule="auto"/>
        <w:jc w:val="both"/>
        <w:rPr>
          <w:rFonts w:cs="Arial"/>
          <w:b/>
          <w:i/>
          <w:lang w:val="es-ES"/>
        </w:rPr>
      </w:pPr>
      <w:r w:rsidRPr="00075985">
        <w:rPr>
          <w:rFonts w:cs="Arial"/>
          <w:b/>
          <w:i/>
          <w:lang w:val="es-ES"/>
        </w:rPr>
        <w:t>Dirigido a la Secretaría</w:t>
      </w:r>
    </w:p>
    <w:p w14:paraId="7D5CCE5E" w14:textId="77777777" w:rsidR="00075985" w:rsidRPr="00075985" w:rsidRDefault="00075985" w:rsidP="00075985">
      <w:pPr>
        <w:spacing w:after="0" w:line="240" w:lineRule="auto"/>
        <w:jc w:val="both"/>
        <w:rPr>
          <w:rFonts w:cs="Arial"/>
          <w:lang w:val="es-ES"/>
        </w:rPr>
      </w:pPr>
    </w:p>
    <w:p w14:paraId="6C65E5C2" w14:textId="77777777" w:rsidR="00075985" w:rsidRPr="00075985" w:rsidRDefault="00075985" w:rsidP="008C143E">
      <w:pPr>
        <w:spacing w:after="0" w:line="240" w:lineRule="auto"/>
        <w:ind w:left="720" w:hanging="720"/>
        <w:jc w:val="both"/>
        <w:rPr>
          <w:rFonts w:cs="Arial"/>
          <w:iCs/>
          <w:lang w:val="es-ES"/>
        </w:rPr>
      </w:pPr>
      <w:r w:rsidRPr="00075985">
        <w:rPr>
          <w:rFonts w:cs="Arial"/>
          <w:lang w:val="es-ES"/>
        </w:rPr>
        <w:t>14.DD</w:t>
      </w:r>
      <w:r w:rsidRPr="00075985">
        <w:rPr>
          <w:rFonts w:cs="Arial"/>
          <w:lang w:val="es-ES"/>
        </w:rPr>
        <w:tab/>
        <w:t>La Secretaría deberá:</w:t>
      </w:r>
    </w:p>
    <w:p w14:paraId="1C2C2CC1" w14:textId="77777777" w:rsidR="00075985" w:rsidRPr="00075985" w:rsidRDefault="00075985" w:rsidP="00075985">
      <w:pPr>
        <w:spacing w:after="0" w:line="240" w:lineRule="auto"/>
        <w:ind w:left="720" w:hanging="720"/>
        <w:jc w:val="both"/>
        <w:rPr>
          <w:rFonts w:cs="Arial"/>
          <w:iCs/>
          <w:lang w:val="es-ES"/>
        </w:rPr>
      </w:pPr>
    </w:p>
    <w:p w14:paraId="65BDA388" w14:textId="0B190C9E" w:rsidR="00075985" w:rsidRPr="00075985" w:rsidRDefault="005F0A40" w:rsidP="008C143E">
      <w:pPr>
        <w:widowControl w:val="0"/>
        <w:numPr>
          <w:ilvl w:val="0"/>
          <w:numId w:val="21"/>
        </w:numPr>
        <w:autoSpaceDE w:val="0"/>
        <w:autoSpaceDN w:val="0"/>
        <w:adjustRightInd w:val="0"/>
        <w:spacing w:after="0" w:line="240" w:lineRule="auto"/>
        <w:ind w:left="1080"/>
        <w:jc w:val="both"/>
        <w:rPr>
          <w:rFonts w:cs="Arial"/>
          <w:bCs/>
          <w:iCs/>
          <w:lang w:val="es-ES"/>
        </w:rPr>
      </w:pPr>
      <w:r>
        <w:rPr>
          <w:rFonts w:cs="Arial"/>
          <w:bCs/>
          <w:iCs/>
          <w:lang w:val="es-ES"/>
        </w:rPr>
        <w:t>s</w:t>
      </w:r>
      <w:r w:rsidR="00075985" w:rsidRPr="00075985">
        <w:rPr>
          <w:rFonts w:cs="Arial"/>
          <w:bCs/>
          <w:iCs/>
          <w:lang w:val="es-ES"/>
        </w:rPr>
        <w:t>eguir en contacto con el Grupo de Especialistas en Tiburones de la CSE de la UICN para promover el valor de las ISRA para la conservación de los tiburones y rayas incluidos en las listas de la CMS;</w:t>
      </w:r>
    </w:p>
    <w:p w14:paraId="373773D2" w14:textId="77777777" w:rsidR="00075985" w:rsidRPr="00075985" w:rsidRDefault="00075985" w:rsidP="008C143E">
      <w:pPr>
        <w:widowControl w:val="0"/>
        <w:autoSpaceDE w:val="0"/>
        <w:autoSpaceDN w:val="0"/>
        <w:adjustRightInd w:val="0"/>
        <w:spacing w:after="0" w:line="240" w:lineRule="auto"/>
        <w:ind w:left="1080" w:hanging="360"/>
        <w:jc w:val="both"/>
        <w:rPr>
          <w:rFonts w:cs="Arial"/>
          <w:bCs/>
          <w:iCs/>
          <w:lang w:val="es-ES"/>
        </w:rPr>
      </w:pPr>
    </w:p>
    <w:p w14:paraId="656309D7" w14:textId="094DAAF8" w:rsidR="00075985" w:rsidRPr="00075985" w:rsidRDefault="005F0A40" w:rsidP="008C143E">
      <w:pPr>
        <w:widowControl w:val="0"/>
        <w:numPr>
          <w:ilvl w:val="0"/>
          <w:numId w:val="21"/>
        </w:numPr>
        <w:autoSpaceDE w:val="0"/>
        <w:autoSpaceDN w:val="0"/>
        <w:adjustRightInd w:val="0"/>
        <w:spacing w:after="0" w:line="240" w:lineRule="auto"/>
        <w:ind w:left="1080"/>
        <w:jc w:val="both"/>
        <w:rPr>
          <w:rFonts w:cs="Arial"/>
          <w:bCs/>
          <w:iCs/>
          <w:lang w:val="es-ES"/>
        </w:rPr>
      </w:pPr>
      <w:r>
        <w:rPr>
          <w:rFonts w:cs="Arial"/>
          <w:lang w:val="es-ES"/>
        </w:rPr>
        <w:t>i</w:t>
      </w:r>
      <w:r w:rsidR="00075985" w:rsidRPr="00075985">
        <w:rPr>
          <w:rFonts w:cs="Arial"/>
          <w:lang w:val="es-ES"/>
        </w:rPr>
        <w:t>nformar al Consejo Científico y a las Partes de las nuevas ISRA identificadas; e</w:t>
      </w:r>
    </w:p>
    <w:p w14:paraId="237D730B" w14:textId="77777777" w:rsidR="00075985" w:rsidRPr="00075985" w:rsidRDefault="00075985" w:rsidP="008C143E">
      <w:pPr>
        <w:widowControl w:val="0"/>
        <w:autoSpaceDE w:val="0"/>
        <w:autoSpaceDN w:val="0"/>
        <w:adjustRightInd w:val="0"/>
        <w:spacing w:after="0" w:line="240" w:lineRule="auto"/>
        <w:ind w:left="1080" w:hanging="360"/>
        <w:jc w:val="both"/>
        <w:rPr>
          <w:rFonts w:cs="Arial"/>
          <w:bCs/>
          <w:iCs/>
          <w:lang w:val="es-ES"/>
        </w:rPr>
      </w:pPr>
    </w:p>
    <w:p w14:paraId="750CAE51" w14:textId="5DA4548C" w:rsidR="008B540B" w:rsidRPr="008C143E" w:rsidRDefault="005F0A40" w:rsidP="008C143E">
      <w:pPr>
        <w:pStyle w:val="Firstnumbering1"/>
        <w:numPr>
          <w:ilvl w:val="0"/>
          <w:numId w:val="21"/>
        </w:numPr>
        <w:ind w:left="1080"/>
      </w:pPr>
      <w:r>
        <w:rPr>
          <w:rFonts w:eastAsiaTheme="minorHAnsi"/>
          <w:bCs/>
          <w:iCs/>
          <w:lang w:eastAsia="en-US"/>
        </w:rPr>
        <w:t>i</w:t>
      </w:r>
      <w:r w:rsidR="00075985" w:rsidRPr="00075985">
        <w:rPr>
          <w:rFonts w:eastAsiaTheme="minorHAnsi"/>
          <w:bCs/>
          <w:iCs/>
          <w:lang w:eastAsia="en-US"/>
        </w:rPr>
        <w:t>nformar a la Conferencia de las Partes en su 15.</w:t>
      </w:r>
      <w:r w:rsidR="00075985" w:rsidRPr="00075985">
        <w:rPr>
          <w:rFonts w:eastAsiaTheme="minorHAnsi"/>
          <w:iCs/>
          <w:vertAlign w:val="superscript"/>
          <w:lang w:eastAsia="en-US"/>
        </w:rPr>
        <w:t>ª</w:t>
      </w:r>
      <w:r w:rsidR="00075985" w:rsidRPr="00075985">
        <w:rPr>
          <w:rFonts w:eastAsiaTheme="minorHAnsi"/>
          <w:iCs/>
          <w:lang w:eastAsia="en-US"/>
        </w:rPr>
        <w:t xml:space="preserve"> Reunión sobre la aplicación de esta Decisión.</w:t>
      </w:r>
    </w:p>
    <w:p w14:paraId="4925B6F3" w14:textId="77777777" w:rsidR="008C143E" w:rsidRDefault="008C143E" w:rsidP="008C143E">
      <w:pPr>
        <w:pStyle w:val="Firstnumbering1"/>
        <w:numPr>
          <w:ilvl w:val="0"/>
          <w:numId w:val="0"/>
        </w:numPr>
        <w:sectPr w:rsidR="008C143E" w:rsidSect="0024591F">
          <w:headerReference w:type="first" r:id="rId24"/>
          <w:pgSz w:w="11906" w:h="16838" w:code="9"/>
          <w:pgMar w:top="1440" w:right="1440" w:bottom="1440" w:left="1440" w:header="720" w:footer="720" w:gutter="0"/>
          <w:cols w:space="720"/>
          <w:titlePg/>
          <w:docGrid w:linePitch="360"/>
        </w:sectPr>
      </w:pPr>
    </w:p>
    <w:p w14:paraId="74E35EE1" w14:textId="1CA36A60" w:rsidR="00762829" w:rsidRPr="00762829" w:rsidRDefault="00762829" w:rsidP="00762829">
      <w:pPr>
        <w:spacing w:after="0" w:line="240" w:lineRule="auto"/>
        <w:jc w:val="right"/>
        <w:rPr>
          <w:rFonts w:cs="Arial"/>
          <w:b/>
          <w:caps/>
          <w:lang w:val="es-ES"/>
        </w:rPr>
      </w:pPr>
      <w:r w:rsidRPr="00762829">
        <w:rPr>
          <w:rFonts w:cs="Arial"/>
          <w:b/>
          <w:caps/>
          <w:lang w:val="es-ES"/>
        </w:rPr>
        <w:lastRenderedPageBreak/>
        <w:t xml:space="preserve">Anexo </w:t>
      </w:r>
      <w:r>
        <w:rPr>
          <w:rFonts w:cs="Arial"/>
          <w:b/>
          <w:caps/>
          <w:lang w:val="es-ES"/>
        </w:rPr>
        <w:t>3</w:t>
      </w:r>
    </w:p>
    <w:p w14:paraId="51BBE030" w14:textId="77777777" w:rsidR="00762829" w:rsidRPr="00762829" w:rsidRDefault="00762829" w:rsidP="00762829">
      <w:pPr>
        <w:spacing w:after="0" w:line="240" w:lineRule="auto"/>
        <w:rPr>
          <w:rFonts w:cs="Arial"/>
          <w:b/>
          <w:caps/>
          <w:lang w:val="es-ES"/>
        </w:rPr>
      </w:pPr>
    </w:p>
    <w:p w14:paraId="6D4304AF" w14:textId="77777777" w:rsidR="00762829" w:rsidRPr="00762829" w:rsidRDefault="00762829" w:rsidP="00762829">
      <w:pPr>
        <w:spacing w:after="0" w:line="240" w:lineRule="auto"/>
        <w:rPr>
          <w:rFonts w:cs="Arial"/>
          <w:b/>
          <w:caps/>
          <w:lang w:val="es-ES"/>
        </w:rPr>
      </w:pPr>
    </w:p>
    <w:p w14:paraId="3F17A948" w14:textId="77777777" w:rsidR="00762829" w:rsidRPr="00762829" w:rsidRDefault="00762829" w:rsidP="00762829">
      <w:pPr>
        <w:widowControl w:val="0"/>
        <w:autoSpaceDE w:val="0"/>
        <w:autoSpaceDN w:val="0"/>
        <w:adjustRightInd w:val="0"/>
        <w:spacing w:after="0" w:line="240" w:lineRule="auto"/>
        <w:jc w:val="center"/>
        <w:rPr>
          <w:rFonts w:eastAsia="Times New Roman" w:cs="Arial"/>
          <w:b/>
          <w:iCs/>
          <w:lang w:val="es-ES"/>
        </w:rPr>
      </w:pPr>
      <w:r w:rsidRPr="00762829">
        <w:rPr>
          <w:rFonts w:eastAsia="Times New Roman" w:cs="Arial"/>
          <w:b/>
          <w:iCs/>
          <w:lang w:val="es-ES"/>
        </w:rPr>
        <w:t xml:space="preserve">CRITERIOS Y PROCESOS PARA LA IDENTIFICACIÓN DE </w:t>
      </w:r>
    </w:p>
    <w:p w14:paraId="09C604CE" w14:textId="77777777" w:rsidR="00762829" w:rsidRPr="00762829" w:rsidRDefault="00762829" w:rsidP="00762829">
      <w:pPr>
        <w:widowControl w:val="0"/>
        <w:autoSpaceDE w:val="0"/>
        <w:autoSpaceDN w:val="0"/>
        <w:adjustRightInd w:val="0"/>
        <w:spacing w:after="120" w:line="240" w:lineRule="auto"/>
        <w:jc w:val="center"/>
        <w:rPr>
          <w:rFonts w:eastAsia="Times New Roman" w:cs="Arial"/>
          <w:b/>
          <w:iCs/>
          <w:lang w:val="es-ES"/>
        </w:rPr>
      </w:pPr>
      <w:r w:rsidRPr="00762829">
        <w:rPr>
          <w:rFonts w:eastAsia="Times New Roman" w:cs="Arial"/>
          <w:b/>
          <w:iCs/>
          <w:lang w:val="es-ES"/>
        </w:rPr>
        <w:t>ÁREAS IMPORTANTES DE TIBURONES Y RAYAS (ISRA)</w:t>
      </w:r>
    </w:p>
    <w:p w14:paraId="48CFB636" w14:textId="77777777" w:rsidR="00762829" w:rsidRPr="00762829" w:rsidRDefault="00762829" w:rsidP="00762829">
      <w:pPr>
        <w:jc w:val="center"/>
        <w:rPr>
          <w:rFonts w:eastAsia="Times New Roman" w:cs="Arial"/>
          <w:bCs/>
          <w:iCs/>
          <w:lang w:val="es-ES"/>
        </w:rPr>
      </w:pPr>
      <w:r w:rsidRPr="00762829">
        <w:rPr>
          <w:rFonts w:cs="Arial"/>
          <w:lang w:val="es-ES"/>
        </w:rPr>
        <w:t>(</w:t>
      </w:r>
      <w:r w:rsidRPr="00762829">
        <w:rPr>
          <w:rFonts w:cs="Arial"/>
          <w:i/>
          <w:iCs/>
          <w:lang w:val="es-ES"/>
        </w:rPr>
        <w:t>Elaborado por el Grupo de Especialistas en Tiburones de la CSE de la UICN</w:t>
      </w:r>
      <w:r w:rsidRPr="00762829">
        <w:rPr>
          <w:rFonts w:cs="Arial"/>
          <w:vertAlign w:val="superscript"/>
          <w:lang w:val="es-ES"/>
        </w:rPr>
        <w:footnoteReference w:id="3"/>
      </w:r>
      <w:r w:rsidRPr="00762829">
        <w:rPr>
          <w:rFonts w:cs="Arial"/>
          <w:lang w:val="es-ES"/>
        </w:rPr>
        <w:t>)</w:t>
      </w:r>
      <w:r w:rsidRPr="00762829">
        <w:rPr>
          <w:i/>
          <w:iCs/>
          <w:lang w:val="es-ES"/>
        </w:rPr>
        <w:t xml:space="preserve"> </w:t>
      </w:r>
    </w:p>
    <w:p w14:paraId="638E1539" w14:textId="77777777" w:rsidR="00762829" w:rsidRPr="00762829" w:rsidRDefault="00762829" w:rsidP="00762829">
      <w:pPr>
        <w:widowControl w:val="0"/>
        <w:autoSpaceDE w:val="0"/>
        <w:autoSpaceDN w:val="0"/>
        <w:adjustRightInd w:val="0"/>
        <w:spacing w:after="0" w:line="240" w:lineRule="auto"/>
        <w:jc w:val="both"/>
        <w:rPr>
          <w:rFonts w:eastAsia="Times New Roman" w:cs="Arial"/>
          <w:bCs/>
          <w:iCs/>
          <w:lang w:val="es-ES"/>
        </w:rPr>
      </w:pPr>
    </w:p>
    <w:p w14:paraId="5CD12337" w14:textId="77777777" w:rsidR="00762829" w:rsidRPr="00762829" w:rsidRDefault="00762829" w:rsidP="00762829">
      <w:pPr>
        <w:widowControl w:val="0"/>
        <w:autoSpaceDE w:val="0"/>
        <w:autoSpaceDN w:val="0"/>
        <w:adjustRightInd w:val="0"/>
        <w:spacing w:after="0" w:line="240" w:lineRule="auto"/>
        <w:jc w:val="both"/>
        <w:rPr>
          <w:rFonts w:eastAsia="Times New Roman" w:cs="Arial"/>
          <w:bCs/>
          <w:iCs/>
          <w:lang w:val="es-ES"/>
        </w:rPr>
      </w:pPr>
    </w:p>
    <w:p w14:paraId="5E40EA51" w14:textId="77777777" w:rsidR="00762829" w:rsidRPr="00762829" w:rsidRDefault="00762829" w:rsidP="00762829">
      <w:pPr>
        <w:widowControl w:val="0"/>
        <w:numPr>
          <w:ilvl w:val="0"/>
          <w:numId w:val="23"/>
        </w:numPr>
        <w:autoSpaceDE w:val="0"/>
        <w:autoSpaceDN w:val="0"/>
        <w:adjustRightInd w:val="0"/>
        <w:spacing w:after="0" w:line="240" w:lineRule="auto"/>
        <w:ind w:left="540" w:hanging="540"/>
        <w:contextualSpacing/>
        <w:jc w:val="both"/>
        <w:rPr>
          <w:rFonts w:eastAsia="Times New Roman" w:cs="Arial"/>
          <w:b/>
          <w:iCs/>
          <w:lang w:val="es-ES"/>
        </w:rPr>
      </w:pPr>
      <w:r w:rsidRPr="00762829">
        <w:rPr>
          <w:rFonts w:eastAsia="Times New Roman" w:cs="Arial"/>
          <w:b/>
          <w:iCs/>
          <w:lang w:val="es-ES"/>
        </w:rPr>
        <w:t>Criterios para la identificación de ISRA</w:t>
      </w:r>
    </w:p>
    <w:p w14:paraId="7B6A107F" w14:textId="77777777" w:rsidR="00762829" w:rsidRPr="00762829" w:rsidRDefault="00762829" w:rsidP="00762829">
      <w:pPr>
        <w:widowControl w:val="0"/>
        <w:autoSpaceDE w:val="0"/>
        <w:autoSpaceDN w:val="0"/>
        <w:adjustRightInd w:val="0"/>
        <w:spacing w:after="0" w:line="240" w:lineRule="auto"/>
        <w:jc w:val="both"/>
        <w:rPr>
          <w:rFonts w:eastAsia="Times New Roman" w:cs="Arial"/>
          <w:b/>
          <w:iCs/>
          <w:lang w:val="es-ES"/>
        </w:rPr>
      </w:pPr>
    </w:p>
    <w:p w14:paraId="2F07C7A2"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r w:rsidRPr="00762829">
        <w:rPr>
          <w:rFonts w:eastAsia="Times New Roman" w:cs="Arial"/>
          <w:b/>
          <w:iCs/>
          <w:lang w:val="es-ES"/>
        </w:rPr>
        <w:t xml:space="preserve">Criterio A (Vulnerabilidad): </w:t>
      </w:r>
      <w:r w:rsidRPr="00762829">
        <w:rPr>
          <w:rFonts w:eastAsia="Times New Roman" w:cs="Arial"/>
          <w:bCs/>
          <w:iCs/>
          <w:lang w:val="es-ES"/>
        </w:rPr>
        <w:t xml:space="preserve">El Criterio A se refiere a áreas importantes para la persistencia y recuperación de tiburones amenazados. Los tiburones amenazados son los que figuran en la Lista Roja de la UICN como «En Peligro Crítico», «En Peligro» o «Vulnerable» (Unión Internacional para la Conservación de la Naturaleza [UICN], 2022). Según este criterio, «amenazado» también podría referirse a los tiburones en peligro de extinción, tal y como se refleja en otras evaluaciones disponibles (por ejemplo, los marcos normativos y jurídicos nacionales que evalúan el riesgo de extinción de las especies, como la Ley de Especies en Peligro de Estados Unidos [ESA] o la Ley de Protección del Medio Ambiente y Conservación de la Biodiversidad [EPBC] de Australia). </w:t>
      </w:r>
    </w:p>
    <w:p w14:paraId="5882501E"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p>
    <w:p w14:paraId="1A486691"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r w:rsidRPr="00762829">
        <w:rPr>
          <w:rFonts w:eastAsia="Times New Roman" w:cs="Arial"/>
          <w:b/>
          <w:iCs/>
          <w:lang w:val="es-ES"/>
        </w:rPr>
        <w:t xml:space="preserve">Criterio B (Ámbito restringido): </w:t>
      </w:r>
      <w:r w:rsidRPr="00762829">
        <w:rPr>
          <w:rFonts w:eastAsia="Times New Roman" w:cs="Arial"/>
          <w:bCs/>
          <w:iCs/>
          <w:lang w:val="es-ES"/>
        </w:rPr>
        <w:t xml:space="preserve">El Criterio B se refiere a áreas con presencia regular y/o predecible de tiburones en un área de distribución restringida, ocupada todo el año o de forma estacional. </w:t>
      </w:r>
    </w:p>
    <w:p w14:paraId="66939015"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p>
    <w:p w14:paraId="460B5370"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r w:rsidRPr="00762829">
        <w:rPr>
          <w:rFonts w:eastAsia="Times New Roman" w:cs="Arial"/>
          <w:b/>
          <w:iCs/>
          <w:lang w:val="es-ES"/>
        </w:rPr>
        <w:t xml:space="preserve">Criterio C (Recorrido vital): </w:t>
      </w:r>
      <w:r w:rsidRPr="00762829">
        <w:rPr>
          <w:rFonts w:eastAsia="Times New Roman" w:cs="Arial"/>
          <w:bCs/>
          <w:iCs/>
          <w:lang w:val="es-ES"/>
        </w:rPr>
        <w:t>El Criterio C se refiere a áreas importantes para que los tiburones lleven a cabo funciones vitales a lo largo de su ciclo vital (es decir, reproducción, alimentación, descanso, movimiento o agregaciones indefinidas). Esto incluye cinco subcriterios que abarcan la amplia variedad y complejidad de sus recorridos vitales. En este documento se recopilan los datos de presencia de las especies, cuando están en disposición, que incluye información sobre la estructura por edades, el estado reproductivo, el sexo y la estacionalidad.</w:t>
      </w:r>
    </w:p>
    <w:p w14:paraId="3B8CD969"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p>
    <w:p w14:paraId="257D764D" w14:textId="77777777" w:rsidR="00762829" w:rsidRPr="00762829" w:rsidRDefault="00762829" w:rsidP="00E046D9">
      <w:pPr>
        <w:widowControl w:val="0"/>
        <w:autoSpaceDE w:val="0"/>
        <w:autoSpaceDN w:val="0"/>
        <w:adjustRightInd w:val="0"/>
        <w:spacing w:after="80" w:line="240" w:lineRule="auto"/>
        <w:ind w:left="907"/>
        <w:jc w:val="both"/>
        <w:rPr>
          <w:rFonts w:eastAsia="Times New Roman" w:cs="Arial"/>
          <w:bCs/>
          <w:iCs/>
          <w:lang w:val="es-ES"/>
        </w:rPr>
      </w:pPr>
      <w:r w:rsidRPr="00762829">
        <w:rPr>
          <w:rFonts w:eastAsia="Times New Roman" w:cs="Arial"/>
          <w:b/>
          <w:iCs/>
          <w:lang w:val="es-ES"/>
        </w:rPr>
        <w:t xml:space="preserve">Subcriterio C (Áreas reproductivas): </w:t>
      </w:r>
      <w:r w:rsidRPr="00762829">
        <w:rPr>
          <w:rFonts w:eastAsia="Times New Roman" w:cs="Arial"/>
          <w:bCs/>
          <w:iCs/>
          <w:lang w:val="es-ES"/>
        </w:rPr>
        <w:t xml:space="preserve">Las áreas reproductivas son importantes para el apareamiento de los tiburones, el parto, puesta de huevos o para proporcionar refugio u otras ventajas a las crías (por ejemplo, evitar a los depredadores o acceder a fuentes de alimentación), por lo que son fundamentales para el éxito reproductivo. Se trata de lugares que pueden identificarse como «áreas de cría», que son importantes para los neonatos, los jóvenes del año o crías de las especies vivíparas; o «zonas de cría de huevos», que son importantes para la puesta de huevos y el desarrollo hasta la eclosión y el desarrollo de los neonatos y las crías de las especies ovíparas. </w:t>
      </w:r>
    </w:p>
    <w:p w14:paraId="593023B0" w14:textId="77777777" w:rsidR="00762829" w:rsidRPr="00762829" w:rsidRDefault="00762829" w:rsidP="00E046D9">
      <w:pPr>
        <w:widowControl w:val="0"/>
        <w:autoSpaceDE w:val="0"/>
        <w:autoSpaceDN w:val="0"/>
        <w:adjustRightInd w:val="0"/>
        <w:spacing w:after="80" w:line="240" w:lineRule="auto"/>
        <w:ind w:left="907"/>
        <w:jc w:val="both"/>
        <w:rPr>
          <w:rFonts w:eastAsia="Times New Roman" w:cs="Arial"/>
          <w:bCs/>
          <w:iCs/>
          <w:lang w:val="es-ES"/>
        </w:rPr>
      </w:pPr>
      <w:r w:rsidRPr="00762829">
        <w:rPr>
          <w:rFonts w:eastAsia="Times New Roman" w:cs="Arial"/>
          <w:b/>
          <w:iCs/>
          <w:lang w:val="es-ES"/>
        </w:rPr>
        <w:t xml:space="preserve">Subcriterio C2 (Áreas de alimentación): </w:t>
      </w:r>
      <w:r w:rsidRPr="00762829">
        <w:rPr>
          <w:rFonts w:eastAsia="Times New Roman" w:cs="Arial"/>
          <w:bCs/>
          <w:iCs/>
          <w:lang w:val="es-ES"/>
        </w:rPr>
        <w:t xml:space="preserve">Las áreas de alimentación son importantes para la nutrición de los tiburones en una o más fases de su ciclo vital. El subcriterio C2 se refiere a las áreas en las que es sabido que los tiburones se nutren, y que están sustentadas por la presencia regular y predecible de presas. </w:t>
      </w:r>
    </w:p>
    <w:p w14:paraId="26D60E3A" w14:textId="77777777" w:rsidR="00762829" w:rsidRPr="00762829" w:rsidRDefault="00762829" w:rsidP="00E046D9">
      <w:pPr>
        <w:widowControl w:val="0"/>
        <w:autoSpaceDE w:val="0"/>
        <w:autoSpaceDN w:val="0"/>
        <w:adjustRightInd w:val="0"/>
        <w:spacing w:after="80" w:line="240" w:lineRule="auto"/>
        <w:ind w:left="907"/>
        <w:jc w:val="both"/>
        <w:rPr>
          <w:rFonts w:eastAsia="Times New Roman" w:cs="Arial"/>
          <w:bCs/>
          <w:iCs/>
          <w:lang w:val="es-ES"/>
        </w:rPr>
      </w:pPr>
      <w:r w:rsidRPr="00762829">
        <w:rPr>
          <w:rFonts w:eastAsia="Times New Roman" w:cs="Arial"/>
          <w:b/>
          <w:iCs/>
          <w:lang w:val="es-ES"/>
        </w:rPr>
        <w:t xml:space="preserve">Subcriterio C3 (Áreas de descanso): </w:t>
      </w:r>
      <w:r w:rsidRPr="00762829">
        <w:rPr>
          <w:rFonts w:eastAsia="Times New Roman" w:cs="Arial"/>
          <w:bCs/>
          <w:iCs/>
          <w:lang w:val="es-ES"/>
        </w:rPr>
        <w:t xml:space="preserve">Las áreas de descanso son importantes para que los tiburones tengan energía y se les relaciona con condiciones ambientales o factores temporales. Son áreas en las que una agregación o agrupación de tiburones pasa el tiempo durante los ciclos de actividad diaria y, que pueden verse influidas, por las condiciones ambientales (por ejemplo, el ciclo de las mareas) o por </w:t>
      </w:r>
      <w:r w:rsidRPr="00762829">
        <w:rPr>
          <w:rFonts w:eastAsia="Times New Roman" w:cs="Arial"/>
          <w:bCs/>
          <w:iCs/>
          <w:lang w:val="es-ES"/>
        </w:rPr>
        <w:lastRenderedPageBreak/>
        <w:t xml:space="preserve">factores temporales (por ejemplo, la hora del día). </w:t>
      </w:r>
    </w:p>
    <w:p w14:paraId="7CEC8123" w14:textId="77777777" w:rsidR="00762829" w:rsidRPr="00762829" w:rsidRDefault="00762829" w:rsidP="00E046D9">
      <w:pPr>
        <w:widowControl w:val="0"/>
        <w:autoSpaceDE w:val="0"/>
        <w:autoSpaceDN w:val="0"/>
        <w:adjustRightInd w:val="0"/>
        <w:spacing w:after="80" w:line="240" w:lineRule="auto"/>
        <w:ind w:left="907"/>
        <w:jc w:val="both"/>
        <w:rPr>
          <w:rFonts w:eastAsia="Times New Roman" w:cs="Arial"/>
          <w:bCs/>
          <w:iCs/>
          <w:lang w:val="es-ES"/>
        </w:rPr>
      </w:pPr>
      <w:r w:rsidRPr="00762829">
        <w:rPr>
          <w:rFonts w:eastAsia="Times New Roman" w:cs="Arial"/>
          <w:b/>
          <w:iCs/>
          <w:lang w:val="es-ES"/>
        </w:rPr>
        <w:t xml:space="preserve">Subcriterio C4 (Movimiento): </w:t>
      </w:r>
      <w:r w:rsidRPr="00762829">
        <w:rPr>
          <w:rFonts w:eastAsia="Times New Roman" w:cs="Arial"/>
          <w:bCs/>
          <w:iCs/>
          <w:lang w:val="es-ES"/>
        </w:rPr>
        <w:t xml:space="preserve">Este subcriterio identifica las áreas frecuentadas por los tiburones de forma regular, o previsible, durante sus desplazamientos, como las migraciones, que contribuyen a la conectividad de áreas importantes. El subcriterio C4 se refiere al movimiento predecible de los tiburones, agregaciones o conjuntos de un lugar a otro, a menudo relacionado con una función estacional o vital, como la reproducción o la alimentación. </w:t>
      </w:r>
    </w:p>
    <w:p w14:paraId="18231327" w14:textId="77777777" w:rsidR="00762829" w:rsidRPr="00762829" w:rsidRDefault="00762829" w:rsidP="00E046D9">
      <w:pPr>
        <w:widowControl w:val="0"/>
        <w:autoSpaceDE w:val="0"/>
        <w:autoSpaceDN w:val="0"/>
        <w:adjustRightInd w:val="0"/>
        <w:spacing w:after="0" w:line="240" w:lineRule="auto"/>
        <w:ind w:left="900"/>
        <w:jc w:val="both"/>
        <w:rPr>
          <w:rFonts w:eastAsia="Times New Roman" w:cs="Arial"/>
          <w:bCs/>
          <w:iCs/>
          <w:lang w:val="es-ES"/>
        </w:rPr>
      </w:pPr>
      <w:r w:rsidRPr="00762829">
        <w:rPr>
          <w:rFonts w:eastAsia="Times New Roman" w:cs="Arial"/>
          <w:b/>
          <w:iCs/>
          <w:lang w:val="es-ES"/>
        </w:rPr>
        <w:t xml:space="preserve">Subcriterio C5 (Agregaciones indefinidas): </w:t>
      </w:r>
      <w:r w:rsidRPr="00762829">
        <w:rPr>
          <w:rFonts w:eastAsia="Times New Roman" w:cs="Arial"/>
          <w:bCs/>
          <w:iCs/>
          <w:lang w:val="es-ES"/>
        </w:rPr>
        <w:t xml:space="preserve">Este subcriterio identifica las áreas en las que se produce de forma regular y/o previsible una agregación o agrupación de tiburones, durante todo el año o de forma estacional, pero, actualmente, se desconoce cuál es la función de la agregación. El subcriterio C5 se refiere a agregaciones o agrupaciones de tiburones en un área donde realizan o muestran un comportamiento que se sabe que se produce, pero que (aún) no se atribuye a una función vital conocida </w:t>
      </w:r>
      <w:r w:rsidRPr="00762829">
        <w:rPr>
          <w:rFonts w:eastAsia="Times New Roman" w:cs="Arial"/>
          <w:bCs/>
          <w:iCs/>
          <w:lang w:val="es-ES"/>
        </w:rPr>
        <w:br/>
        <w:t xml:space="preserve">(por ejemplo, reproducción, alimentación, descanso o movimiento) o evitar a los depredadores (por ejemplo, instrucción). </w:t>
      </w:r>
    </w:p>
    <w:p w14:paraId="14A28754" w14:textId="77777777" w:rsidR="00762829" w:rsidRPr="00762829" w:rsidRDefault="00762829" w:rsidP="00E046D9">
      <w:pPr>
        <w:widowControl w:val="0"/>
        <w:autoSpaceDE w:val="0"/>
        <w:autoSpaceDN w:val="0"/>
        <w:adjustRightInd w:val="0"/>
        <w:spacing w:after="0" w:line="240" w:lineRule="auto"/>
        <w:ind w:left="1080"/>
        <w:jc w:val="both"/>
        <w:rPr>
          <w:rFonts w:eastAsia="Times New Roman" w:cs="Arial"/>
          <w:bCs/>
          <w:iCs/>
          <w:lang w:val="es-ES"/>
        </w:rPr>
      </w:pPr>
    </w:p>
    <w:p w14:paraId="3A2E51EC"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r w:rsidRPr="00762829">
        <w:rPr>
          <w:rFonts w:eastAsia="Times New Roman" w:cs="Arial"/>
          <w:b/>
          <w:iCs/>
          <w:lang w:val="es-ES"/>
        </w:rPr>
        <w:t xml:space="preserve">Criterio D (Atributos especiales): </w:t>
      </w:r>
      <w:r w:rsidRPr="00762829">
        <w:rPr>
          <w:rFonts w:eastAsia="Times New Roman" w:cs="Arial"/>
          <w:bCs/>
          <w:iCs/>
          <w:lang w:val="es-ES"/>
        </w:rPr>
        <w:t xml:space="preserve">El Criterio D se refiere a las áreas importantes para los tiburones, teniendo en cuenta sus atributos distintivos biológicos, de comportamiento o ecológicos, (únicos o asociados a un tipo de hábitat único), o que albergan una importante diversidad de especies. Consta de dos subcriterios relacionados con el carácter distintivo y la diversidad. </w:t>
      </w:r>
    </w:p>
    <w:p w14:paraId="1E098B40" w14:textId="77777777" w:rsidR="00762829" w:rsidRPr="00762829" w:rsidRDefault="00762829" w:rsidP="00E046D9">
      <w:pPr>
        <w:widowControl w:val="0"/>
        <w:autoSpaceDE w:val="0"/>
        <w:autoSpaceDN w:val="0"/>
        <w:adjustRightInd w:val="0"/>
        <w:spacing w:after="0" w:line="240" w:lineRule="auto"/>
        <w:ind w:left="540"/>
        <w:jc w:val="both"/>
        <w:rPr>
          <w:rFonts w:eastAsia="Times New Roman" w:cs="Arial"/>
          <w:bCs/>
          <w:iCs/>
          <w:lang w:val="es-ES"/>
        </w:rPr>
      </w:pPr>
    </w:p>
    <w:p w14:paraId="6F2FD8C9" w14:textId="77777777" w:rsidR="00762829" w:rsidRPr="00762829" w:rsidRDefault="00762829" w:rsidP="00E046D9">
      <w:pPr>
        <w:widowControl w:val="0"/>
        <w:autoSpaceDE w:val="0"/>
        <w:autoSpaceDN w:val="0"/>
        <w:adjustRightInd w:val="0"/>
        <w:spacing w:after="80" w:line="240" w:lineRule="auto"/>
        <w:ind w:left="907"/>
        <w:jc w:val="both"/>
        <w:rPr>
          <w:rFonts w:eastAsia="Times New Roman" w:cs="Arial"/>
          <w:bCs/>
          <w:iCs/>
          <w:lang w:val="es-ES"/>
        </w:rPr>
      </w:pPr>
      <w:r w:rsidRPr="00762829">
        <w:rPr>
          <w:rFonts w:eastAsia="Times New Roman" w:cs="Arial"/>
          <w:b/>
          <w:iCs/>
          <w:lang w:val="es-ES"/>
        </w:rPr>
        <w:t xml:space="preserve">Subcriterio D1 (Características distintivas): </w:t>
      </w:r>
      <w:r w:rsidRPr="00762829">
        <w:rPr>
          <w:rFonts w:eastAsia="Times New Roman" w:cs="Arial"/>
          <w:bCs/>
          <w:iCs/>
          <w:lang w:val="es-ES"/>
        </w:rPr>
        <w:t xml:space="preserve">El subcriterio D1 identifica las áreas donde los tiburones demuestran sus características biológicas, de comportamiento o ecológicas distintivas. La variedad de tiburones, sus rasgos únicos y sus adaptaciones podrían dar lugar a características distintivas. </w:t>
      </w:r>
    </w:p>
    <w:p w14:paraId="199C7C40" w14:textId="77777777" w:rsidR="00762829" w:rsidRPr="00762829" w:rsidRDefault="00762829" w:rsidP="00E046D9">
      <w:pPr>
        <w:widowControl w:val="0"/>
        <w:autoSpaceDE w:val="0"/>
        <w:autoSpaceDN w:val="0"/>
        <w:adjustRightInd w:val="0"/>
        <w:spacing w:after="0" w:line="240" w:lineRule="auto"/>
        <w:ind w:left="900"/>
        <w:jc w:val="both"/>
        <w:rPr>
          <w:rFonts w:eastAsia="Times New Roman" w:cs="Arial"/>
          <w:bCs/>
          <w:iCs/>
          <w:lang w:val="es-ES"/>
        </w:rPr>
      </w:pPr>
      <w:r w:rsidRPr="00762829">
        <w:rPr>
          <w:rFonts w:eastAsia="Times New Roman" w:cs="Arial"/>
          <w:b/>
          <w:iCs/>
          <w:lang w:val="es-ES"/>
        </w:rPr>
        <w:t xml:space="preserve">Subcriterio D2 (Diversidad): </w:t>
      </w:r>
      <w:r w:rsidRPr="00762829">
        <w:rPr>
          <w:rFonts w:eastAsia="Times New Roman" w:cs="Arial"/>
          <w:bCs/>
          <w:iCs/>
          <w:lang w:val="es-ES"/>
        </w:rPr>
        <w:t xml:space="preserve">El subcriterio D2 identifica las áreas que tienen una importante diversidad de tiburones. Se trata de áreas que pueden albergar una gran diversidad de tiburones (es decir, la diversidad del conjunto de especies de tiburones es alta o excepcional para esa región), y que son críticas para la persistencia de la diversidad de tiburones. </w:t>
      </w:r>
    </w:p>
    <w:p w14:paraId="23576603" w14:textId="77777777" w:rsidR="00762829" w:rsidRPr="00762829" w:rsidRDefault="00762829" w:rsidP="00E046D9">
      <w:pPr>
        <w:widowControl w:val="0"/>
        <w:autoSpaceDE w:val="0"/>
        <w:autoSpaceDN w:val="0"/>
        <w:adjustRightInd w:val="0"/>
        <w:spacing w:after="0" w:line="240" w:lineRule="auto"/>
        <w:jc w:val="both"/>
        <w:rPr>
          <w:rFonts w:eastAsia="Times New Roman" w:cs="Arial"/>
          <w:b/>
          <w:iCs/>
          <w:lang w:val="es-ES"/>
        </w:rPr>
      </w:pPr>
    </w:p>
    <w:p w14:paraId="6AF154DB" w14:textId="77777777" w:rsidR="00762829" w:rsidRPr="00762829" w:rsidRDefault="00762829" w:rsidP="00E046D9">
      <w:pPr>
        <w:widowControl w:val="0"/>
        <w:numPr>
          <w:ilvl w:val="0"/>
          <w:numId w:val="23"/>
        </w:numPr>
        <w:autoSpaceDE w:val="0"/>
        <w:autoSpaceDN w:val="0"/>
        <w:adjustRightInd w:val="0"/>
        <w:spacing w:after="0" w:line="240" w:lineRule="auto"/>
        <w:ind w:left="540" w:hanging="540"/>
        <w:contextualSpacing/>
        <w:jc w:val="both"/>
        <w:rPr>
          <w:rFonts w:eastAsia="Times New Roman" w:cs="Arial"/>
          <w:b/>
          <w:iCs/>
          <w:lang w:val="es-ES"/>
        </w:rPr>
      </w:pPr>
      <w:r w:rsidRPr="00762829">
        <w:rPr>
          <w:rFonts w:eastAsia="Times New Roman" w:cs="Arial"/>
          <w:b/>
          <w:iCs/>
          <w:lang w:val="es-ES"/>
        </w:rPr>
        <w:t>Proceso de identificación de ISRA</w:t>
      </w:r>
    </w:p>
    <w:p w14:paraId="4751589C" w14:textId="77777777" w:rsidR="00762829" w:rsidRPr="00762829" w:rsidRDefault="00762829" w:rsidP="00E046D9">
      <w:pPr>
        <w:widowControl w:val="0"/>
        <w:autoSpaceDE w:val="0"/>
        <w:autoSpaceDN w:val="0"/>
        <w:adjustRightInd w:val="0"/>
        <w:spacing w:after="0" w:line="240" w:lineRule="auto"/>
        <w:jc w:val="both"/>
        <w:rPr>
          <w:rFonts w:eastAsia="Times New Roman" w:cs="Arial"/>
          <w:b/>
          <w:iCs/>
          <w:lang w:val="es-ES"/>
        </w:rPr>
      </w:pPr>
    </w:p>
    <w:p w14:paraId="60488735" w14:textId="10E1F073" w:rsidR="008C143E" w:rsidRPr="0024591F" w:rsidRDefault="00762829" w:rsidP="00CC71DB">
      <w:pPr>
        <w:widowControl w:val="0"/>
        <w:autoSpaceDE w:val="0"/>
        <w:autoSpaceDN w:val="0"/>
        <w:adjustRightInd w:val="0"/>
        <w:spacing w:after="0" w:line="240" w:lineRule="auto"/>
        <w:ind w:left="540"/>
        <w:jc w:val="both"/>
        <w:rPr>
          <w:lang w:val="es-ES"/>
        </w:rPr>
      </w:pPr>
      <w:r w:rsidRPr="00762829">
        <w:rPr>
          <w:rFonts w:eastAsia="Times New Roman" w:cs="Arial"/>
          <w:bCs/>
          <w:iCs/>
          <w:lang w:val="es-ES"/>
        </w:rPr>
        <w:t>Las ISRA se identifican en los talleres regionales de expertos. Estos los organiza el Grupo de Especialistas en Tiburones de la CSE de la UICN previa consulta con sus vicepresidentes regionales. Los talleres están abiertos a miembros y no miembros de la región con conocimientos y experiencia para la identificación de las ISRA. Durante el período previo a cada taller regional, se buscan, de forma activa, fuentes de información para su estudio y evaluación, que pasan a formar parte del Inventario de Conocimientos de ISRA. A partir de las contribuciones de los expertos, se examinan las Áreas de Interés Preliminares (pAoI) en busca de la presencia, regular o previsible, de especies a las que puedan aplicársele los criterios. Las especies cualificadas, o de apoyo, evaluadas con respecto a cada uno de los criterios de ISRA dentro de una pAoI permiten justificar un área candidata importante para tiburones y rayas (cISRA). Por último, tras el taller, cada cISRA se somete a una revisión paritaria por parte de un Grupo de Revisión Independiente. Este Grupo está compuesto por reconocidos expertos en tiburones que no han participado en los talleres regionales, pero que conocen en profundidad las especies, los hábitats y los Criterios ISRA (Notarbartolo di Sciara, 2021</w:t>
      </w:r>
      <w:r w:rsidRPr="00762829">
        <w:rPr>
          <w:rFonts w:eastAsia="Times New Roman" w:cs="Arial"/>
          <w:bCs/>
          <w:iCs/>
          <w:vertAlign w:val="superscript"/>
          <w:lang w:val="es-ES"/>
        </w:rPr>
        <w:footnoteReference w:id="4"/>
      </w:r>
      <w:r w:rsidRPr="00762829">
        <w:rPr>
          <w:rFonts w:eastAsia="Times New Roman" w:cs="Arial"/>
          <w:bCs/>
          <w:iCs/>
          <w:lang w:val="es-ES"/>
        </w:rPr>
        <w:t>).</w:t>
      </w:r>
    </w:p>
    <w:sectPr w:rsidR="008C143E" w:rsidRPr="0024591F" w:rsidSect="0024591F">
      <w:headerReference w:type="even" r:id="rId25"/>
      <w:headerReference w:type="first" r:id="rId26"/>
      <w:pgSz w:w="11906" w:h="16838" w:code="9"/>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03AE" w14:textId="77777777" w:rsidR="007F70A1" w:rsidRDefault="007F70A1" w:rsidP="00002A97">
      <w:pPr>
        <w:spacing w:after="0" w:line="240" w:lineRule="auto"/>
      </w:pPr>
      <w:r>
        <w:separator/>
      </w:r>
    </w:p>
  </w:endnote>
  <w:endnote w:type="continuationSeparator" w:id="0">
    <w:p w14:paraId="226F0AC3" w14:textId="77777777" w:rsidR="007F70A1" w:rsidRDefault="007F70A1"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7EB962F8"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534893"/>
      <w:docPartObj>
        <w:docPartGallery w:val="Page Numbers (Bottom of Page)"/>
        <w:docPartUnique/>
      </w:docPartObj>
    </w:sdtPr>
    <w:sdtEndPr>
      <w:rPr>
        <w:noProof/>
        <w:sz w:val="18"/>
        <w:szCs w:val="18"/>
      </w:rPr>
    </w:sdtEndPr>
    <w:sdtContent>
      <w:p w14:paraId="777C8B1E" w14:textId="20970B0F" w:rsidR="00801C6E" w:rsidRPr="00801C6E" w:rsidRDefault="00801C6E">
        <w:pPr>
          <w:pStyle w:val="Footer"/>
          <w:jc w:val="center"/>
          <w:rPr>
            <w:sz w:val="18"/>
            <w:szCs w:val="18"/>
          </w:rPr>
        </w:pPr>
        <w:r w:rsidRPr="00801C6E">
          <w:rPr>
            <w:sz w:val="18"/>
            <w:szCs w:val="18"/>
          </w:rPr>
          <w:fldChar w:fldCharType="begin"/>
        </w:r>
        <w:r w:rsidRPr="00801C6E">
          <w:rPr>
            <w:sz w:val="18"/>
            <w:szCs w:val="18"/>
          </w:rPr>
          <w:instrText xml:space="preserve"> PAGE   \* MERGEFORMAT </w:instrText>
        </w:r>
        <w:r w:rsidRPr="00801C6E">
          <w:rPr>
            <w:sz w:val="18"/>
            <w:szCs w:val="18"/>
          </w:rPr>
          <w:fldChar w:fldCharType="separate"/>
        </w:r>
        <w:r w:rsidRPr="00801C6E">
          <w:rPr>
            <w:noProof/>
            <w:sz w:val="18"/>
            <w:szCs w:val="18"/>
          </w:rPr>
          <w:t>2</w:t>
        </w:r>
        <w:r w:rsidRPr="00801C6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D65D" w14:textId="77777777" w:rsidR="007F70A1" w:rsidRDefault="007F70A1" w:rsidP="00002A97">
      <w:pPr>
        <w:spacing w:after="0" w:line="240" w:lineRule="auto"/>
      </w:pPr>
      <w:r>
        <w:separator/>
      </w:r>
    </w:p>
  </w:footnote>
  <w:footnote w:type="continuationSeparator" w:id="0">
    <w:p w14:paraId="16E83E60" w14:textId="77777777" w:rsidR="007F70A1" w:rsidRDefault="007F70A1" w:rsidP="00002A97">
      <w:pPr>
        <w:spacing w:after="0" w:line="240" w:lineRule="auto"/>
      </w:pPr>
      <w:r>
        <w:continuationSeparator/>
      </w:r>
    </w:p>
  </w:footnote>
  <w:footnote w:id="1">
    <w:p w14:paraId="0B07E1FC" w14:textId="77777777" w:rsidR="002A664A" w:rsidRPr="0024591F" w:rsidRDefault="002A664A" w:rsidP="008D205A">
      <w:pPr>
        <w:pStyle w:val="FootnoteText"/>
        <w:jc w:val="both"/>
        <w:rPr>
          <w:rFonts w:cs="Arial"/>
          <w:sz w:val="16"/>
          <w:szCs w:val="16"/>
          <w:lang w:val="es-ES"/>
        </w:rPr>
      </w:pPr>
      <w:bookmarkStart w:id="0" w:name="_Hlk117176097"/>
      <w:r w:rsidRPr="00992485">
        <w:rPr>
          <w:rStyle w:val="FootnoteReference"/>
          <w:rFonts w:cs="Arial"/>
          <w:sz w:val="16"/>
          <w:szCs w:val="16"/>
        </w:rPr>
        <w:footnoteRef/>
      </w:r>
      <w:r w:rsidRPr="002A664A">
        <w:rPr>
          <w:rFonts w:cs="Arial"/>
          <w:sz w:val="16"/>
          <w:szCs w:val="16"/>
          <w:lang w:val="es-ES"/>
        </w:rPr>
        <w:t xml:space="preserve"> </w:t>
      </w:r>
      <w:r w:rsidRPr="002A664A">
        <w:rPr>
          <w:rFonts w:cs="Arial"/>
          <w:b/>
          <w:bCs/>
          <w:sz w:val="16"/>
          <w:szCs w:val="16"/>
          <w:lang w:val="es-ES"/>
        </w:rPr>
        <w:t>Dulvy NK, Pacoureau N, Rigby CL, Pollom RA, Jabado RW, Ebert DA, Finucci B</w:t>
      </w:r>
      <w:r w:rsidRPr="002A664A">
        <w:rPr>
          <w:rFonts w:cs="Arial"/>
          <w:b/>
          <w:bCs/>
          <w:i/>
          <w:iCs/>
          <w:sz w:val="16"/>
          <w:szCs w:val="16"/>
          <w:lang w:val="es-ES"/>
        </w:rPr>
        <w:t>. et al.</w:t>
      </w:r>
      <w:r w:rsidRPr="002A664A">
        <w:rPr>
          <w:rFonts w:cs="Arial"/>
          <w:b/>
          <w:bCs/>
          <w:sz w:val="16"/>
          <w:szCs w:val="16"/>
          <w:lang w:val="es-ES"/>
        </w:rPr>
        <w:t xml:space="preserve"> (2021) </w:t>
      </w:r>
      <w:r w:rsidRPr="00992485">
        <w:rPr>
          <w:rFonts w:cs="Arial"/>
          <w:sz w:val="16"/>
          <w:szCs w:val="16"/>
          <w:lang w:val="es-ES"/>
        </w:rPr>
        <w:t xml:space="preserve">La sobrepesca conduce a más de un tercio de tiburones y rayas hacia una crisis de extinción global. Curr. Biol. 31(21): 4773-4787. doi: 10.1016/j.cub.2021.08.062 </w:t>
      </w:r>
      <w:hyperlink r:id="rId1" w:history="1">
        <w:r w:rsidRPr="00992485">
          <w:rPr>
            <w:rStyle w:val="Hyperlink"/>
            <w:rFonts w:cs="Arial"/>
            <w:sz w:val="16"/>
            <w:szCs w:val="16"/>
            <w:lang w:val="es-ES"/>
          </w:rPr>
          <w:t>https://pubmed.ncbi.nlm.nih.gov/34492229/</w:t>
        </w:r>
      </w:hyperlink>
    </w:p>
    <w:bookmarkEnd w:id="0"/>
  </w:footnote>
  <w:footnote w:id="2">
    <w:p w14:paraId="48753106" w14:textId="77777777" w:rsidR="002A664A" w:rsidRPr="0024591F" w:rsidRDefault="002A664A" w:rsidP="002A664A">
      <w:pPr>
        <w:ind w:right="252"/>
        <w:jc w:val="both"/>
        <w:rPr>
          <w:rFonts w:cs="Arial"/>
          <w:bCs/>
          <w:iCs/>
          <w:sz w:val="16"/>
          <w:szCs w:val="16"/>
          <w:lang w:val="es-ES"/>
        </w:rPr>
      </w:pPr>
      <w:r w:rsidRPr="00992485">
        <w:rPr>
          <w:rStyle w:val="FootnoteReference"/>
          <w:sz w:val="16"/>
          <w:szCs w:val="16"/>
        </w:rPr>
        <w:footnoteRef/>
      </w:r>
      <w:r w:rsidRPr="0024591F">
        <w:rPr>
          <w:sz w:val="16"/>
          <w:szCs w:val="16"/>
          <w:lang w:val="es-ES"/>
        </w:rPr>
        <w:t xml:space="preserve"> </w:t>
      </w:r>
      <w:hyperlink r:id="rId2" w:history="1">
        <w:r w:rsidRPr="0024591F">
          <w:rPr>
            <w:rStyle w:val="Hyperlink"/>
            <w:rFonts w:cs="Arial"/>
            <w:bCs/>
            <w:iCs/>
            <w:sz w:val="16"/>
            <w:szCs w:val="16"/>
            <w:lang w:val="es-ES"/>
          </w:rPr>
          <w:t>https://sharkrayareas.org/isra/</w:t>
        </w:r>
      </w:hyperlink>
    </w:p>
  </w:footnote>
  <w:footnote w:id="3">
    <w:p w14:paraId="05179202" w14:textId="77777777" w:rsidR="00762829" w:rsidRPr="00762829" w:rsidRDefault="00762829" w:rsidP="00762829">
      <w:pPr>
        <w:spacing w:line="276" w:lineRule="auto"/>
        <w:jc w:val="both"/>
        <w:rPr>
          <w:rFonts w:cs="Arial"/>
          <w:bCs/>
          <w:iCs/>
          <w:color w:val="0000FF"/>
          <w:sz w:val="16"/>
          <w:szCs w:val="16"/>
          <w:u w:val="single"/>
          <w:lang w:val="es-ES"/>
        </w:rPr>
      </w:pPr>
      <w:r w:rsidRPr="00762829">
        <w:rPr>
          <w:rStyle w:val="FootnoteReference"/>
          <w:sz w:val="16"/>
          <w:szCs w:val="16"/>
        </w:rPr>
        <w:footnoteRef/>
      </w:r>
      <w:r w:rsidRPr="00762829">
        <w:rPr>
          <w:lang w:val="es-ES"/>
        </w:rPr>
        <w:t xml:space="preserve"> </w:t>
      </w:r>
      <w:r w:rsidRPr="00762829">
        <w:rPr>
          <w:rFonts w:cs="Arial"/>
          <w:bCs/>
          <w:iCs/>
          <w:sz w:val="16"/>
          <w:szCs w:val="16"/>
          <w:lang w:val="es-ES"/>
        </w:rPr>
        <w:t>También disponible en:</w:t>
      </w:r>
      <w:r w:rsidRPr="00762829">
        <w:rPr>
          <w:lang w:val="es-ES"/>
        </w:rPr>
        <w:t xml:space="preserve"> </w:t>
      </w:r>
      <w:r w:rsidRPr="005D6778">
        <w:rPr>
          <w:rFonts w:cs="Arial"/>
          <w:bCs/>
          <w:iCs/>
          <w:color w:val="0000FF"/>
          <w:sz w:val="16"/>
          <w:szCs w:val="16"/>
          <w:u w:val="single"/>
          <w:lang w:val="es-ES"/>
        </w:rPr>
        <w:t xml:space="preserve">https://sharkrayareas.org/ </w:t>
      </w:r>
    </w:p>
  </w:footnote>
  <w:footnote w:id="4">
    <w:p w14:paraId="7449101E" w14:textId="77777777" w:rsidR="00762829" w:rsidRPr="00762829" w:rsidRDefault="00762829" w:rsidP="00762829">
      <w:pPr>
        <w:pStyle w:val="FootnoteText"/>
        <w:jc w:val="both"/>
        <w:rPr>
          <w:rFonts w:cs="Arial"/>
          <w:sz w:val="16"/>
          <w:szCs w:val="16"/>
          <w:lang w:val="es-ES"/>
        </w:rPr>
      </w:pPr>
      <w:r w:rsidRPr="00992485">
        <w:rPr>
          <w:rStyle w:val="FootnoteReference"/>
          <w:rFonts w:cs="Arial"/>
          <w:sz w:val="16"/>
          <w:szCs w:val="16"/>
        </w:rPr>
        <w:footnoteRef/>
      </w:r>
      <w:r w:rsidRPr="00762829">
        <w:rPr>
          <w:rFonts w:cs="Arial"/>
          <w:sz w:val="16"/>
          <w:szCs w:val="16"/>
          <w:lang w:val="es-ES"/>
        </w:rPr>
        <w:t xml:space="preserve"> </w:t>
      </w:r>
      <w:r w:rsidRPr="00762829">
        <w:rPr>
          <w:rFonts w:cs="Arial"/>
          <w:b/>
          <w:bCs/>
          <w:sz w:val="16"/>
          <w:szCs w:val="16"/>
          <w:lang w:val="es-ES"/>
        </w:rPr>
        <w:t>Notarbartolo di Sciara, G. (2021)</w:t>
      </w:r>
      <w:r w:rsidRPr="00762829">
        <w:rPr>
          <w:rFonts w:cs="Arial"/>
          <w:sz w:val="16"/>
          <w:szCs w:val="16"/>
          <w:lang w:val="es-ES"/>
        </w:rPr>
        <w:t xml:space="preserve"> Hacia un proceso de Áreas Importantes de Tiburones y Rayas (ISRA): estrategia de aplicación (Informe dirigido al Grupo de Especialistas en Tiburones de la Comisión de Supervivencia de Especies de la UICN). </w:t>
      </w:r>
    </w:p>
    <w:p w14:paraId="31FC5459" w14:textId="77777777" w:rsidR="00762829" w:rsidRPr="00992485" w:rsidRDefault="00762829" w:rsidP="00762829">
      <w:pPr>
        <w:pStyle w:val="FootnoteText"/>
        <w:jc w:val="both"/>
        <w:rPr>
          <w:rFonts w:cs="Arial"/>
          <w:sz w:val="16"/>
          <w:szCs w:val="16"/>
        </w:rPr>
      </w:pPr>
      <w:r w:rsidRPr="00992485">
        <w:rPr>
          <w:rFonts w:cs="Arial"/>
          <w:sz w:val="16"/>
          <w:szCs w:val="16"/>
        </w:rPr>
        <w:t xml:space="preserve">Disponible en: </w:t>
      </w:r>
      <w:hyperlink r:id="rId3" w:history="1">
        <w:r w:rsidRPr="00992485">
          <w:rPr>
            <w:rStyle w:val="Hyperlink"/>
            <w:rFonts w:cs="Arial"/>
            <w:sz w:val="16"/>
            <w:szCs w:val="16"/>
          </w:rPr>
          <w:t>https://sharkrayareas.org/ resources/meeting-workshop-reports/</w:t>
        </w:r>
      </w:hyperlink>
      <w:r w:rsidRPr="00992485">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450EC7E6" w:rsidR="00D70275" w:rsidRPr="003B2C9E" w:rsidRDefault="00D70275" w:rsidP="00002A97">
    <w:pPr>
      <w:pStyle w:val="Header"/>
      <w:pBdr>
        <w:bottom w:val="single" w:sz="4" w:space="1" w:color="auto"/>
      </w:pBdr>
      <w:rPr>
        <w:i/>
        <w:sz w:val="18"/>
        <w:szCs w:val="18"/>
      </w:rPr>
    </w:pPr>
    <w:bookmarkStart w:id="2" w:name="_Hlk124847022"/>
    <w:bookmarkStart w:id="3" w:name="_Hlk124847023"/>
    <w:bookmarkStart w:id="4" w:name="_Hlk124847024"/>
    <w:bookmarkStart w:id="5" w:name="_Hlk124847025"/>
    <w:bookmarkStart w:id="6" w:name="_Hlk124847026"/>
    <w:bookmarkStart w:id="7" w:name="_Hlk124847027"/>
    <w:bookmarkStart w:id="8" w:name="_Hlk124847217"/>
    <w:bookmarkStart w:id="9" w:name="_Hlk124847218"/>
    <w:r w:rsidRPr="003B2C9E">
      <w:rPr>
        <w:rFonts w:eastAsia="Times New Roman" w:cs="Arial"/>
        <w:i/>
        <w:sz w:val="18"/>
        <w:szCs w:val="18"/>
        <w:lang w:eastAsia="es-ES"/>
      </w:rPr>
      <w:t>UNEP/CMS/COP1</w:t>
    </w:r>
    <w:r w:rsidR="000F4BDA" w:rsidRPr="003B2C9E">
      <w:rPr>
        <w:rFonts w:eastAsia="Times New Roman" w:cs="Arial"/>
        <w:i/>
        <w:sz w:val="18"/>
        <w:szCs w:val="18"/>
        <w:lang w:eastAsia="es-ES"/>
      </w:rPr>
      <w:t>4</w:t>
    </w:r>
    <w:r w:rsidRPr="003B2C9E">
      <w:rPr>
        <w:rFonts w:eastAsia="Times New Roman" w:cs="Arial"/>
        <w:i/>
        <w:sz w:val="18"/>
        <w:szCs w:val="18"/>
        <w:lang w:eastAsia="es-ES"/>
      </w:rPr>
      <w:t>/Doc.</w:t>
    </w:r>
    <w:r w:rsidR="00CE62B0" w:rsidRPr="003B2C9E">
      <w:rPr>
        <w:rFonts w:eastAsia="Times New Roman" w:cs="Arial"/>
        <w:i/>
        <w:sz w:val="18"/>
        <w:szCs w:val="18"/>
        <w:lang w:eastAsia="es-ES"/>
      </w:rPr>
      <w:t>27.4.2</w:t>
    </w:r>
    <w:bookmarkEnd w:id="2"/>
    <w:bookmarkEnd w:id="3"/>
    <w:bookmarkEnd w:id="4"/>
    <w:bookmarkEnd w:id="5"/>
    <w:bookmarkEnd w:id="6"/>
    <w:bookmarkEnd w:id="7"/>
    <w:bookmarkEnd w:id="8"/>
    <w:bookmarkEnd w:id="9"/>
    <w:r w:rsidR="003B2C9E" w:rsidRPr="003B2C9E">
      <w:rPr>
        <w:rFonts w:eastAsia="Times New Roman" w:cs="Arial"/>
        <w:i/>
        <w:sz w:val="18"/>
        <w:szCs w:val="18"/>
        <w:lang w:eastAsia="es-ES"/>
      </w:rPr>
      <w:t>/Rev.</w:t>
    </w:r>
    <w:r w:rsidR="003B2C9E">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85E5" w14:textId="597F960C" w:rsidR="00CE62B0" w:rsidRPr="003B2C9E" w:rsidRDefault="00CE62B0" w:rsidP="00CE62B0">
    <w:pPr>
      <w:pStyle w:val="Header"/>
      <w:pBdr>
        <w:bottom w:val="single" w:sz="4" w:space="1" w:color="auto"/>
      </w:pBdr>
      <w:jc w:val="right"/>
      <w:rPr>
        <w:i/>
        <w:sz w:val="18"/>
        <w:szCs w:val="18"/>
      </w:rPr>
    </w:pPr>
    <w:r w:rsidRPr="003B2C9E">
      <w:rPr>
        <w:rFonts w:eastAsia="Times New Roman" w:cs="Arial"/>
        <w:i/>
        <w:sz w:val="18"/>
        <w:szCs w:val="18"/>
        <w:lang w:eastAsia="es-ES"/>
      </w:rPr>
      <w:t>UNEP/CMS/COP14/Doc.27.4.2</w:t>
    </w:r>
    <w:r w:rsidR="003B2C9E" w:rsidRPr="003B2C9E">
      <w:rPr>
        <w:rFonts w:eastAsia="Times New Roman" w:cs="Arial"/>
        <w:i/>
        <w:sz w:val="18"/>
        <w:szCs w:val="18"/>
        <w:lang w:eastAsia="es-ES"/>
      </w:rPr>
      <w:t>/Rev</w:t>
    </w:r>
    <w:r w:rsidR="003B2C9E">
      <w:rPr>
        <w:rFonts w:eastAsia="Times New Roman" w:cs="Arial"/>
        <w:i/>
        <w:sz w:val="18"/>
        <w:szCs w:val="18"/>
        <w:lang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0800"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7728"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4656"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344E" w14:textId="0C0D64AB" w:rsidR="008B540B" w:rsidRPr="00002A97" w:rsidRDefault="00CE62B0" w:rsidP="00CE62B0">
    <w:pPr>
      <w:pStyle w:val="Header"/>
      <w:pBdr>
        <w:bottom w:val="single" w:sz="4" w:space="1" w:color="auto"/>
      </w:pBdr>
      <w:jc w:val="right"/>
      <w:rPr>
        <w:i/>
        <w:sz w:val="18"/>
        <w:szCs w:val="18"/>
      </w:rPr>
    </w:pPr>
    <w:r w:rsidRPr="003B2C9E">
      <w:rPr>
        <w:rFonts w:eastAsia="Times New Roman" w:cs="Arial"/>
        <w:i/>
        <w:sz w:val="18"/>
        <w:szCs w:val="18"/>
        <w:lang w:eastAsia="es-ES"/>
      </w:rPr>
      <w:t>UNEP/CMS/COP14/Doc.27.4.2</w:t>
    </w:r>
    <w:r>
      <w:rPr>
        <w:i/>
        <w:sz w:val="18"/>
        <w:szCs w:val="18"/>
      </w:rPr>
      <w:t>/</w:t>
    </w:r>
    <w:r w:rsidR="003B2C9E">
      <w:rPr>
        <w:i/>
        <w:sz w:val="18"/>
        <w:szCs w:val="18"/>
      </w:rPr>
      <w:t>Rev.1/</w:t>
    </w:r>
    <w:r w:rsidR="008B540B" w:rsidRPr="003B2C9E">
      <w:rPr>
        <w:rFonts w:eastAsia="Times New Roman" w:cs="Arial"/>
        <w:i/>
        <w:sz w:val="18"/>
        <w:szCs w:val="18"/>
        <w:lang w:eastAsia="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C42D" w14:textId="5A0B76A5" w:rsidR="00F13FE3" w:rsidRPr="00CE62B0" w:rsidRDefault="00CE62B0" w:rsidP="00F13FE3">
    <w:pPr>
      <w:pStyle w:val="Header"/>
      <w:pBdr>
        <w:bottom w:val="single" w:sz="4" w:space="1" w:color="auto"/>
      </w:pBdr>
      <w:rPr>
        <w:i/>
        <w:sz w:val="18"/>
        <w:szCs w:val="18"/>
      </w:rPr>
    </w:pPr>
    <w:r w:rsidRPr="003B2C9E">
      <w:rPr>
        <w:rFonts w:eastAsia="Times New Roman" w:cs="Arial"/>
        <w:i/>
        <w:sz w:val="18"/>
        <w:szCs w:val="18"/>
        <w:lang w:eastAsia="es-ES"/>
      </w:rPr>
      <w:t>UNEP/CMS/COP14/Doc.27.4.2</w:t>
    </w:r>
    <w:r w:rsidR="00F13FE3" w:rsidRPr="003B2C9E">
      <w:rPr>
        <w:rFonts w:eastAsia="Times New Roman" w:cs="Arial"/>
        <w:i/>
        <w:sz w:val="18"/>
        <w:szCs w:val="18"/>
        <w:lang w:eastAsia="es-ES"/>
      </w:rPr>
      <w:t>/</w:t>
    </w:r>
    <w:r w:rsidR="003B2C9E" w:rsidRPr="003B2C9E">
      <w:rPr>
        <w:rFonts w:eastAsia="Times New Roman" w:cs="Arial"/>
        <w:i/>
        <w:sz w:val="18"/>
        <w:szCs w:val="18"/>
        <w:lang w:eastAsia="es-ES"/>
      </w:rPr>
      <w:t>Rev.1/</w:t>
    </w:r>
    <w:r w:rsidR="00F13FE3" w:rsidRPr="003B2C9E">
      <w:rPr>
        <w:rFonts w:eastAsia="Times New Roman" w:cs="Arial"/>
        <w:i/>
        <w:sz w:val="18"/>
        <w:szCs w:val="18"/>
        <w:lang w:eastAsia="es-E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581A" w14:textId="7D9DE3B7" w:rsidR="008B540B" w:rsidRPr="00CE62B0" w:rsidRDefault="00CE62B0" w:rsidP="00F13FE3">
    <w:pPr>
      <w:pStyle w:val="Header"/>
      <w:pBdr>
        <w:bottom w:val="single" w:sz="4" w:space="1" w:color="auto"/>
      </w:pBdr>
      <w:rPr>
        <w:i/>
        <w:sz w:val="18"/>
        <w:szCs w:val="18"/>
      </w:rPr>
    </w:pPr>
    <w:r w:rsidRPr="003B2C9E">
      <w:rPr>
        <w:rFonts w:eastAsia="Times New Roman" w:cs="Arial"/>
        <w:i/>
        <w:sz w:val="18"/>
        <w:szCs w:val="18"/>
        <w:lang w:eastAsia="es-ES"/>
      </w:rPr>
      <w:t>UNEP/CMS/COP14/Doc.27.4.2</w:t>
    </w:r>
    <w:r w:rsidR="008B540B" w:rsidRPr="003B2C9E">
      <w:rPr>
        <w:rFonts w:eastAsia="Times New Roman" w:cs="Arial"/>
        <w:i/>
        <w:sz w:val="18"/>
        <w:szCs w:val="18"/>
        <w:lang w:eastAsia="es-ES"/>
      </w:rPr>
      <w:t>/</w:t>
    </w:r>
    <w:r w:rsidR="003B2C9E" w:rsidRPr="003B2C9E">
      <w:rPr>
        <w:rFonts w:eastAsia="Times New Roman" w:cs="Arial"/>
        <w:i/>
        <w:sz w:val="18"/>
        <w:szCs w:val="18"/>
        <w:lang w:eastAsia="es-ES"/>
      </w:rPr>
      <w:t>Rev.1/</w:t>
    </w:r>
    <w:r w:rsidR="008B540B" w:rsidRPr="003B2C9E">
      <w:rPr>
        <w:rFonts w:eastAsia="Times New Roman" w:cs="Arial"/>
        <w:i/>
        <w:sz w:val="18"/>
        <w:szCs w:val="18"/>
        <w:lang w:eastAsia="es-ES"/>
      </w:rPr>
      <w:t>Anexo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3122" w14:textId="2DB44019" w:rsidR="009F59C4" w:rsidRPr="00CE62B0" w:rsidRDefault="00CE62B0" w:rsidP="00002A97">
    <w:pPr>
      <w:pStyle w:val="Header"/>
      <w:pBdr>
        <w:bottom w:val="single" w:sz="4" w:space="1" w:color="auto"/>
      </w:pBdr>
      <w:rPr>
        <w:i/>
        <w:sz w:val="18"/>
        <w:szCs w:val="18"/>
      </w:rPr>
    </w:pPr>
    <w:r w:rsidRPr="003B2C9E">
      <w:rPr>
        <w:rFonts w:eastAsia="Times New Roman" w:cs="Arial"/>
        <w:i/>
        <w:sz w:val="18"/>
        <w:szCs w:val="18"/>
        <w:lang w:eastAsia="es-ES"/>
      </w:rPr>
      <w:t>UNEP/CMS/COP14/Doc.27.4.2</w:t>
    </w:r>
    <w:r w:rsidR="009F59C4" w:rsidRPr="003B2C9E">
      <w:rPr>
        <w:rFonts w:eastAsia="Times New Roman" w:cs="Arial"/>
        <w:i/>
        <w:sz w:val="18"/>
        <w:szCs w:val="18"/>
        <w:lang w:eastAsia="es-ES"/>
      </w:rPr>
      <w:t>/</w:t>
    </w:r>
    <w:r w:rsidR="003B2C9E" w:rsidRPr="003B2C9E">
      <w:rPr>
        <w:rFonts w:eastAsia="Times New Roman" w:cs="Arial"/>
        <w:i/>
        <w:sz w:val="18"/>
        <w:szCs w:val="18"/>
        <w:lang w:eastAsia="es-ES"/>
      </w:rPr>
      <w:t>Rev.1/</w:t>
    </w:r>
    <w:r w:rsidR="009F59C4" w:rsidRPr="003B2C9E">
      <w:rPr>
        <w:rFonts w:eastAsia="Times New Roman" w:cs="Arial"/>
        <w:i/>
        <w:sz w:val="18"/>
        <w:szCs w:val="18"/>
        <w:lang w:eastAsia="es-ES"/>
      </w:rPr>
      <w:t>Anexo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A124" w14:textId="5E0E0836" w:rsidR="005F0A40" w:rsidRPr="00CE62B0" w:rsidRDefault="00CE62B0" w:rsidP="00CE62B0">
    <w:pPr>
      <w:pStyle w:val="Header"/>
      <w:pBdr>
        <w:bottom w:val="single" w:sz="4" w:space="1" w:color="auto"/>
      </w:pBdr>
      <w:jc w:val="right"/>
      <w:rPr>
        <w:i/>
        <w:sz w:val="18"/>
        <w:szCs w:val="18"/>
      </w:rPr>
    </w:pPr>
    <w:r w:rsidRPr="003B2C9E">
      <w:rPr>
        <w:rFonts w:eastAsia="Times New Roman" w:cs="Arial"/>
        <w:i/>
        <w:sz w:val="18"/>
        <w:szCs w:val="18"/>
        <w:lang w:eastAsia="es-ES"/>
      </w:rPr>
      <w:t>UNEP/CMS/COP14/Doc.27.4.2</w:t>
    </w:r>
    <w:r w:rsidR="009F59C4" w:rsidRPr="003B2C9E">
      <w:rPr>
        <w:rFonts w:cs="Arial"/>
        <w:i/>
        <w:sz w:val="18"/>
        <w:szCs w:val="18"/>
      </w:rPr>
      <w:t>/</w:t>
    </w:r>
    <w:r w:rsidR="003B2C9E" w:rsidRPr="003B2C9E">
      <w:rPr>
        <w:rFonts w:cs="Arial"/>
        <w:i/>
        <w:sz w:val="18"/>
        <w:szCs w:val="18"/>
      </w:rPr>
      <w:t>Rev.1/</w:t>
    </w:r>
    <w:r w:rsidR="009F59C4" w:rsidRPr="003B2C9E">
      <w:rPr>
        <w:rFonts w:cs="Arial"/>
        <w:i/>
        <w:sz w:val="18"/>
        <w:szCs w:val="18"/>
      </w:rPr>
      <w:t>Anexo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82611"/>
    <w:multiLevelType w:val="hybridMultilevel"/>
    <w:tmpl w:val="2466D07A"/>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8780F21"/>
    <w:multiLevelType w:val="hybridMultilevel"/>
    <w:tmpl w:val="0D20EA3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3A07"/>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9A23F83"/>
    <w:multiLevelType w:val="hybridMultilevel"/>
    <w:tmpl w:val="7CE83ABE"/>
    <w:lvl w:ilvl="0" w:tplc="0D721E72">
      <w:start w:val="1"/>
      <w:numFmt w:val="decimal"/>
      <w:lvlText w:val="%1."/>
      <w:lvlJc w:val="left"/>
      <w:pPr>
        <w:ind w:left="360" w:hanging="360"/>
      </w:pPr>
      <w:rPr>
        <w:b w:val="0"/>
        <w:bCs/>
        <w:strike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E155A59"/>
    <w:multiLevelType w:val="hybridMultilevel"/>
    <w:tmpl w:val="89D6506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B703F8E"/>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4"/>
  </w:num>
  <w:num w:numId="5" w16cid:durableId="37974177">
    <w:abstractNumId w:val="9"/>
  </w:num>
  <w:num w:numId="6" w16cid:durableId="1958830237">
    <w:abstractNumId w:val="15"/>
  </w:num>
  <w:num w:numId="7" w16cid:durableId="396439182">
    <w:abstractNumId w:val="17"/>
  </w:num>
  <w:num w:numId="8" w16cid:durableId="260603560">
    <w:abstractNumId w:val="13"/>
  </w:num>
  <w:num w:numId="9" w16cid:durableId="1356272424">
    <w:abstractNumId w:val="11"/>
  </w:num>
  <w:num w:numId="10" w16cid:durableId="630594039">
    <w:abstractNumId w:val="22"/>
  </w:num>
  <w:num w:numId="11" w16cid:durableId="2069759870">
    <w:abstractNumId w:val="16"/>
  </w:num>
  <w:num w:numId="12" w16cid:durableId="904724938">
    <w:abstractNumId w:val="18"/>
  </w:num>
  <w:num w:numId="13" w16cid:durableId="947470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9752710">
    <w:abstractNumId w:val="20"/>
  </w:num>
  <w:num w:numId="15" w16cid:durableId="1907491754">
    <w:abstractNumId w:val="7"/>
  </w:num>
  <w:num w:numId="16" w16cid:durableId="1624076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5143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733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2054234">
    <w:abstractNumId w:val="21"/>
  </w:num>
  <w:num w:numId="20" w16cid:durableId="953290872">
    <w:abstractNumId w:val="6"/>
  </w:num>
  <w:num w:numId="21" w16cid:durableId="731999022">
    <w:abstractNumId w:val="3"/>
  </w:num>
  <w:num w:numId="22" w16cid:durableId="543445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3912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40231"/>
    <w:rsid w:val="00041286"/>
    <w:rsid w:val="0004411C"/>
    <w:rsid w:val="00075985"/>
    <w:rsid w:val="000E192F"/>
    <w:rsid w:val="000F4BDA"/>
    <w:rsid w:val="00127CCF"/>
    <w:rsid w:val="001765E6"/>
    <w:rsid w:val="00180CD2"/>
    <w:rsid w:val="00183C98"/>
    <w:rsid w:val="00192411"/>
    <w:rsid w:val="001B4E98"/>
    <w:rsid w:val="00220490"/>
    <w:rsid w:val="0024152C"/>
    <w:rsid w:val="0024591F"/>
    <w:rsid w:val="002A40B8"/>
    <w:rsid w:val="002A5ABE"/>
    <w:rsid w:val="002A664A"/>
    <w:rsid w:val="002D5F2A"/>
    <w:rsid w:val="002F7EC2"/>
    <w:rsid w:val="003133A7"/>
    <w:rsid w:val="00323406"/>
    <w:rsid w:val="003B2C9E"/>
    <w:rsid w:val="00430A25"/>
    <w:rsid w:val="00457C8A"/>
    <w:rsid w:val="004C7808"/>
    <w:rsid w:val="005330F7"/>
    <w:rsid w:val="00563598"/>
    <w:rsid w:val="00591364"/>
    <w:rsid w:val="005F0A40"/>
    <w:rsid w:val="00632FB1"/>
    <w:rsid w:val="00646292"/>
    <w:rsid w:val="006C12AD"/>
    <w:rsid w:val="006F22B0"/>
    <w:rsid w:val="00703C60"/>
    <w:rsid w:val="00722D80"/>
    <w:rsid w:val="00762829"/>
    <w:rsid w:val="00790422"/>
    <w:rsid w:val="007B53CC"/>
    <w:rsid w:val="007C212E"/>
    <w:rsid w:val="007C360E"/>
    <w:rsid w:val="007E5A82"/>
    <w:rsid w:val="007F70A1"/>
    <w:rsid w:val="00800CB3"/>
    <w:rsid w:val="00801C6E"/>
    <w:rsid w:val="00810C64"/>
    <w:rsid w:val="008B540B"/>
    <w:rsid w:val="008C143E"/>
    <w:rsid w:val="008D205A"/>
    <w:rsid w:val="008E7A8D"/>
    <w:rsid w:val="009059D0"/>
    <w:rsid w:val="00943D15"/>
    <w:rsid w:val="0095170F"/>
    <w:rsid w:val="009F59C4"/>
    <w:rsid w:val="00AC09AE"/>
    <w:rsid w:val="00B104EC"/>
    <w:rsid w:val="00B40E07"/>
    <w:rsid w:val="00BC5707"/>
    <w:rsid w:val="00BF7838"/>
    <w:rsid w:val="00C23DDE"/>
    <w:rsid w:val="00C41DAD"/>
    <w:rsid w:val="00CC71DB"/>
    <w:rsid w:val="00CE62B0"/>
    <w:rsid w:val="00D70275"/>
    <w:rsid w:val="00D84650"/>
    <w:rsid w:val="00D84B14"/>
    <w:rsid w:val="00E046D9"/>
    <w:rsid w:val="00E27858"/>
    <w:rsid w:val="00E607BD"/>
    <w:rsid w:val="00E77A9F"/>
    <w:rsid w:val="00E81B4A"/>
    <w:rsid w:val="00EE39FF"/>
    <w:rsid w:val="00EF1D13"/>
    <w:rsid w:val="00F13FE3"/>
    <w:rsid w:val="00F147ED"/>
    <w:rsid w:val="00F9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2A6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64A"/>
    <w:rPr>
      <w:sz w:val="20"/>
      <w:szCs w:val="20"/>
    </w:rPr>
  </w:style>
  <w:style w:type="paragraph" w:customStyle="1" w:styleId="Secondnumbering">
    <w:name w:val="Second numbering"/>
    <w:basedOn w:val="Normal"/>
    <w:link w:val="SecondnumberingChar"/>
    <w:qFormat/>
    <w:rsid w:val="008B540B"/>
    <w:pPr>
      <w:numPr>
        <w:numId w:val="15"/>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8B540B"/>
    <w:rPr>
      <w:lang w:val="en-GB"/>
    </w:rPr>
  </w:style>
  <w:style w:type="character" w:styleId="UnresolvedMention">
    <w:name w:val="Unresolved Mention"/>
    <w:basedOn w:val="DefaultParagraphFont"/>
    <w:uiPriority w:val="99"/>
    <w:semiHidden/>
    <w:unhideWhenUsed/>
    <w:rsid w:val="0072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arkrayareas.org/e-atlas/"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sharkrayareas.org/isra"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drea.pauly/AppData/Local/Microsoft/Windows/INetCache/Content.Outlook/W4CT5R61/sharkrayareas.org"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harkrayareas.org/%20resources/meeting-workshop-reports/" TargetMode="External"/><Relationship Id="rId2" Type="http://schemas.openxmlformats.org/officeDocument/2006/relationships/hyperlink" Target="https://sharkrayareas.org/isra/" TargetMode="External"/><Relationship Id="rId1" Type="http://schemas.openxmlformats.org/officeDocument/2006/relationships/hyperlink" Target="https://pubmed.ncbi.nlm.nih.gov/3449222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6226889D-D7AC-4A1A-B4A7-B586A9C4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20</cp:revision>
  <dcterms:created xsi:type="dcterms:W3CDTF">2023-05-18T08:52:00Z</dcterms:created>
  <dcterms:modified xsi:type="dcterms:W3CDTF">2023-09-28T10:20:00Z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