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9C2A1C"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9C2A1C">
              <w:rPr>
                <w:rFonts w:eastAsia="Arial" w:cs="Arial"/>
                <w:lang w:val="fr-FR"/>
              </w:rPr>
              <w:t>26.4.6</w:t>
            </w:r>
          </w:p>
          <w:p w:rsidR="00EC2A58" w:rsidRPr="00A02506" w:rsidRDefault="009C2A1C"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7 octobre</w:t>
            </w:r>
            <w:r w:rsidR="00EC2A58" w:rsidRPr="00A02506">
              <w:rPr>
                <w:rFonts w:eastAsia="Arial" w:cs="Arial"/>
                <w:lang w:val="fr-FR"/>
              </w:rPr>
              <w:t xml:space="preserve"> 2019</w:t>
            </w:r>
          </w:p>
          <w:p w:rsidR="00EC2A58" w:rsidRPr="009C2A1C"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9C2A1C"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9C2A1C">
        <w:rPr>
          <w:rFonts w:eastAsia="Arial" w:cs="Arial"/>
          <w:iCs/>
          <w:lang w:val="fr-FR"/>
        </w:rPr>
        <w:t>26.4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9C2A1C" w:rsidRPr="009C2A1C" w:rsidRDefault="009C2A1C" w:rsidP="009C2A1C">
      <w:pPr>
        <w:pStyle w:val="Heading2"/>
        <w:keepNext w:val="0"/>
        <w:spacing w:after="120"/>
        <w:ind w:left="-91" w:right="-369"/>
        <w:jc w:val="center"/>
        <w:rPr>
          <w:rFonts w:eastAsiaTheme="minorEastAsia" w:cs="Arial"/>
          <w:sz w:val="22"/>
        </w:rPr>
      </w:pPr>
      <w:r>
        <w:rPr>
          <w:rFonts w:eastAsiaTheme="minorEastAsia" w:cs="Arial"/>
          <w:sz w:val="22"/>
        </w:rPr>
        <w:t xml:space="preserve">PARTICIPATION </w:t>
      </w:r>
      <w:r>
        <w:rPr>
          <w:rFonts w:eastAsiaTheme="minorEastAsia" w:cs="Arial"/>
          <w:sz w:val="22"/>
        </w:rPr>
        <w:t xml:space="preserve">DES COMMUNAUTÉS </w:t>
      </w:r>
      <w:r>
        <w:rPr>
          <w:rFonts w:eastAsiaTheme="minorEastAsia" w:cs="Arial"/>
          <w:sz w:val="22"/>
        </w:rPr>
        <w:t>ET MOYENS D</w:t>
      </w:r>
      <w:r>
        <w:rPr>
          <w:rFonts w:eastAsiaTheme="minorEastAsia" w:cs="Arial"/>
          <w:sz w:val="22"/>
        </w:rPr>
        <w:t>’EXISTENCE</w:t>
      </w:r>
    </w:p>
    <w:p w:rsidR="00EC2A58" w:rsidRPr="00EC2A58" w:rsidRDefault="00EC2A58" w:rsidP="009C2A1C">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9C2A1C" w:rsidRPr="009C2A1C" w:rsidRDefault="009C2A1C" w:rsidP="009C2A1C">
                            <w:pPr>
                              <w:spacing w:after="0" w:line="240" w:lineRule="auto"/>
                              <w:jc w:val="both"/>
                              <w:rPr>
                                <w:rFonts w:cs="Arial"/>
                                <w:lang w:val="fr-FR"/>
                              </w:rPr>
                            </w:pPr>
                            <w:r w:rsidRPr="009C2A1C">
                              <w:rPr>
                                <w:rFonts w:cs="Arial"/>
                                <w:lang w:val="fr-FR"/>
                              </w:rPr>
                              <w:t xml:space="preserve">Ce document rend compte des progrès accomplis dans la mise en œuvre des </w:t>
                            </w:r>
                            <w:r>
                              <w:rPr>
                                <w:rFonts w:cs="Arial"/>
                                <w:lang w:val="fr-FR"/>
                              </w:rPr>
                              <w:t>D</w:t>
                            </w:r>
                            <w:r w:rsidRPr="009C2A1C">
                              <w:rPr>
                                <w:rFonts w:cs="Arial"/>
                                <w:lang w:val="fr-FR"/>
                              </w:rPr>
                              <w:t xml:space="preserve">écisions 12.98 à 12.100 </w:t>
                            </w:r>
                            <w:r w:rsidRPr="009C2A1C">
                              <w:rPr>
                                <w:rFonts w:cs="Arial"/>
                                <w:i/>
                                <w:lang w:val="fr-FR"/>
                              </w:rPr>
                              <w:t>P</w:t>
                            </w:r>
                            <w:r w:rsidRPr="009C2A1C">
                              <w:rPr>
                                <w:rFonts w:cs="Arial"/>
                                <w:i/>
                                <w:lang w:val="fr-FR"/>
                              </w:rPr>
                              <w:t>articipation de</w:t>
                            </w:r>
                            <w:r>
                              <w:rPr>
                                <w:rFonts w:cs="Arial"/>
                                <w:i/>
                                <w:lang w:val="fr-FR"/>
                              </w:rPr>
                              <w:t>s</w:t>
                            </w:r>
                            <w:r w:rsidRPr="009C2A1C">
                              <w:rPr>
                                <w:rFonts w:cs="Arial"/>
                                <w:i/>
                                <w:lang w:val="fr-FR"/>
                              </w:rPr>
                              <w:t xml:space="preserve"> communauté</w:t>
                            </w:r>
                            <w:r>
                              <w:rPr>
                                <w:rFonts w:cs="Arial"/>
                                <w:i/>
                                <w:lang w:val="fr-FR"/>
                              </w:rPr>
                              <w:t>s</w:t>
                            </w:r>
                            <w:r w:rsidRPr="009C2A1C">
                              <w:rPr>
                                <w:rFonts w:cs="Arial"/>
                                <w:i/>
                                <w:lang w:val="fr-FR"/>
                              </w:rPr>
                              <w:t xml:space="preserve"> et moyens d</w:t>
                            </w:r>
                            <w:r>
                              <w:rPr>
                                <w:rFonts w:cs="Arial"/>
                                <w:i/>
                                <w:lang w:val="fr-FR"/>
                              </w:rPr>
                              <w:t>’existence</w:t>
                            </w:r>
                            <w:r w:rsidRPr="009C2A1C">
                              <w:rPr>
                                <w:rFonts w:cs="Arial"/>
                                <w:lang w:val="fr-FR"/>
                              </w:rPr>
                              <w:t xml:space="preserve">. Sur la base des travaux menés au cours de la période intersessions, le Secrétariat de la CMS propose des amendements aux décisions tels qu’ils figurent à l’Annexe 1. </w:t>
                            </w:r>
                            <w:r w:rsidRPr="009C2A1C">
                              <w:rPr>
                                <w:lang w:val="fr-FR"/>
                              </w:rPr>
                              <w:t xml:space="preserve"> </w:t>
                            </w:r>
                          </w:p>
                          <w:p w:rsidR="009C2A1C" w:rsidRDefault="009C2A1C"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9C2A1C" w:rsidRPr="009C2A1C" w:rsidRDefault="009C2A1C" w:rsidP="009C2A1C">
                      <w:pPr>
                        <w:spacing w:after="0" w:line="240" w:lineRule="auto"/>
                        <w:jc w:val="both"/>
                        <w:rPr>
                          <w:rFonts w:cs="Arial"/>
                          <w:lang w:val="fr-FR"/>
                        </w:rPr>
                      </w:pPr>
                      <w:r w:rsidRPr="009C2A1C">
                        <w:rPr>
                          <w:rFonts w:cs="Arial"/>
                          <w:lang w:val="fr-FR"/>
                        </w:rPr>
                        <w:t xml:space="preserve">Ce document rend compte des progrès accomplis dans la mise en œuvre des </w:t>
                      </w:r>
                      <w:r>
                        <w:rPr>
                          <w:rFonts w:cs="Arial"/>
                          <w:lang w:val="fr-FR"/>
                        </w:rPr>
                        <w:t>D</w:t>
                      </w:r>
                      <w:r w:rsidRPr="009C2A1C">
                        <w:rPr>
                          <w:rFonts w:cs="Arial"/>
                          <w:lang w:val="fr-FR"/>
                        </w:rPr>
                        <w:t xml:space="preserve">écisions 12.98 à 12.100 </w:t>
                      </w:r>
                      <w:r w:rsidRPr="009C2A1C">
                        <w:rPr>
                          <w:rFonts w:cs="Arial"/>
                          <w:i/>
                          <w:lang w:val="fr-FR"/>
                        </w:rPr>
                        <w:t>P</w:t>
                      </w:r>
                      <w:r w:rsidRPr="009C2A1C">
                        <w:rPr>
                          <w:rFonts w:cs="Arial"/>
                          <w:i/>
                          <w:lang w:val="fr-FR"/>
                        </w:rPr>
                        <w:t>articipation de</w:t>
                      </w:r>
                      <w:r>
                        <w:rPr>
                          <w:rFonts w:cs="Arial"/>
                          <w:i/>
                          <w:lang w:val="fr-FR"/>
                        </w:rPr>
                        <w:t>s</w:t>
                      </w:r>
                      <w:r w:rsidRPr="009C2A1C">
                        <w:rPr>
                          <w:rFonts w:cs="Arial"/>
                          <w:i/>
                          <w:lang w:val="fr-FR"/>
                        </w:rPr>
                        <w:t xml:space="preserve"> communauté</w:t>
                      </w:r>
                      <w:r>
                        <w:rPr>
                          <w:rFonts w:cs="Arial"/>
                          <w:i/>
                          <w:lang w:val="fr-FR"/>
                        </w:rPr>
                        <w:t>s</w:t>
                      </w:r>
                      <w:r w:rsidRPr="009C2A1C">
                        <w:rPr>
                          <w:rFonts w:cs="Arial"/>
                          <w:i/>
                          <w:lang w:val="fr-FR"/>
                        </w:rPr>
                        <w:t xml:space="preserve"> et moyens d</w:t>
                      </w:r>
                      <w:r>
                        <w:rPr>
                          <w:rFonts w:cs="Arial"/>
                          <w:i/>
                          <w:lang w:val="fr-FR"/>
                        </w:rPr>
                        <w:t>’existence</w:t>
                      </w:r>
                      <w:r w:rsidRPr="009C2A1C">
                        <w:rPr>
                          <w:rFonts w:cs="Arial"/>
                          <w:lang w:val="fr-FR"/>
                        </w:rPr>
                        <w:t xml:space="preserve">. Sur la base des travaux menés au cours de la période intersessions, le Secrétariat de la CMS propose des amendements aux décisions tels qu’ils figurent à l’Annexe 1. </w:t>
                      </w:r>
                      <w:r w:rsidRPr="009C2A1C">
                        <w:rPr>
                          <w:lang w:val="fr-FR"/>
                        </w:rPr>
                        <w:t xml:space="preserve"> </w:t>
                      </w:r>
                    </w:p>
                    <w:p w:rsidR="009C2A1C" w:rsidRDefault="009C2A1C"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9C2A1C" w:rsidRPr="009C2A1C" w:rsidRDefault="009C2A1C" w:rsidP="009C2A1C">
      <w:pPr>
        <w:pStyle w:val="Heading2"/>
        <w:keepNext w:val="0"/>
        <w:ind w:left="-91" w:right="-369"/>
        <w:jc w:val="center"/>
        <w:rPr>
          <w:rFonts w:eastAsiaTheme="minorEastAsia" w:cs="Arial"/>
          <w:sz w:val="22"/>
        </w:rPr>
      </w:pPr>
      <w:r>
        <w:rPr>
          <w:rFonts w:eastAsiaTheme="minorEastAsia" w:cs="Arial"/>
          <w:sz w:val="22"/>
        </w:rPr>
        <w:t>PARTICIPATION DES COMMUNAUTÉS ET MOYENS D’EXISTENCE</w:t>
      </w:r>
    </w:p>
    <w:p w:rsidR="009C2A1C" w:rsidRDefault="009C2A1C" w:rsidP="009C2A1C">
      <w:pPr>
        <w:spacing w:after="0" w:line="240" w:lineRule="auto"/>
        <w:jc w:val="both"/>
        <w:rPr>
          <w:rFonts w:cs="Arial"/>
          <w:u w:val="single"/>
        </w:rPr>
      </w:pPr>
    </w:p>
    <w:p w:rsidR="009C2A1C" w:rsidRDefault="009C2A1C" w:rsidP="009C2A1C">
      <w:pPr>
        <w:spacing w:after="0" w:line="240" w:lineRule="auto"/>
        <w:jc w:val="both"/>
        <w:rPr>
          <w:rFonts w:cs="Arial"/>
          <w:u w:val="single"/>
        </w:rPr>
      </w:pPr>
    </w:p>
    <w:p w:rsidR="009C2A1C" w:rsidRDefault="009C2A1C" w:rsidP="009C2A1C">
      <w:pPr>
        <w:spacing w:after="0" w:line="240" w:lineRule="auto"/>
        <w:ind w:left="567" w:hanging="567"/>
        <w:jc w:val="both"/>
        <w:rPr>
          <w:rFonts w:cs="Arial"/>
          <w:u w:val="single"/>
        </w:rPr>
      </w:pPr>
      <w:proofErr w:type="spellStart"/>
      <w:r>
        <w:rPr>
          <w:rFonts w:cs="Arial"/>
          <w:u w:val="single"/>
        </w:rPr>
        <w:t>Contexte</w:t>
      </w:r>
      <w:proofErr w:type="spellEnd"/>
    </w:p>
    <w:p w:rsidR="009C2A1C" w:rsidRDefault="009C2A1C" w:rsidP="009C2A1C">
      <w:pPr>
        <w:spacing w:after="0" w:line="240" w:lineRule="auto"/>
        <w:ind w:left="567" w:hanging="567"/>
        <w:jc w:val="both"/>
        <w:rPr>
          <w:rFonts w:cs="Arial"/>
          <w:u w:val="single"/>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b/>
          <w:i/>
          <w:lang w:val="fr-FR"/>
        </w:rPr>
      </w:pPr>
      <w:r w:rsidRPr="009C2A1C">
        <w:rPr>
          <w:rFonts w:cs="Arial"/>
          <w:lang w:val="fr-FR"/>
        </w:rPr>
        <w:t xml:space="preserve">À la douzième session de la Conférence des parties à la Convention sur la conservation des espèces migratrices appartenant à la faune sauvage (CMS COP12, Manille, 2017), les parties ont adopté les décisions 12.98 à 12.100 sur la </w:t>
      </w:r>
      <w:r w:rsidRPr="009C2A1C">
        <w:rPr>
          <w:rFonts w:cs="Arial"/>
          <w:i/>
          <w:lang w:val="fr-FR"/>
        </w:rPr>
        <w:t xml:space="preserve">participation de la communauté et les moyens de subsistance </w:t>
      </w:r>
      <w:r w:rsidRPr="009C2A1C">
        <w:rPr>
          <w:rFonts w:cs="Arial"/>
          <w:lang w:val="fr-FR"/>
        </w:rPr>
        <w:t>comme suit :</w:t>
      </w:r>
    </w:p>
    <w:p w:rsidR="009C2A1C" w:rsidRPr="009C2A1C" w:rsidRDefault="009C2A1C" w:rsidP="009C2A1C">
      <w:pPr>
        <w:spacing w:after="0" w:line="240" w:lineRule="auto"/>
        <w:ind w:left="567" w:hanging="567"/>
        <w:contextualSpacing/>
        <w:jc w:val="both"/>
        <w:rPr>
          <w:rFonts w:cs="Arial"/>
          <w:b/>
          <w:i/>
          <w:sz w:val="28"/>
          <w:lang w:val="fr-FR"/>
        </w:rPr>
      </w:pPr>
    </w:p>
    <w:p w:rsidR="009C2A1C" w:rsidRPr="009C2A1C" w:rsidRDefault="009C2A1C" w:rsidP="009C2A1C">
      <w:pPr>
        <w:spacing w:after="0" w:line="240" w:lineRule="auto"/>
        <w:ind w:left="567"/>
        <w:contextualSpacing/>
        <w:jc w:val="both"/>
        <w:rPr>
          <w:rFonts w:cs="Arial"/>
          <w:b/>
          <w:i/>
          <w:sz w:val="20"/>
          <w:lang w:val="fr-FR"/>
        </w:rPr>
      </w:pPr>
      <w:r w:rsidRPr="009C2A1C">
        <w:rPr>
          <w:rFonts w:cs="Arial"/>
          <w:b/>
          <w:i/>
          <w:sz w:val="20"/>
          <w:lang w:val="fr-FR"/>
        </w:rPr>
        <w:t xml:space="preserve">12.98 </w:t>
      </w:r>
      <w:r w:rsidR="00347FF4">
        <w:rPr>
          <w:rFonts w:cs="Arial"/>
          <w:b/>
          <w:i/>
          <w:sz w:val="20"/>
          <w:lang w:val="fr-FR"/>
        </w:rPr>
        <w:t xml:space="preserve"> Adressée au</w:t>
      </w:r>
      <w:r w:rsidRPr="009C2A1C">
        <w:rPr>
          <w:rFonts w:cs="Arial"/>
          <w:b/>
          <w:i/>
          <w:sz w:val="20"/>
          <w:lang w:val="fr-FR"/>
        </w:rPr>
        <w:t xml:space="preserve"> Secrétariat</w:t>
      </w:r>
    </w:p>
    <w:p w:rsidR="009C2A1C" w:rsidRPr="009C2A1C" w:rsidRDefault="009C2A1C" w:rsidP="009C2A1C">
      <w:pPr>
        <w:spacing w:after="0" w:line="240" w:lineRule="auto"/>
        <w:ind w:left="567" w:hanging="567"/>
        <w:contextualSpacing/>
        <w:jc w:val="both"/>
        <w:rPr>
          <w:rFonts w:cs="Arial"/>
          <w:b/>
          <w:i/>
          <w:sz w:val="20"/>
          <w:lang w:val="fr-FR"/>
        </w:rPr>
      </w:pPr>
    </w:p>
    <w:p w:rsidR="009C2A1C" w:rsidRPr="009C2A1C" w:rsidRDefault="009C2A1C" w:rsidP="00347FF4">
      <w:pPr>
        <w:spacing w:after="0" w:line="240" w:lineRule="auto"/>
        <w:ind w:left="1701" w:hanging="425"/>
        <w:contextualSpacing/>
        <w:jc w:val="both"/>
        <w:rPr>
          <w:rFonts w:cs="Arial"/>
          <w:i/>
          <w:sz w:val="20"/>
          <w:lang w:val="fr-FR"/>
        </w:rPr>
      </w:pPr>
      <w:r w:rsidRPr="009C2A1C">
        <w:rPr>
          <w:rFonts w:cs="Arial"/>
          <w:i/>
          <w:sz w:val="20"/>
          <w:lang w:val="fr-FR"/>
        </w:rPr>
        <w:t>Le Secrétariat, sous réserve de la disponibilité de ressources externes</w:t>
      </w:r>
      <w:r w:rsidR="00347FF4">
        <w:rPr>
          <w:rFonts w:cs="Arial"/>
          <w:i/>
          <w:sz w:val="20"/>
          <w:lang w:val="fr-FR"/>
        </w:rPr>
        <w:t> :</w:t>
      </w:r>
    </w:p>
    <w:p w:rsidR="009C2A1C" w:rsidRPr="009C2A1C" w:rsidRDefault="009C2A1C" w:rsidP="009C2A1C">
      <w:pPr>
        <w:spacing w:after="0" w:line="240" w:lineRule="auto"/>
        <w:ind w:left="1134" w:hanging="567"/>
        <w:contextualSpacing/>
        <w:jc w:val="both"/>
        <w:rPr>
          <w:rFonts w:cs="Arial"/>
          <w:sz w:val="20"/>
          <w:lang w:val="fr-FR"/>
        </w:rPr>
      </w:pPr>
    </w:p>
    <w:p w:rsidR="009C2A1C" w:rsidRPr="009C2A1C" w:rsidRDefault="00347FF4" w:rsidP="00347FF4">
      <w:pPr>
        <w:pStyle w:val="ListParagraph"/>
        <w:widowControl w:val="0"/>
        <w:numPr>
          <w:ilvl w:val="0"/>
          <w:numId w:val="9"/>
        </w:numPr>
        <w:autoSpaceDE w:val="0"/>
        <w:autoSpaceDN w:val="0"/>
        <w:adjustRightInd w:val="0"/>
        <w:spacing w:after="0" w:line="240" w:lineRule="auto"/>
        <w:ind w:left="1701" w:hanging="425"/>
        <w:jc w:val="both"/>
        <w:rPr>
          <w:rFonts w:cs="Arial"/>
          <w:i/>
          <w:sz w:val="20"/>
          <w:lang w:val="fr-FR"/>
        </w:rPr>
      </w:pPr>
      <w:r w:rsidRPr="00347FF4">
        <w:rPr>
          <w:i/>
          <w:sz w:val="20"/>
          <w:szCs w:val="20"/>
          <w:lang w:val="fr-FR"/>
        </w:rPr>
        <w:t>Prépare une étude des meilleures pratiques de participation des communautés dans la conservation et la gestion des espèces inscrites aux annexes de la CMS, incluant des facteurs tels que les droits fonciers, les responsabilités de gestion, l’autorité sur la répartition des avantages par les communautés, ainsi que les valeurs spirituelles</w:t>
      </w:r>
      <w:r w:rsidR="009C2A1C" w:rsidRPr="009C2A1C">
        <w:rPr>
          <w:rFonts w:cs="Arial"/>
          <w:i/>
          <w:sz w:val="20"/>
          <w:lang w:val="fr-FR"/>
        </w:rPr>
        <w:t>;</w:t>
      </w:r>
    </w:p>
    <w:p w:rsidR="009C2A1C" w:rsidRPr="009C2A1C" w:rsidRDefault="009C2A1C" w:rsidP="00347FF4">
      <w:pPr>
        <w:pStyle w:val="ListParagraph"/>
        <w:spacing w:after="0" w:line="240" w:lineRule="auto"/>
        <w:ind w:left="1701" w:hanging="425"/>
        <w:jc w:val="both"/>
        <w:rPr>
          <w:rFonts w:cs="Arial"/>
          <w:i/>
          <w:sz w:val="20"/>
          <w:lang w:val="fr-FR"/>
        </w:rPr>
      </w:pPr>
    </w:p>
    <w:p w:rsidR="009C2A1C" w:rsidRPr="009C2A1C" w:rsidRDefault="00347FF4" w:rsidP="00347FF4">
      <w:pPr>
        <w:pStyle w:val="ListParagraph"/>
        <w:widowControl w:val="0"/>
        <w:numPr>
          <w:ilvl w:val="0"/>
          <w:numId w:val="9"/>
        </w:numPr>
        <w:autoSpaceDE w:val="0"/>
        <w:autoSpaceDN w:val="0"/>
        <w:adjustRightInd w:val="0"/>
        <w:spacing w:after="0" w:line="240" w:lineRule="auto"/>
        <w:ind w:left="1701" w:hanging="425"/>
        <w:jc w:val="both"/>
        <w:rPr>
          <w:rFonts w:cs="Arial"/>
          <w:i/>
          <w:sz w:val="20"/>
          <w:lang w:val="fr-FR"/>
        </w:rPr>
      </w:pPr>
      <w:r w:rsidRPr="00347FF4">
        <w:rPr>
          <w:i/>
          <w:sz w:val="20"/>
          <w:szCs w:val="20"/>
          <w:lang w:val="fr-FR"/>
        </w:rPr>
        <w:t>Sur la base des résultats de l’étude de cas sur les meilleures pratiques et, dans la mesure du possible en coopération avec le Secrétariat de la Convention sur le commerce international des espèces de faune et de flore sauvages menacées d’extinction (CITES), facilite l’organisation d’ateliers et d’événements parallèles pour faire connaître les expériences en matière de moyens d’existence et d’échange des leçons apprises, en collaboration avec les Parties intéressées et les organisations internationales et régionales concernées</w:t>
      </w:r>
      <w:r w:rsidR="009C2A1C" w:rsidRPr="009C2A1C">
        <w:rPr>
          <w:rFonts w:cs="Arial"/>
          <w:i/>
          <w:sz w:val="20"/>
          <w:lang w:val="fr-FR"/>
        </w:rPr>
        <w:t xml:space="preserve">; </w:t>
      </w:r>
    </w:p>
    <w:p w:rsidR="009C2A1C" w:rsidRPr="009C2A1C" w:rsidRDefault="009C2A1C" w:rsidP="00347FF4">
      <w:pPr>
        <w:pStyle w:val="ListParagraph"/>
        <w:spacing w:after="0" w:line="240" w:lineRule="auto"/>
        <w:ind w:left="1701" w:hanging="425"/>
        <w:jc w:val="both"/>
        <w:rPr>
          <w:rFonts w:cs="Arial"/>
          <w:i/>
          <w:sz w:val="20"/>
          <w:lang w:val="fr-FR"/>
        </w:rPr>
      </w:pPr>
    </w:p>
    <w:p w:rsidR="009C2A1C" w:rsidRPr="00347FF4" w:rsidRDefault="00347FF4" w:rsidP="00347FF4">
      <w:pPr>
        <w:pStyle w:val="ListParagraph"/>
        <w:widowControl w:val="0"/>
        <w:numPr>
          <w:ilvl w:val="0"/>
          <w:numId w:val="9"/>
        </w:numPr>
        <w:autoSpaceDE w:val="0"/>
        <w:autoSpaceDN w:val="0"/>
        <w:adjustRightInd w:val="0"/>
        <w:spacing w:after="0" w:line="240" w:lineRule="auto"/>
        <w:ind w:left="1701" w:hanging="425"/>
        <w:jc w:val="both"/>
        <w:rPr>
          <w:rFonts w:cs="Arial"/>
          <w:i/>
          <w:sz w:val="20"/>
          <w:szCs w:val="20"/>
          <w:lang w:val="fr-FR"/>
        </w:rPr>
      </w:pPr>
      <w:r w:rsidRPr="00347FF4">
        <w:rPr>
          <w:i/>
          <w:sz w:val="20"/>
          <w:szCs w:val="20"/>
          <w:lang w:val="fr-FR"/>
        </w:rPr>
        <w:t>Fait rapport sur les progrès réalisés dans la mise en œuvre de cette Décision au Comité permanent à ses 48e et 49e Réunions ainsi qu’à la Conférence des Parties à sa 13e Session</w:t>
      </w:r>
      <w:r w:rsidR="009C2A1C" w:rsidRPr="00347FF4">
        <w:rPr>
          <w:i/>
          <w:sz w:val="20"/>
          <w:szCs w:val="20"/>
          <w:lang w:val="fr-FR"/>
        </w:rPr>
        <w:t xml:space="preserve"> </w:t>
      </w:r>
    </w:p>
    <w:p w:rsidR="009C2A1C" w:rsidRPr="009C2A1C" w:rsidRDefault="009C2A1C" w:rsidP="009C2A1C">
      <w:pPr>
        <w:spacing w:after="0" w:line="240" w:lineRule="auto"/>
        <w:ind w:left="567" w:hanging="567"/>
        <w:jc w:val="both"/>
        <w:rPr>
          <w:rFonts w:cs="Arial"/>
          <w:i/>
          <w:sz w:val="20"/>
          <w:lang w:val="fr-FR"/>
        </w:rPr>
      </w:pPr>
    </w:p>
    <w:p w:rsidR="009C2A1C" w:rsidRPr="009C2A1C" w:rsidRDefault="009C2A1C" w:rsidP="00347FF4">
      <w:pPr>
        <w:spacing w:after="0" w:line="240" w:lineRule="auto"/>
        <w:ind w:left="1134" w:hanging="567"/>
        <w:jc w:val="both"/>
        <w:rPr>
          <w:rFonts w:cs="Arial"/>
          <w:b/>
          <w:i/>
          <w:sz w:val="20"/>
          <w:lang w:val="fr-FR"/>
        </w:rPr>
      </w:pPr>
      <w:proofErr w:type="gramStart"/>
      <w:r w:rsidRPr="009C2A1C">
        <w:rPr>
          <w:rFonts w:cs="Arial"/>
          <w:b/>
          <w:i/>
          <w:sz w:val="20"/>
          <w:lang w:val="fr-FR"/>
        </w:rPr>
        <w:t xml:space="preserve">12.99 </w:t>
      </w:r>
      <w:r w:rsidR="00347FF4">
        <w:rPr>
          <w:rFonts w:cs="Arial"/>
          <w:b/>
          <w:i/>
          <w:sz w:val="20"/>
          <w:lang w:val="fr-FR"/>
        </w:rPr>
        <w:t xml:space="preserve"> A</w:t>
      </w:r>
      <w:r w:rsidRPr="009C2A1C">
        <w:rPr>
          <w:rFonts w:cs="Arial"/>
          <w:b/>
          <w:i/>
          <w:sz w:val="20"/>
          <w:lang w:val="fr-FR"/>
        </w:rPr>
        <w:t>dress</w:t>
      </w:r>
      <w:r w:rsidR="00347FF4">
        <w:rPr>
          <w:rFonts w:cs="Arial"/>
          <w:b/>
          <w:i/>
          <w:sz w:val="20"/>
          <w:lang w:val="fr-FR"/>
        </w:rPr>
        <w:t>é</w:t>
      </w:r>
      <w:r w:rsidRPr="009C2A1C">
        <w:rPr>
          <w:rFonts w:cs="Arial"/>
          <w:b/>
          <w:i/>
          <w:sz w:val="20"/>
          <w:lang w:val="fr-FR"/>
        </w:rPr>
        <w:t>e</w:t>
      </w:r>
      <w:proofErr w:type="gramEnd"/>
      <w:r w:rsidRPr="009C2A1C">
        <w:rPr>
          <w:rFonts w:cs="Arial"/>
          <w:b/>
          <w:i/>
          <w:sz w:val="20"/>
          <w:lang w:val="fr-FR"/>
        </w:rPr>
        <w:t xml:space="preserve"> </w:t>
      </w:r>
      <w:r w:rsidR="00347FF4">
        <w:rPr>
          <w:rFonts w:cs="Arial"/>
          <w:b/>
          <w:i/>
          <w:sz w:val="20"/>
          <w:lang w:val="fr-FR"/>
        </w:rPr>
        <w:t>aux</w:t>
      </w:r>
      <w:r w:rsidRPr="009C2A1C">
        <w:rPr>
          <w:rFonts w:cs="Arial"/>
          <w:b/>
          <w:i/>
          <w:sz w:val="20"/>
          <w:lang w:val="fr-FR"/>
        </w:rPr>
        <w:t xml:space="preserve"> Parties</w:t>
      </w:r>
    </w:p>
    <w:p w:rsidR="009C2A1C" w:rsidRPr="009C2A1C" w:rsidRDefault="009C2A1C" w:rsidP="009C2A1C">
      <w:pPr>
        <w:spacing w:after="0" w:line="240" w:lineRule="auto"/>
        <w:ind w:left="567" w:hanging="567"/>
        <w:jc w:val="both"/>
        <w:rPr>
          <w:rFonts w:cs="Arial"/>
          <w:i/>
          <w:sz w:val="20"/>
          <w:lang w:val="fr-FR"/>
        </w:rPr>
      </w:pPr>
    </w:p>
    <w:p w:rsidR="009C2A1C" w:rsidRPr="009C2A1C" w:rsidRDefault="00347FF4" w:rsidP="00347FF4">
      <w:pPr>
        <w:spacing w:after="0" w:line="240" w:lineRule="auto"/>
        <w:ind w:left="1276"/>
        <w:jc w:val="both"/>
        <w:rPr>
          <w:rFonts w:cs="Arial"/>
          <w:i/>
          <w:sz w:val="20"/>
          <w:lang w:val="fr-FR"/>
        </w:rPr>
      </w:pPr>
      <w:r w:rsidRPr="00347FF4">
        <w:rPr>
          <w:i/>
          <w:sz w:val="20"/>
          <w:szCs w:val="20"/>
          <w:lang w:val="fr-FR"/>
        </w:rPr>
        <w:t>Les Parties sont invitées de coopérer avec le Secrétariat pour recueillir des informations sur les instruments, y compris les législations, les politiques et les plans d’action qui favorisent la participation des communautés à la conservation des espèces inscrites aux annexes de la CMS</w:t>
      </w:r>
      <w:r w:rsidR="009C2A1C" w:rsidRPr="009C2A1C">
        <w:rPr>
          <w:rFonts w:cs="Arial"/>
          <w:i/>
          <w:sz w:val="20"/>
          <w:lang w:val="fr-FR"/>
        </w:rPr>
        <w:t>;</w:t>
      </w:r>
    </w:p>
    <w:p w:rsidR="009C2A1C" w:rsidRPr="009C2A1C" w:rsidRDefault="009C2A1C" w:rsidP="009C2A1C">
      <w:pPr>
        <w:spacing w:after="0" w:line="240" w:lineRule="auto"/>
        <w:ind w:left="567" w:hanging="567"/>
        <w:jc w:val="both"/>
        <w:rPr>
          <w:rFonts w:cs="Arial"/>
          <w:i/>
          <w:sz w:val="20"/>
          <w:lang w:val="fr-FR"/>
        </w:rPr>
      </w:pPr>
    </w:p>
    <w:p w:rsidR="009C2A1C" w:rsidRPr="009C2A1C" w:rsidRDefault="009C2A1C" w:rsidP="00347FF4">
      <w:pPr>
        <w:spacing w:after="0" w:line="240" w:lineRule="auto"/>
        <w:ind w:left="1134" w:hanging="567"/>
        <w:jc w:val="both"/>
        <w:rPr>
          <w:rFonts w:cs="Arial"/>
          <w:b/>
          <w:i/>
          <w:sz w:val="20"/>
          <w:lang w:val="fr-FR"/>
        </w:rPr>
      </w:pPr>
      <w:r w:rsidRPr="009C2A1C">
        <w:rPr>
          <w:rFonts w:cs="Arial"/>
          <w:b/>
          <w:i/>
          <w:sz w:val="20"/>
          <w:lang w:val="fr-FR"/>
        </w:rPr>
        <w:t xml:space="preserve">12.100 </w:t>
      </w:r>
      <w:r w:rsidR="00347FF4">
        <w:rPr>
          <w:rFonts w:cs="Arial"/>
          <w:b/>
          <w:i/>
          <w:sz w:val="20"/>
          <w:lang w:val="fr-FR"/>
        </w:rPr>
        <w:t>A</w:t>
      </w:r>
      <w:r w:rsidRPr="009C2A1C">
        <w:rPr>
          <w:rFonts w:cs="Arial"/>
          <w:b/>
          <w:i/>
          <w:sz w:val="20"/>
          <w:lang w:val="fr-FR"/>
        </w:rPr>
        <w:t>dress</w:t>
      </w:r>
      <w:r w:rsidR="00347FF4">
        <w:rPr>
          <w:rFonts w:cs="Arial"/>
          <w:b/>
          <w:i/>
          <w:sz w:val="20"/>
          <w:lang w:val="fr-FR"/>
        </w:rPr>
        <w:t>é</w:t>
      </w:r>
      <w:r w:rsidRPr="009C2A1C">
        <w:rPr>
          <w:rFonts w:cs="Arial"/>
          <w:b/>
          <w:i/>
          <w:sz w:val="20"/>
          <w:lang w:val="fr-FR"/>
        </w:rPr>
        <w:t xml:space="preserve">e </w:t>
      </w:r>
      <w:r w:rsidR="00347FF4">
        <w:rPr>
          <w:rFonts w:cs="Arial"/>
          <w:b/>
          <w:i/>
          <w:sz w:val="20"/>
          <w:lang w:val="fr-FR"/>
        </w:rPr>
        <w:t xml:space="preserve">aux </w:t>
      </w:r>
      <w:r w:rsidRPr="009C2A1C">
        <w:rPr>
          <w:rFonts w:cs="Arial"/>
          <w:b/>
          <w:i/>
          <w:sz w:val="20"/>
          <w:lang w:val="fr-FR"/>
        </w:rPr>
        <w:t>Parties, OIG et ONG</w:t>
      </w:r>
    </w:p>
    <w:p w:rsidR="009C2A1C" w:rsidRPr="009C2A1C" w:rsidRDefault="009C2A1C" w:rsidP="009C2A1C">
      <w:pPr>
        <w:spacing w:after="0" w:line="240" w:lineRule="auto"/>
        <w:ind w:left="567" w:hanging="567"/>
        <w:jc w:val="both"/>
        <w:rPr>
          <w:rFonts w:cs="Arial"/>
          <w:i/>
          <w:sz w:val="20"/>
          <w:lang w:val="fr-FR"/>
        </w:rPr>
      </w:pPr>
    </w:p>
    <w:p w:rsidR="009C2A1C" w:rsidRPr="00347FF4" w:rsidRDefault="00347FF4" w:rsidP="00347FF4">
      <w:pPr>
        <w:spacing w:after="0" w:line="240" w:lineRule="auto"/>
        <w:ind w:left="1276"/>
        <w:contextualSpacing/>
        <w:jc w:val="both"/>
        <w:rPr>
          <w:rFonts w:cs="Arial"/>
          <w:i/>
          <w:sz w:val="20"/>
          <w:szCs w:val="20"/>
          <w:lang w:val="fr-FR"/>
        </w:rPr>
      </w:pPr>
      <w:r w:rsidRPr="00347FF4">
        <w:rPr>
          <w:i/>
          <w:sz w:val="20"/>
          <w:szCs w:val="20"/>
          <w:lang w:val="fr-FR"/>
        </w:rPr>
        <w:t>Les Parties, les organisations intergouvernementales et non gouvernementales sont encouragées à fournir un appui financier et technique au Secrétariat pour l’élaboration de l’étude mentionnée aux alinéas a) et b) de la Décision 12.98, et à la Décision 12.99</w:t>
      </w:r>
    </w:p>
    <w:p w:rsidR="009C2A1C" w:rsidRPr="009C2A1C" w:rsidRDefault="009C2A1C" w:rsidP="009C2A1C">
      <w:pPr>
        <w:spacing w:after="0" w:line="240" w:lineRule="auto"/>
        <w:ind w:left="567" w:hanging="567"/>
        <w:jc w:val="both"/>
        <w:rPr>
          <w:rFonts w:cs="Arial"/>
          <w:u w:val="single"/>
          <w:lang w:val="fr-FR"/>
        </w:rPr>
      </w:pPr>
    </w:p>
    <w:p w:rsidR="009C2A1C" w:rsidRPr="009C2A1C" w:rsidRDefault="009C2A1C" w:rsidP="009C2A1C">
      <w:pPr>
        <w:spacing w:after="0" w:line="240" w:lineRule="auto"/>
        <w:ind w:left="567" w:hanging="567"/>
        <w:jc w:val="both"/>
        <w:rPr>
          <w:rFonts w:cs="Arial"/>
          <w:u w:val="single"/>
          <w:lang w:val="fr-FR"/>
        </w:rPr>
      </w:pPr>
      <w:r w:rsidRPr="009C2A1C">
        <w:rPr>
          <w:rFonts w:cs="Arial"/>
          <w:u w:val="single"/>
          <w:lang w:val="fr-FR"/>
        </w:rPr>
        <w:t xml:space="preserve">Activités </w:t>
      </w:r>
      <w:r w:rsidR="00347FF4">
        <w:rPr>
          <w:rFonts w:cs="Arial"/>
          <w:u w:val="single"/>
          <w:lang w:val="fr-FR"/>
        </w:rPr>
        <w:t>de mise en œuvre de</w:t>
      </w:r>
      <w:r w:rsidRPr="009C2A1C">
        <w:rPr>
          <w:rFonts w:cs="Arial"/>
          <w:u w:val="single"/>
          <w:lang w:val="fr-FR"/>
        </w:rPr>
        <w:t xml:space="preserve"> la Décision 12.98</w:t>
      </w:r>
    </w:p>
    <w:p w:rsidR="009C2A1C" w:rsidRPr="009C2A1C" w:rsidRDefault="009C2A1C" w:rsidP="009C2A1C">
      <w:pPr>
        <w:spacing w:after="0" w:line="240" w:lineRule="auto"/>
        <w:ind w:left="567" w:hanging="567"/>
        <w:jc w:val="both"/>
        <w:rPr>
          <w:rFonts w:cs="Arial"/>
          <w:u w:val="single"/>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Au cours de la période intersessions, le Secrétariat de la CMS a déployé des efforts pour réunir les fonds nécessaires à la préparation de l'étude des meilleures pratiques d'implication de la communauté dans la conservation et la gestion des espèces inscrites à la CMS, comme demandé dans la Décision 12.98 paragraphe (a).  Cependant, aucune contribution volontaire n'a été fournie pour l'étude. En conséquence, le Secrétariat n'a pas été en mesure de préparer le rapport.</w:t>
      </w:r>
    </w:p>
    <w:p w:rsidR="00347FF4" w:rsidRDefault="00347FF4" w:rsidP="009C2A1C">
      <w:pPr>
        <w:spacing w:after="0" w:line="240" w:lineRule="auto"/>
        <w:ind w:left="567" w:hanging="567"/>
        <w:contextualSpacing/>
        <w:jc w:val="both"/>
        <w:rPr>
          <w:rFonts w:cs="Arial"/>
          <w:lang w:val="fr-FR"/>
        </w:rPr>
      </w:pPr>
      <w:r>
        <w:rPr>
          <w:rFonts w:cs="Arial"/>
          <w:lang w:val="fr-FR"/>
        </w:rPr>
        <w:br w:type="page"/>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lang w:val="fr-FR"/>
        </w:rPr>
        <w:t>Néanmoins, le Secrétariat a entamé des recherches documentaires préliminaires visant à identifier les travaux pertinents dans ce domaine. Le Secrétariat a identifié plusieurs rapports et bases de données existants qui rassemblent des études de cas sur la gestion communautaire de la faune et la flore sauvages et sur la participation des communautés à la lutte contre le commerce illégal d'espèces sauvages et d'autres sujets connexes</w:t>
      </w:r>
      <w:r w:rsidRPr="00347FF4">
        <w:rPr>
          <w:vertAlign w:val="superscript"/>
        </w:rPr>
        <w:footnoteReference w:id="1"/>
      </w:r>
      <w:r w:rsidRPr="009C2A1C">
        <w:rPr>
          <w:lang w:val="fr-FR"/>
        </w:rPr>
        <w:t>:</w:t>
      </w:r>
      <w:r w:rsidRPr="009C2A1C">
        <w:rPr>
          <w:i/>
          <w:lang w:val="fr-FR"/>
        </w:rPr>
        <w:t>Intérêt de la GCRN</w:t>
      </w:r>
      <w:r w:rsidRPr="00347FF4">
        <w:rPr>
          <w:i/>
          <w:vertAlign w:val="superscript"/>
        </w:rPr>
        <w:footnoteReference w:id="2"/>
      </w:r>
      <w:r w:rsidRPr="009C2A1C">
        <w:rPr>
          <w:i/>
          <w:lang w:val="fr-FR"/>
        </w:rPr>
        <w:t xml:space="preserve">  pour la conservation et l'utilisation durable des espèces inscrites à la CITES dans  </w:t>
      </w:r>
      <w:r w:rsidRPr="009C2A1C">
        <w:rPr>
          <w:rFonts w:cs="Arial"/>
          <w:i/>
          <w:lang w:val="fr-FR"/>
        </w:rPr>
        <w:t>les pays exportateurs</w:t>
      </w:r>
      <w:r w:rsidRPr="009C2A1C">
        <w:rPr>
          <w:lang w:val="fr-FR"/>
        </w:rPr>
        <w:t xml:space="preserve"> </w:t>
      </w:r>
      <w:r w:rsidR="00347FF4">
        <w:rPr>
          <w:lang w:val="fr-FR"/>
        </w:rPr>
        <w:t>,</w:t>
      </w:r>
      <w:r w:rsidRPr="009C2A1C">
        <w:rPr>
          <w:lang w:val="fr-FR"/>
        </w:rPr>
        <w:t xml:space="preserve"> </w:t>
      </w:r>
      <w:r w:rsidRPr="00347FF4">
        <w:rPr>
          <w:vertAlign w:val="superscript"/>
          <w:lang w:val="fr-FR"/>
        </w:rPr>
        <w:t xml:space="preserve">; </w:t>
      </w:r>
      <w:r w:rsidRPr="00347FF4">
        <w:rPr>
          <w:vertAlign w:val="superscript"/>
        </w:rPr>
        <w:footnoteReference w:id="3"/>
      </w:r>
      <w:r w:rsidRPr="009C2A1C">
        <w:rPr>
          <w:lang w:val="fr-FR"/>
        </w:rPr>
        <w:t xml:space="preserve"> Manuel sur la CITES et les moyens de subsistance; Base de données sur</w:t>
      </w:r>
      <w:r w:rsidRPr="000E2F81">
        <w:rPr>
          <w:vertAlign w:val="superscript"/>
        </w:rPr>
        <w:footnoteReference w:id="4"/>
      </w:r>
      <w:r w:rsidRPr="009C2A1C">
        <w:rPr>
          <w:lang w:val="fr-FR"/>
        </w:rPr>
        <w:t xml:space="preserve"> la criminalité, la conservation et les communautés; Base</w:t>
      </w:r>
      <w:r w:rsidRPr="000E2F81">
        <w:rPr>
          <w:vertAlign w:val="superscript"/>
        </w:rPr>
        <w:footnoteReference w:id="5"/>
      </w:r>
      <w:r w:rsidRPr="009C2A1C">
        <w:rPr>
          <w:lang w:val="fr-FR"/>
        </w:rPr>
        <w:t xml:space="preserve"> de données People not </w:t>
      </w:r>
      <w:proofErr w:type="spellStart"/>
      <w:r w:rsidRPr="009C2A1C">
        <w:rPr>
          <w:lang w:val="fr-FR"/>
        </w:rPr>
        <w:t>Poaching</w:t>
      </w:r>
      <w:proofErr w:type="spellEnd"/>
      <w:r w:rsidRPr="009C2A1C">
        <w:rPr>
          <w:lang w:val="fr-FR"/>
        </w:rPr>
        <w:t xml:space="preserve"> (les personnes qui ne braconnent pas) ;</w:t>
      </w:r>
      <w:r w:rsidRPr="000E2F81">
        <w:rPr>
          <w:vertAlign w:val="superscript"/>
        </w:rPr>
        <w:footnoteReference w:id="6"/>
      </w:r>
      <w:r w:rsidRPr="009C2A1C">
        <w:rPr>
          <w:lang w:val="fr-FR"/>
        </w:rPr>
        <w:t xml:space="preserve"> et fiche d’information sur la CITES et les moyens de subsistance</w:t>
      </w:r>
      <w:r w:rsidRPr="000E2F81">
        <w:rPr>
          <w:vertAlign w:val="superscript"/>
        </w:rPr>
        <w:footnoteReference w:id="7"/>
      </w:r>
      <w:r w:rsidRPr="009C2A1C">
        <w:rPr>
          <w:lang w:val="fr-FR"/>
        </w:rPr>
        <w:t xml:space="preserve">.  </w:t>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 xml:space="preserve">Une étude récente du Programme des Nations Unies pour l'environnement intitulée « </w:t>
      </w:r>
      <w:r w:rsidRPr="009C2A1C">
        <w:rPr>
          <w:i/>
          <w:lang w:val="fr-FR"/>
        </w:rPr>
        <w:t>Vie sauvage, moyens de subsistance sauvages : Impliquer les communautés dans la gestion durable de la faune et lutter contre le commerce illégal d'espèces sauvages»</w:t>
      </w:r>
      <w:r w:rsidRPr="000E2F81">
        <w:rPr>
          <w:i/>
          <w:vertAlign w:val="superscript"/>
        </w:rPr>
        <w:footnoteReference w:id="8"/>
      </w:r>
      <w:r w:rsidRPr="009C2A1C">
        <w:rPr>
          <w:lang w:val="fr-FR"/>
        </w:rPr>
        <w:t xml:space="preserve"> </w:t>
      </w:r>
      <w:r w:rsidRPr="009C2A1C">
        <w:rPr>
          <w:rFonts w:cs="Arial"/>
          <w:lang w:val="fr-FR"/>
        </w:rPr>
        <w:t>donne un aperçu de l'état actuel des connaissances sur la participation des communautés à la lutte contre le commerce illégal d'espèces sauvages. Le rapport soulignait que les meilleures pratiques en matière de gestion de la faune sauvage communautaire avaient été bien identifiées au cours des dernières décennies, mais que ces recommandations n'avaient pas été mises en œuvre.</w:t>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 xml:space="preserve">Concernant la Décision 12.98, paragraphe (b), des événements parallèles et des ateliers fondés sur l'étude n'ont pas été organisés, l'étude n'étant pas préparée. Toutefois, le Secrétariat a assuré la liaison avec le Secrétariat de la CITES en prévision d’éventuels événements futurs. </w:t>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À la</w:t>
      </w:r>
      <w:r w:rsidRPr="009C2A1C">
        <w:rPr>
          <w:rFonts w:cs="Arial"/>
          <w:vertAlign w:val="superscript"/>
          <w:lang w:val="fr-FR"/>
        </w:rPr>
        <w:t xml:space="preserve"> </w:t>
      </w:r>
      <w:r w:rsidRPr="000E2F81">
        <w:rPr>
          <w:rFonts w:cs="Arial"/>
          <w:lang w:val="fr-FR"/>
        </w:rPr>
        <w:t>18</w:t>
      </w:r>
      <w:r w:rsidRPr="009C2A1C">
        <w:rPr>
          <w:rFonts w:cs="Arial"/>
          <w:vertAlign w:val="superscript"/>
          <w:lang w:val="fr-FR"/>
        </w:rPr>
        <w:t>e</w:t>
      </w:r>
      <w:r w:rsidRPr="009C2A1C">
        <w:rPr>
          <w:lang w:val="fr-FR"/>
        </w:rPr>
        <w:t xml:space="preserve"> réunion de la Conférence des parties à la CITES (COP18, Genève, 2019), les parties à la CITES ont demandé au secrétariat de la CITES de rassembler ou de mener de nouvelles études de cas sur la CITES et les moyens de subsistance. Les Parties sont invitées à soumettre de nouvelles études de cas démontrant que la participation des peuples autochtones et des communautés locales vivant aux côtés d'espèces sauvages au commerce des espèces inscrites à la CITES contribue à leurs moyens de subsistance et à la conservation de l'espèce dans la nature</w:t>
      </w:r>
      <w:r w:rsidRPr="000E2F81">
        <w:rPr>
          <w:vertAlign w:val="superscript"/>
        </w:rPr>
        <w:footnoteReference w:id="9"/>
      </w:r>
      <w:r w:rsidRPr="009C2A1C">
        <w:rPr>
          <w:lang w:val="fr-FR"/>
        </w:rPr>
        <w:t xml:space="preserve">. Ces nouvelles études de cas devraient permettre de mieux comprendre les pratiques de gestion communautaires appliquées aux espèces inscrites aux annexes de la CITES et de la CMS. </w:t>
      </w:r>
    </w:p>
    <w:p w:rsidR="000E2F81" w:rsidRDefault="000E2F81" w:rsidP="009C2A1C">
      <w:pPr>
        <w:spacing w:after="0" w:line="240" w:lineRule="auto"/>
        <w:ind w:left="567" w:hanging="567"/>
        <w:contextualSpacing/>
        <w:jc w:val="both"/>
        <w:rPr>
          <w:rFonts w:cs="Arial"/>
          <w:lang w:val="fr-FR"/>
        </w:rPr>
      </w:pPr>
      <w:r>
        <w:rPr>
          <w:rFonts w:cs="Arial"/>
          <w:lang w:val="fr-FR"/>
        </w:rPr>
        <w:br w:type="page"/>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Conformément à la Décision 12.98, paragraphe (c), le Secrétariat a rendu compte des progrès réalisés à la 48</w:t>
      </w:r>
      <w:r w:rsidRPr="009C2A1C">
        <w:rPr>
          <w:rFonts w:cs="Arial"/>
          <w:vertAlign w:val="superscript"/>
          <w:lang w:val="fr-FR"/>
        </w:rPr>
        <w:t xml:space="preserve"> e</w:t>
      </w:r>
      <w:r w:rsidRPr="009C2A1C">
        <w:rPr>
          <w:rFonts w:cs="Arial"/>
          <w:lang w:val="fr-FR"/>
        </w:rPr>
        <w:t xml:space="preserve"> réunion du Comité permanent. </w:t>
      </w:r>
    </w:p>
    <w:p w:rsidR="009C2A1C" w:rsidRPr="009C2A1C" w:rsidRDefault="009C2A1C" w:rsidP="009C2A1C">
      <w:pPr>
        <w:spacing w:after="0" w:line="240" w:lineRule="auto"/>
        <w:ind w:left="567" w:hanging="567"/>
        <w:jc w:val="both"/>
        <w:rPr>
          <w:rFonts w:cs="Arial"/>
          <w:lang w:val="fr-FR"/>
        </w:rPr>
      </w:pPr>
    </w:p>
    <w:p w:rsidR="009C2A1C" w:rsidRDefault="009C2A1C" w:rsidP="009C2A1C">
      <w:pPr>
        <w:spacing w:after="0" w:line="240" w:lineRule="auto"/>
        <w:ind w:left="567" w:hanging="567"/>
        <w:jc w:val="both"/>
        <w:rPr>
          <w:rFonts w:cs="Arial"/>
          <w:u w:val="single"/>
        </w:rPr>
      </w:pPr>
      <w:r>
        <w:rPr>
          <w:rFonts w:cs="Arial"/>
          <w:u w:val="single"/>
        </w:rPr>
        <w:t xml:space="preserve">Discussion et </w:t>
      </w:r>
      <w:proofErr w:type="spellStart"/>
      <w:r>
        <w:rPr>
          <w:rFonts w:cs="Arial"/>
          <w:u w:val="single"/>
        </w:rPr>
        <w:t>analyse</w:t>
      </w:r>
      <w:proofErr w:type="spellEnd"/>
    </w:p>
    <w:p w:rsidR="009C2A1C" w:rsidRDefault="009C2A1C" w:rsidP="009C2A1C">
      <w:pPr>
        <w:spacing w:after="0" w:line="240" w:lineRule="auto"/>
        <w:ind w:left="567" w:hanging="567"/>
        <w:jc w:val="both"/>
        <w:rPr>
          <w:rFonts w:cs="Arial"/>
          <w:u w:val="single"/>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 xml:space="preserve">Bien qu'il existe de nombreuses études et orientations sur la gestion communautaire de la faune sauvage et que certaines puissent inclure des espèces inscrites à la CMS, les études sur la gestion communautaire, identifiées jusqu'à présent par le Secrétariat, n'ont pas examiné en profondeur les défis particuliers liés aux espèces migratrices. Il a été souligné que les </w:t>
      </w:r>
      <w:r w:rsidRPr="009C2A1C">
        <w:rPr>
          <w:rFonts w:cs="Arial"/>
          <w:i/>
          <w:lang w:val="fr-FR"/>
        </w:rPr>
        <w:t>espèces migratrices posent le plus gros problème de gestion communautaire. À moins que toutes les communautés concernées dont les terres ou les eaux font partie de l'aire de répartition de l'espèce puissent agir de manière coordonnée, les perspectives de conservation de ces espèces risquent d'être minces</w:t>
      </w:r>
      <w:r w:rsidRPr="000E2F81">
        <w:rPr>
          <w:rFonts w:cs="Arial"/>
          <w:vertAlign w:val="superscript"/>
        </w:rPr>
        <w:footnoteReference w:id="10"/>
      </w:r>
      <w:r w:rsidRPr="009C2A1C">
        <w:rPr>
          <w:rFonts w:cs="Arial"/>
          <w:lang w:val="fr-FR"/>
        </w:rPr>
        <w:t xml:space="preserve">.  </w:t>
      </w:r>
      <w:proofErr w:type="spellStart"/>
      <w:r w:rsidRPr="009C2A1C">
        <w:rPr>
          <w:rFonts w:cs="Arial"/>
          <w:lang w:val="fr-FR"/>
        </w:rPr>
        <w:t>Kühl</w:t>
      </w:r>
      <w:proofErr w:type="spellEnd"/>
      <w:r w:rsidRPr="009C2A1C">
        <w:rPr>
          <w:rFonts w:cs="Arial"/>
          <w:lang w:val="fr-FR"/>
        </w:rPr>
        <w:t xml:space="preserve"> et Mrema (2011)</w:t>
      </w:r>
      <w:r w:rsidRPr="000E2F81">
        <w:rPr>
          <w:rFonts w:cs="Arial"/>
          <w:vertAlign w:val="superscript"/>
        </w:rPr>
        <w:footnoteReference w:id="11"/>
      </w:r>
      <w:r w:rsidRPr="000E2F81">
        <w:rPr>
          <w:rFonts w:cs="Arial"/>
          <w:vertAlign w:val="superscript"/>
          <w:lang w:val="fr-FR"/>
        </w:rPr>
        <w:t xml:space="preserve"> </w:t>
      </w:r>
      <w:r w:rsidRPr="009C2A1C">
        <w:rPr>
          <w:rFonts w:cs="Arial"/>
          <w:lang w:val="fr-FR"/>
        </w:rPr>
        <w:t>ont également souligné la difficulté d'obtenir un consensus sur la propriété parmi les parties prenantes lors de la gestion des espèces migratrices. Ainsi, par exemple, les meilleures pratiques pourraient inclure une coordination entre différentes communautés, gérant la même espèce migratrice.  En outre, les meilleures pratiques peuvent inclure des initiatives nationales qui n'ont pas encore été publiées.</w:t>
      </w:r>
    </w:p>
    <w:p w:rsidR="009C2A1C" w:rsidRPr="009C2A1C" w:rsidRDefault="009C2A1C" w:rsidP="009C2A1C">
      <w:pPr>
        <w:spacing w:after="0" w:line="240" w:lineRule="auto"/>
        <w:ind w:left="567" w:hanging="567"/>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 xml:space="preserve">Pour mieux comprendre les meilleures pratiques d’implication communautaire pour la conservation et la gestion des espèces migratrices, il serait utile de procéder à une compilation plus complète d’études de cas et d’initiatives mettant notamment l’accent sur les défis propres aux espèces migratrices.  Une telle compilation aiderait les Parties à comprendre les défis et les opportunités liés à l'application d'une gestion communautaire à la conservation et à la gestion des espèces inscrites à la CMS. </w:t>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rFonts w:cs="Arial"/>
          <w:lang w:val="fr-FR"/>
        </w:rPr>
        <w:t xml:space="preserve">Dans ce contexte, les Parties peuvent également examiner davantage la meilleure façon de réaliser le Plan stratégique de la CMS (2015-2023). Objectif 5: </w:t>
      </w:r>
      <w:r w:rsidRPr="009C2A1C">
        <w:rPr>
          <w:rFonts w:cs="Arial"/>
          <w:i/>
          <w:lang w:val="fr-FR"/>
        </w:rPr>
        <w:t>Améliorer la mise en œuvre par le biais de la planification participative, des connaissances, de la gestion et du renforcement des capacités</w:t>
      </w:r>
      <w:r w:rsidRPr="009C2A1C">
        <w:rPr>
          <w:lang w:val="fr-FR"/>
        </w:rPr>
        <w:t xml:space="preserve"> , ainsi que de la cible 14. La cible prévoit la conservation et la gestion des espèces migratrices avec la participation effective des communautés locales et des peuples autochtones</w:t>
      </w:r>
      <w:r w:rsidRPr="000E2F81">
        <w:rPr>
          <w:vertAlign w:val="superscript"/>
        </w:rPr>
        <w:footnoteReference w:id="12"/>
      </w:r>
      <w:r w:rsidRPr="009C2A1C">
        <w:rPr>
          <w:lang w:val="fr-FR"/>
        </w:rPr>
        <w:t xml:space="preserve">. </w:t>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lang w:val="fr-FR"/>
        </w:rPr>
        <w:t>Une étude récente a indiqué que la CMS ne dispose pas de mécanismes formels permettant aux populations locales et aux communautés autochtones de contribuer aux processus de prise</w:t>
      </w:r>
      <w:r w:rsidRPr="000E2F81">
        <w:rPr>
          <w:vertAlign w:val="superscript"/>
        </w:rPr>
        <w:footnoteReference w:id="13"/>
      </w:r>
      <w:r w:rsidRPr="000E2F81">
        <w:rPr>
          <w:vertAlign w:val="superscript"/>
          <w:lang w:val="fr-FR"/>
        </w:rPr>
        <w:t xml:space="preserve"> </w:t>
      </w:r>
      <w:r w:rsidRPr="009C2A1C">
        <w:rPr>
          <w:lang w:val="fr-FR"/>
        </w:rPr>
        <w:t xml:space="preserve">de décisions. En vertu du mécanisme actuel, les communautés locales et les peuples autochtones peuvent participer en tant qu'observateurs, en tant que membres de délégations nationales ou en tant qu'experts. Cependant, il n'y a pas de procédure formelle pour soutenir leur participation, ni pour faciliter leur contribution aux discussions dans le cadre du processus de la CMS. Un examen plus approfondi sera peut-être nécessaire pour parvenir à une participation effective des communautés locales et des peuples autochtones et pour atteindre la cible 14 du Plan stratégique de la CMS d'ici 2023. </w:t>
      </w:r>
    </w:p>
    <w:p w:rsidR="000E2F81" w:rsidRDefault="000E2F81" w:rsidP="009C2A1C">
      <w:pPr>
        <w:spacing w:after="0" w:line="240" w:lineRule="auto"/>
        <w:ind w:left="567" w:hanging="567"/>
        <w:contextualSpacing/>
        <w:jc w:val="both"/>
        <w:rPr>
          <w:rFonts w:cs="Arial"/>
          <w:lang w:val="fr-FR"/>
        </w:rPr>
      </w:pPr>
      <w:r>
        <w:rPr>
          <w:rFonts w:cs="Arial"/>
          <w:lang w:val="fr-FR"/>
        </w:rPr>
        <w:br w:type="page"/>
      </w:r>
    </w:p>
    <w:p w:rsidR="009C2A1C" w:rsidRPr="009C2A1C" w:rsidRDefault="009C2A1C" w:rsidP="009C2A1C">
      <w:pPr>
        <w:spacing w:after="0" w:line="240" w:lineRule="auto"/>
        <w:ind w:left="567" w:hanging="567"/>
        <w:contextualSpacing/>
        <w:jc w:val="both"/>
        <w:rPr>
          <w:rFonts w:cs="Arial"/>
          <w:lang w:val="fr-FR"/>
        </w:rPr>
      </w:pPr>
    </w:p>
    <w:p w:rsidR="009C2A1C" w:rsidRPr="009C2A1C" w:rsidRDefault="009C2A1C" w:rsidP="009C2A1C">
      <w:pPr>
        <w:spacing w:after="0" w:line="240" w:lineRule="auto"/>
        <w:ind w:left="567" w:hanging="567"/>
        <w:jc w:val="both"/>
        <w:rPr>
          <w:rFonts w:cs="Arial"/>
          <w:u w:val="single"/>
          <w:lang w:val="fr-FR"/>
        </w:rPr>
      </w:pPr>
      <w:r w:rsidRPr="009C2A1C">
        <w:rPr>
          <w:rFonts w:cs="Arial"/>
          <w:u w:val="single"/>
          <w:lang w:val="fr-FR"/>
        </w:rPr>
        <w:t xml:space="preserve">Amendements proposés aux </w:t>
      </w:r>
      <w:r w:rsidR="000E2F81">
        <w:rPr>
          <w:rFonts w:cs="Arial"/>
          <w:u w:val="single"/>
          <w:lang w:val="fr-FR"/>
        </w:rPr>
        <w:t>D</w:t>
      </w:r>
      <w:r w:rsidRPr="009C2A1C">
        <w:rPr>
          <w:rFonts w:cs="Arial"/>
          <w:u w:val="single"/>
          <w:lang w:val="fr-FR"/>
        </w:rPr>
        <w:t>écisions 12.98 à 12.100</w:t>
      </w:r>
    </w:p>
    <w:p w:rsidR="009C2A1C" w:rsidRPr="009C2A1C" w:rsidRDefault="009C2A1C" w:rsidP="009C2A1C">
      <w:pPr>
        <w:spacing w:after="0" w:line="240" w:lineRule="auto"/>
        <w:ind w:left="567" w:hanging="567"/>
        <w:rPr>
          <w:rFonts w:cs="Arial"/>
          <w:lang w:val="fr-FR"/>
        </w:rPr>
      </w:pPr>
    </w:p>
    <w:p w:rsidR="009C2A1C" w:rsidRPr="009C2A1C" w:rsidRDefault="009C2A1C" w:rsidP="009C2A1C">
      <w:pPr>
        <w:widowControl w:val="0"/>
        <w:numPr>
          <w:ilvl w:val="0"/>
          <w:numId w:val="8"/>
        </w:numPr>
        <w:autoSpaceDE w:val="0"/>
        <w:autoSpaceDN w:val="0"/>
        <w:adjustRightInd w:val="0"/>
        <w:spacing w:after="0" w:line="240" w:lineRule="auto"/>
        <w:ind w:left="567" w:hanging="567"/>
        <w:contextualSpacing/>
        <w:jc w:val="both"/>
        <w:rPr>
          <w:rFonts w:cs="Arial"/>
          <w:lang w:val="fr-FR"/>
        </w:rPr>
      </w:pPr>
      <w:r w:rsidRPr="009C2A1C">
        <w:rPr>
          <w:lang w:val="fr-FR"/>
        </w:rPr>
        <w:t>Le Secrétariat propose de modifier les Décisions 12.98 à 12.100 telles qu'elles figurent à l'annexe 1. Les ressources financières permettant au Secrétariat de mener une nouvelle étude étant limitées, il est suggéré de compiler les études de cas existantes</w:t>
      </w:r>
      <w:r w:rsidRPr="000E2F81">
        <w:rPr>
          <w:vertAlign w:val="superscript"/>
        </w:rPr>
        <w:footnoteReference w:id="14"/>
      </w:r>
      <w:r w:rsidRPr="000E2F81">
        <w:rPr>
          <w:vertAlign w:val="superscript"/>
          <w:lang w:val="fr-FR"/>
        </w:rPr>
        <w:t xml:space="preserve"> </w:t>
      </w:r>
      <w:r w:rsidRPr="009C2A1C">
        <w:rPr>
          <w:lang w:val="fr-FR"/>
        </w:rPr>
        <w:t xml:space="preserve">ainsi que les nouvelles études de cas présentées par les Parties et les parties prenantes concernées. Ces études de cas peuvent inclure des exemples de réussite et de bonnes pratiques, ainsi que des difficultés rencontrées et des enseignements tirés. On s’attend à ce qu’une large gamme d’études de cas aide à montrer comment une gestion communautaire pourrait être utilisée pour la conservation et la gestion des espèces migratrices. </w:t>
      </w:r>
    </w:p>
    <w:p w:rsidR="009C2A1C" w:rsidRPr="009C2A1C" w:rsidRDefault="009C2A1C" w:rsidP="009C2A1C">
      <w:pPr>
        <w:spacing w:after="0" w:line="240" w:lineRule="auto"/>
        <w:ind w:left="567" w:hanging="567"/>
        <w:jc w:val="both"/>
        <w:rPr>
          <w:rFonts w:cs="Arial"/>
          <w:u w:val="single"/>
          <w:lang w:val="fr-FR"/>
        </w:rPr>
      </w:pPr>
    </w:p>
    <w:p w:rsidR="009C2A1C" w:rsidRDefault="000E2F81" w:rsidP="000E2F81">
      <w:pPr>
        <w:spacing w:after="0" w:line="240" w:lineRule="auto"/>
        <w:ind w:left="567" w:hanging="567"/>
        <w:rPr>
          <w:rFonts w:cs="Arial"/>
          <w:u w:val="single"/>
        </w:rPr>
      </w:pPr>
      <w:r>
        <w:rPr>
          <w:rFonts w:cs="Arial"/>
          <w:u w:val="single"/>
        </w:rPr>
        <w:t xml:space="preserve">Actions </w:t>
      </w:r>
      <w:proofErr w:type="spellStart"/>
      <w:r>
        <w:rPr>
          <w:rFonts w:cs="Arial"/>
          <w:u w:val="single"/>
        </w:rPr>
        <w:t>recommandées</w:t>
      </w:r>
      <w:proofErr w:type="spellEnd"/>
    </w:p>
    <w:p w:rsidR="000E2F81" w:rsidRDefault="000E2F81" w:rsidP="000E2F81">
      <w:pPr>
        <w:spacing w:after="0" w:line="240" w:lineRule="auto"/>
        <w:ind w:left="567" w:hanging="567"/>
        <w:rPr>
          <w:rFonts w:cs="Arial"/>
        </w:rPr>
      </w:pPr>
    </w:p>
    <w:p w:rsidR="009C2A1C" w:rsidRPr="009C2A1C" w:rsidRDefault="009C2A1C" w:rsidP="009C2A1C">
      <w:pPr>
        <w:widowControl w:val="0"/>
        <w:numPr>
          <w:ilvl w:val="0"/>
          <w:numId w:val="8"/>
        </w:numPr>
        <w:autoSpaceDE w:val="0"/>
        <w:autoSpaceDN w:val="0"/>
        <w:adjustRightInd w:val="0"/>
        <w:spacing w:after="0" w:line="240" w:lineRule="auto"/>
        <w:ind w:left="567" w:hanging="567"/>
        <w:jc w:val="both"/>
        <w:rPr>
          <w:rFonts w:cs="Arial"/>
          <w:lang w:val="fr-FR"/>
        </w:rPr>
      </w:pPr>
      <w:r w:rsidRPr="009C2A1C">
        <w:rPr>
          <w:rFonts w:cs="Arial"/>
          <w:lang w:val="fr-FR"/>
        </w:rPr>
        <w:t>Il est recommandé à la Conférence des Parties d’adopter le</w:t>
      </w:r>
      <w:r w:rsidR="000E2F81">
        <w:rPr>
          <w:rFonts w:cs="Arial"/>
          <w:lang w:val="fr-FR"/>
        </w:rPr>
        <w:t>s D</w:t>
      </w:r>
      <w:r w:rsidRPr="009C2A1C">
        <w:rPr>
          <w:rFonts w:cs="Arial"/>
          <w:lang w:val="fr-FR"/>
        </w:rPr>
        <w:t>écision</w:t>
      </w:r>
      <w:r w:rsidR="000E2F81">
        <w:rPr>
          <w:rFonts w:cs="Arial"/>
          <w:lang w:val="fr-FR"/>
        </w:rPr>
        <w:t>s</w:t>
      </w:r>
      <w:r w:rsidRPr="009C2A1C">
        <w:rPr>
          <w:rFonts w:cs="Arial"/>
          <w:lang w:val="fr-FR"/>
        </w:rPr>
        <w:t xml:space="preserve"> figurant à l’</w:t>
      </w:r>
      <w:r w:rsidR="000E2F81">
        <w:rPr>
          <w:rFonts w:cs="Arial"/>
          <w:lang w:val="fr-FR"/>
        </w:rPr>
        <w:t>A</w:t>
      </w:r>
      <w:r w:rsidRPr="009C2A1C">
        <w:rPr>
          <w:rFonts w:cs="Arial"/>
          <w:lang w:val="fr-FR"/>
        </w:rPr>
        <w:t xml:space="preserve">nnexe du présent document. </w:t>
      </w:r>
    </w:p>
    <w:p w:rsidR="009C2A1C" w:rsidRPr="009C2A1C" w:rsidRDefault="009C2A1C" w:rsidP="009C2A1C">
      <w:pPr>
        <w:spacing w:after="0" w:line="240" w:lineRule="auto"/>
        <w:ind w:left="567" w:hanging="567"/>
        <w:jc w:val="both"/>
        <w:rPr>
          <w:rFonts w:cs="Arial"/>
          <w:lang w:val="fr-FR"/>
        </w:rPr>
      </w:pPr>
    </w:p>
    <w:p w:rsidR="000E2F81" w:rsidRDefault="000E2F81" w:rsidP="009C2A1C">
      <w:pPr>
        <w:jc w:val="both"/>
        <w:rPr>
          <w:rFonts w:cs="Arial"/>
          <w:lang w:val="fr-FR"/>
        </w:rPr>
        <w:sectPr w:rsidR="000E2F81"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9C2A1C" w:rsidRPr="009C2A1C" w:rsidRDefault="009C2A1C" w:rsidP="009C2A1C">
      <w:pPr>
        <w:jc w:val="right"/>
        <w:rPr>
          <w:rFonts w:cs="Arial"/>
          <w:b/>
          <w:lang w:val="fr-FR"/>
        </w:rPr>
      </w:pPr>
      <w:r w:rsidRPr="009C2A1C">
        <w:rPr>
          <w:rFonts w:cs="Arial"/>
          <w:b/>
          <w:lang w:val="fr-FR"/>
        </w:rPr>
        <w:lastRenderedPageBreak/>
        <w:t>ANNEXE</w:t>
      </w:r>
    </w:p>
    <w:p w:rsidR="009C2A1C" w:rsidRPr="000E2F81" w:rsidRDefault="009C2A1C" w:rsidP="000E2F81">
      <w:pPr>
        <w:spacing w:after="0" w:line="240" w:lineRule="auto"/>
        <w:jc w:val="both"/>
        <w:rPr>
          <w:rFonts w:cs="Arial"/>
          <w:lang w:val="fr-FR"/>
        </w:rPr>
      </w:pPr>
    </w:p>
    <w:p w:rsidR="009C2A1C" w:rsidRDefault="000E2F81" w:rsidP="000E2F81">
      <w:pPr>
        <w:spacing w:after="0" w:line="240" w:lineRule="auto"/>
        <w:jc w:val="center"/>
        <w:rPr>
          <w:rFonts w:cs="Arial"/>
          <w:lang w:val="fr-FR"/>
        </w:rPr>
      </w:pPr>
      <w:r w:rsidRPr="000E2F81">
        <w:rPr>
          <w:rFonts w:cs="Arial"/>
          <w:lang w:val="fr-FR"/>
        </w:rPr>
        <w:t>AMENDEMENTS PROPOSÉS AUX DÉCISIONS 12.98 - 12.100</w:t>
      </w:r>
    </w:p>
    <w:p w:rsidR="000E2F81" w:rsidRPr="000E2F81" w:rsidRDefault="000E2F81" w:rsidP="000E2F81">
      <w:pPr>
        <w:spacing w:after="0" w:line="240" w:lineRule="auto"/>
        <w:jc w:val="center"/>
        <w:rPr>
          <w:rFonts w:cs="Arial"/>
          <w:lang w:val="fr-FR"/>
        </w:rPr>
      </w:pPr>
    </w:p>
    <w:p w:rsidR="009C2A1C" w:rsidRPr="000E2F81" w:rsidRDefault="009C2A1C" w:rsidP="000E2F81">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lang w:val="fr-FR"/>
        </w:rPr>
      </w:pPr>
      <w:r w:rsidRPr="000E2F81">
        <w:rPr>
          <w:rFonts w:cs="Arial"/>
          <w:b/>
          <w:color w:val="000000"/>
          <w:lang w:val="fr-FR"/>
        </w:rPr>
        <w:t xml:space="preserve">PARTICIPATION </w:t>
      </w:r>
      <w:r w:rsidR="000E2F81" w:rsidRPr="000E2F81">
        <w:rPr>
          <w:rFonts w:cs="Arial"/>
          <w:b/>
          <w:color w:val="000000"/>
          <w:lang w:val="fr-FR"/>
        </w:rPr>
        <w:t>DES COMMUNAUTÉS E</w:t>
      </w:r>
      <w:r w:rsidRPr="000E2F81">
        <w:rPr>
          <w:rFonts w:cs="Arial"/>
          <w:b/>
          <w:color w:val="000000"/>
          <w:lang w:val="fr-FR"/>
        </w:rPr>
        <w:t>T MOYENS D</w:t>
      </w:r>
      <w:r w:rsidR="000E2F81" w:rsidRPr="000E2F81">
        <w:rPr>
          <w:rFonts w:cs="Arial"/>
          <w:b/>
          <w:color w:val="000000"/>
          <w:lang w:val="fr-FR"/>
        </w:rPr>
        <w:t>’EXISTENCE</w:t>
      </w:r>
    </w:p>
    <w:p w:rsidR="009C2A1C" w:rsidRPr="000E2F81" w:rsidRDefault="009C2A1C" w:rsidP="000E2F81">
      <w:pPr>
        <w:spacing w:after="0" w:line="240" w:lineRule="auto"/>
        <w:jc w:val="both"/>
        <w:rPr>
          <w:rFonts w:cs="Arial"/>
          <w:lang w:val="fr-FR"/>
        </w:rPr>
      </w:pPr>
    </w:p>
    <w:p w:rsidR="000E2F81" w:rsidRDefault="000E2F81" w:rsidP="000E2F81">
      <w:pPr>
        <w:spacing w:after="0" w:line="240" w:lineRule="auto"/>
        <w:jc w:val="both"/>
        <w:rPr>
          <w:rFonts w:cs="Arial"/>
          <w:b/>
          <w:i/>
          <w:lang w:val="fr-FR"/>
        </w:rPr>
      </w:pPr>
    </w:p>
    <w:p w:rsidR="009C2A1C" w:rsidRPr="000E2F81" w:rsidRDefault="000E2F81" w:rsidP="000E2F81">
      <w:pPr>
        <w:spacing w:after="0" w:line="240" w:lineRule="auto"/>
        <w:jc w:val="both"/>
        <w:rPr>
          <w:rFonts w:cs="Arial"/>
          <w:b/>
          <w:i/>
          <w:lang w:val="fr-FR"/>
        </w:rPr>
      </w:pPr>
      <w:r w:rsidRPr="000E2F81">
        <w:rPr>
          <w:rFonts w:cs="Arial"/>
          <w:b/>
          <w:i/>
          <w:lang w:val="fr-FR"/>
        </w:rPr>
        <w:t>Adressé au</w:t>
      </w:r>
      <w:r w:rsidR="009C2A1C" w:rsidRPr="000E2F81">
        <w:rPr>
          <w:rFonts w:cs="Arial"/>
          <w:b/>
          <w:i/>
          <w:lang w:val="fr-FR"/>
        </w:rPr>
        <w:t xml:space="preserve"> Secrétariat</w:t>
      </w:r>
    </w:p>
    <w:p w:rsidR="009C2A1C" w:rsidRPr="000E2F81" w:rsidRDefault="009C2A1C" w:rsidP="000E2F81">
      <w:pPr>
        <w:spacing w:after="0" w:line="240" w:lineRule="auto"/>
        <w:jc w:val="both"/>
        <w:rPr>
          <w:rFonts w:cs="Arial"/>
          <w:lang w:val="fr-FR"/>
        </w:rPr>
      </w:pPr>
    </w:p>
    <w:p w:rsidR="009C2A1C" w:rsidRDefault="009C2A1C" w:rsidP="000E2F81">
      <w:pPr>
        <w:spacing w:after="0" w:line="240" w:lineRule="auto"/>
        <w:ind w:left="720" w:hanging="720"/>
        <w:jc w:val="both"/>
        <w:rPr>
          <w:rFonts w:cs="Arial"/>
          <w:lang w:val="fr-FR"/>
        </w:rPr>
      </w:pPr>
      <w:r w:rsidRPr="000E2F81">
        <w:rPr>
          <w:rFonts w:cs="Arial"/>
          <w:u w:val="single"/>
          <w:lang w:val="fr-FR"/>
        </w:rPr>
        <w:t xml:space="preserve">13.AA (12.98) </w:t>
      </w:r>
      <w:r w:rsidRPr="000E2F81">
        <w:rPr>
          <w:rFonts w:cs="Arial"/>
          <w:lang w:val="fr-FR"/>
        </w:rPr>
        <w:t>Le Secrétariat, sous réserve de la disponibilité de ressources externes</w:t>
      </w:r>
      <w:r w:rsidR="000E2F81">
        <w:rPr>
          <w:rFonts w:cs="Arial"/>
          <w:lang w:val="fr-FR"/>
        </w:rPr>
        <w:t>,</w:t>
      </w:r>
    </w:p>
    <w:p w:rsidR="000E2F81" w:rsidRPr="000E2F81" w:rsidRDefault="000E2F81" w:rsidP="000E2F81">
      <w:pPr>
        <w:spacing w:after="0" w:line="240" w:lineRule="auto"/>
        <w:ind w:left="720" w:hanging="720"/>
        <w:jc w:val="both"/>
        <w:rPr>
          <w:rFonts w:cs="Arial"/>
          <w:iCs/>
          <w:lang w:val="fr-FR"/>
        </w:rPr>
      </w:pPr>
    </w:p>
    <w:p w:rsidR="000E2F81" w:rsidRPr="00465BA8" w:rsidRDefault="000E2F81" w:rsidP="00C91299">
      <w:pPr>
        <w:pStyle w:val="NormalWeb"/>
        <w:numPr>
          <w:ilvl w:val="0"/>
          <w:numId w:val="10"/>
        </w:numPr>
        <w:shd w:val="clear" w:color="auto" w:fill="FFFFFF"/>
        <w:spacing w:before="0" w:beforeAutospacing="0" w:after="0" w:afterAutospacing="0"/>
        <w:ind w:left="1985" w:hanging="567"/>
        <w:jc w:val="both"/>
        <w:rPr>
          <w:rFonts w:ascii="Arial" w:hAnsi="Arial" w:cs="Arial"/>
          <w:sz w:val="22"/>
          <w:szCs w:val="22"/>
        </w:rPr>
      </w:pPr>
      <w:r w:rsidRPr="00465BA8">
        <w:rPr>
          <w:rFonts w:ascii="Arial" w:hAnsi="Arial" w:cs="Arial"/>
          <w:sz w:val="22"/>
          <w:szCs w:val="22"/>
          <w:u w:val="single"/>
        </w:rPr>
        <w:t>identifie les initiatives en cours et les études de cas de meilleures pratiques et</w:t>
      </w:r>
      <w:r w:rsidRPr="00465BA8">
        <w:rPr>
          <w:rFonts w:ascii="Arial" w:hAnsi="Arial" w:cs="Arial"/>
          <w:i/>
          <w:sz w:val="22"/>
          <w:szCs w:val="22"/>
        </w:rPr>
        <w:t xml:space="preserve"> </w:t>
      </w:r>
      <w:r w:rsidR="00465BA8" w:rsidRPr="00465BA8">
        <w:rPr>
          <w:rFonts w:ascii="Arial" w:hAnsi="Arial" w:cs="Arial"/>
          <w:sz w:val="22"/>
          <w:szCs w:val="22"/>
        </w:rPr>
        <w:t>p</w:t>
      </w:r>
      <w:r w:rsidRPr="00465BA8">
        <w:rPr>
          <w:rFonts w:ascii="Arial" w:hAnsi="Arial" w:cs="Arial"/>
          <w:sz w:val="22"/>
          <w:szCs w:val="22"/>
        </w:rPr>
        <w:t>répare une</w:t>
      </w:r>
      <w:r w:rsidRPr="00465BA8">
        <w:rPr>
          <w:rFonts w:ascii="Arial" w:hAnsi="Arial" w:cs="Arial"/>
          <w:i/>
          <w:sz w:val="22"/>
          <w:szCs w:val="22"/>
        </w:rPr>
        <w:t xml:space="preserve"> </w:t>
      </w:r>
      <w:r w:rsidR="00465BA8" w:rsidRPr="00465BA8">
        <w:rPr>
          <w:rFonts w:ascii="Arial" w:hAnsi="Arial" w:cs="Arial"/>
          <w:sz w:val="22"/>
          <w:szCs w:val="22"/>
          <w:u w:val="single"/>
        </w:rPr>
        <w:t>compilation</w:t>
      </w:r>
      <w:r w:rsidR="00465BA8" w:rsidRPr="00465BA8">
        <w:rPr>
          <w:rFonts w:ascii="Arial" w:hAnsi="Arial" w:cs="Arial"/>
          <w:sz w:val="22"/>
          <w:szCs w:val="22"/>
        </w:rPr>
        <w:t xml:space="preserve"> </w:t>
      </w:r>
      <w:r w:rsidR="00465BA8" w:rsidRPr="00465BA8">
        <w:rPr>
          <w:rFonts w:ascii="Arial" w:hAnsi="Arial" w:cs="Arial"/>
          <w:sz w:val="22"/>
          <w:szCs w:val="22"/>
          <w:u w:val="single"/>
        </w:rPr>
        <w:t xml:space="preserve">des </w:t>
      </w:r>
      <w:r w:rsidRPr="00465BA8">
        <w:rPr>
          <w:rFonts w:ascii="Arial" w:hAnsi="Arial" w:cs="Arial"/>
          <w:sz w:val="22"/>
          <w:szCs w:val="22"/>
          <w:u w:val="single"/>
        </w:rPr>
        <w:t>étude</w:t>
      </w:r>
      <w:r w:rsidR="00465BA8" w:rsidRPr="00465BA8">
        <w:rPr>
          <w:rFonts w:ascii="Arial" w:hAnsi="Arial" w:cs="Arial"/>
          <w:sz w:val="22"/>
          <w:szCs w:val="22"/>
          <w:u w:val="single"/>
        </w:rPr>
        <w:t>s</w:t>
      </w:r>
      <w:r w:rsidR="00465BA8" w:rsidRPr="00465BA8">
        <w:rPr>
          <w:rFonts w:ascii="Arial" w:hAnsi="Arial" w:cs="Arial"/>
          <w:sz w:val="22"/>
          <w:szCs w:val="22"/>
        </w:rPr>
        <w:t xml:space="preserve"> de cas</w:t>
      </w:r>
      <w:r w:rsidRPr="00465BA8">
        <w:rPr>
          <w:rFonts w:ascii="Arial" w:hAnsi="Arial" w:cs="Arial"/>
          <w:sz w:val="22"/>
          <w:szCs w:val="22"/>
        </w:rPr>
        <w:t xml:space="preserve"> </w:t>
      </w:r>
      <w:r w:rsidRPr="00465BA8">
        <w:rPr>
          <w:rFonts w:ascii="Arial" w:hAnsi="Arial" w:cs="Arial"/>
          <w:strike/>
          <w:sz w:val="22"/>
          <w:szCs w:val="22"/>
        </w:rPr>
        <w:t>des meilleures pratiques</w:t>
      </w:r>
      <w:r w:rsidR="00465BA8" w:rsidRPr="00465BA8">
        <w:rPr>
          <w:rFonts w:ascii="Arial" w:hAnsi="Arial" w:cs="Arial"/>
          <w:sz w:val="22"/>
          <w:szCs w:val="22"/>
        </w:rPr>
        <w:t xml:space="preserve"> </w:t>
      </w:r>
      <w:r w:rsidR="00465BA8" w:rsidRPr="00465BA8">
        <w:rPr>
          <w:rFonts w:ascii="Arial" w:hAnsi="Arial" w:cs="Arial"/>
          <w:sz w:val="22"/>
          <w:szCs w:val="22"/>
          <w:u w:val="single"/>
        </w:rPr>
        <w:t>et des initiatives relatives à la</w:t>
      </w:r>
      <w:r w:rsidR="00465BA8" w:rsidRPr="00465BA8">
        <w:rPr>
          <w:rFonts w:ascii="Arial" w:hAnsi="Arial" w:cs="Arial"/>
          <w:sz w:val="22"/>
          <w:szCs w:val="22"/>
        </w:rPr>
        <w:t xml:space="preserve"> </w:t>
      </w:r>
      <w:r w:rsidR="00465BA8" w:rsidRPr="00465BA8">
        <w:rPr>
          <w:rFonts w:ascii="Arial" w:hAnsi="Arial" w:cs="Arial"/>
          <w:strike/>
          <w:sz w:val="22"/>
          <w:szCs w:val="22"/>
        </w:rPr>
        <w:t>d</w:t>
      </w:r>
      <w:r w:rsidR="00465BA8" w:rsidRPr="00465BA8">
        <w:rPr>
          <w:rFonts w:ascii="Arial" w:hAnsi="Arial" w:cs="Arial"/>
          <w:sz w:val="22"/>
          <w:szCs w:val="22"/>
        </w:rPr>
        <w:t>e</w:t>
      </w:r>
      <w:r w:rsidRPr="00465BA8">
        <w:rPr>
          <w:rFonts w:ascii="Arial" w:hAnsi="Arial" w:cs="Arial"/>
          <w:sz w:val="22"/>
          <w:szCs w:val="22"/>
        </w:rPr>
        <w:t xml:space="preserve"> participation des communautés dans la conservation et la gestion des espèces inscrites aux annexes de la CMS, </w:t>
      </w:r>
      <w:r w:rsidR="00465BA8" w:rsidRPr="00465BA8">
        <w:rPr>
          <w:rFonts w:ascii="Arial" w:hAnsi="Arial" w:cs="Arial"/>
          <w:sz w:val="22"/>
          <w:szCs w:val="22"/>
          <w:u w:val="single"/>
        </w:rPr>
        <w:t>qui mettent l'accent sur les défis particuliers des espèces migratrices</w:t>
      </w:r>
      <w:r w:rsidR="00465BA8" w:rsidRPr="00465BA8">
        <w:rPr>
          <w:rFonts w:ascii="Arial" w:hAnsi="Arial" w:cs="Arial"/>
          <w:sz w:val="22"/>
          <w:szCs w:val="22"/>
        </w:rPr>
        <w:t xml:space="preserve"> </w:t>
      </w:r>
      <w:r w:rsidRPr="00465BA8">
        <w:rPr>
          <w:rFonts w:ascii="Arial" w:hAnsi="Arial" w:cs="Arial"/>
          <w:sz w:val="22"/>
          <w:szCs w:val="22"/>
        </w:rPr>
        <w:t xml:space="preserve">incluant des facteurs tels que les droits fonciers, les responsabilités de gestion, l’autorité sur la répartition des avantages par les communautés, </w:t>
      </w:r>
      <w:r w:rsidRPr="00465BA8">
        <w:rPr>
          <w:rFonts w:ascii="Arial" w:hAnsi="Arial" w:cs="Arial"/>
          <w:strike/>
          <w:sz w:val="22"/>
          <w:szCs w:val="22"/>
        </w:rPr>
        <w:t>ainsi que</w:t>
      </w:r>
      <w:r w:rsidRPr="00465BA8">
        <w:rPr>
          <w:rFonts w:ascii="Arial" w:hAnsi="Arial" w:cs="Arial"/>
          <w:sz w:val="22"/>
          <w:szCs w:val="22"/>
        </w:rPr>
        <w:t xml:space="preserve"> les valeurs spirituelles</w:t>
      </w:r>
      <w:r w:rsidR="00465BA8" w:rsidRPr="00465BA8">
        <w:rPr>
          <w:rFonts w:ascii="Arial" w:hAnsi="Arial" w:cs="Arial"/>
          <w:sz w:val="22"/>
          <w:szCs w:val="22"/>
        </w:rPr>
        <w:t xml:space="preserve"> </w:t>
      </w:r>
      <w:r w:rsidR="00465BA8" w:rsidRPr="00465BA8">
        <w:rPr>
          <w:rFonts w:ascii="Arial" w:hAnsi="Arial" w:cs="Arial"/>
          <w:sz w:val="22"/>
          <w:szCs w:val="22"/>
          <w:u w:val="single"/>
        </w:rPr>
        <w:t xml:space="preserve">et la coopération entre les communautés </w:t>
      </w:r>
      <w:r w:rsidR="00465BA8" w:rsidRPr="00465BA8">
        <w:rPr>
          <w:rFonts w:ascii="Arial" w:hAnsi="Arial" w:cs="Arial"/>
          <w:sz w:val="22"/>
          <w:szCs w:val="22"/>
          <w:u w:val="single"/>
        </w:rPr>
        <w:t>et établir un modèle type à l'intention des Parties et des organisations intergouvernementales et non gouvernementales pour la présentation de nouve</w:t>
      </w:r>
      <w:r w:rsidR="00465BA8" w:rsidRPr="00465BA8">
        <w:rPr>
          <w:rFonts w:ascii="Arial" w:hAnsi="Arial" w:cs="Arial"/>
          <w:sz w:val="22"/>
          <w:szCs w:val="22"/>
          <w:u w:val="single"/>
        </w:rPr>
        <w:t>aux cas</w:t>
      </w:r>
      <w:r w:rsidRPr="00465BA8">
        <w:rPr>
          <w:rFonts w:ascii="Arial" w:hAnsi="Arial" w:cs="Arial"/>
          <w:i/>
          <w:sz w:val="22"/>
          <w:szCs w:val="22"/>
        </w:rPr>
        <w:t>;</w:t>
      </w:r>
    </w:p>
    <w:p w:rsidR="000E2F81" w:rsidRPr="000E2F81" w:rsidRDefault="000E2F81" w:rsidP="00C91299">
      <w:pPr>
        <w:pStyle w:val="NormalWeb"/>
        <w:shd w:val="clear" w:color="auto" w:fill="FFFFFF"/>
        <w:spacing w:before="0" w:beforeAutospacing="0" w:after="0" w:afterAutospacing="0"/>
        <w:ind w:left="1985" w:hanging="567"/>
        <w:jc w:val="both"/>
        <w:rPr>
          <w:rFonts w:ascii="Arial" w:hAnsi="Arial" w:cs="Arial"/>
          <w:sz w:val="22"/>
          <w:szCs w:val="22"/>
        </w:rPr>
      </w:pPr>
    </w:p>
    <w:p w:rsidR="009C2A1C" w:rsidRDefault="009C2A1C" w:rsidP="00C91299">
      <w:pPr>
        <w:pStyle w:val="NormalWeb"/>
        <w:numPr>
          <w:ilvl w:val="0"/>
          <w:numId w:val="10"/>
        </w:numPr>
        <w:shd w:val="clear" w:color="auto" w:fill="FFFFFF"/>
        <w:spacing w:before="0" w:beforeAutospacing="0" w:after="0" w:afterAutospacing="0"/>
        <w:ind w:left="1985" w:hanging="567"/>
        <w:jc w:val="both"/>
        <w:rPr>
          <w:rFonts w:ascii="Arial" w:hAnsi="Arial" w:cs="Arial"/>
          <w:sz w:val="22"/>
          <w:szCs w:val="22"/>
          <w:u w:val="single"/>
        </w:rPr>
      </w:pPr>
      <w:r w:rsidRPr="000E2F81">
        <w:rPr>
          <w:rFonts w:ascii="Arial" w:hAnsi="Arial" w:cs="Arial"/>
          <w:sz w:val="22"/>
          <w:szCs w:val="22"/>
          <w:u w:val="single"/>
        </w:rPr>
        <w:t xml:space="preserve">analyse les études de cas mentionnées au paragraphe (a) et évalue les implications pour les actions futures pour aider les Parties à utiliser une gestion à base communautaire pour la conservation et la gestion des espèces inscrites à la CMS; </w:t>
      </w:r>
    </w:p>
    <w:p w:rsidR="00465BA8" w:rsidRPr="000E2F81" w:rsidRDefault="00465BA8" w:rsidP="00C91299">
      <w:pPr>
        <w:pStyle w:val="NormalWeb"/>
        <w:shd w:val="clear" w:color="auto" w:fill="FFFFFF"/>
        <w:spacing w:before="0" w:beforeAutospacing="0" w:after="0" w:afterAutospacing="0"/>
        <w:ind w:left="1985" w:hanging="567"/>
        <w:jc w:val="both"/>
        <w:rPr>
          <w:rFonts w:ascii="Arial" w:hAnsi="Arial" w:cs="Arial"/>
          <w:sz w:val="22"/>
          <w:szCs w:val="22"/>
          <w:u w:val="single"/>
        </w:rPr>
      </w:pPr>
    </w:p>
    <w:p w:rsidR="00465BA8" w:rsidRPr="00465BA8" w:rsidRDefault="00C91299" w:rsidP="00C91299">
      <w:pPr>
        <w:pStyle w:val="NormalWeb"/>
        <w:numPr>
          <w:ilvl w:val="0"/>
          <w:numId w:val="10"/>
        </w:numPr>
        <w:shd w:val="clear" w:color="auto" w:fill="FFFFFF"/>
        <w:spacing w:before="0" w:beforeAutospacing="0" w:after="0" w:afterAutospacing="0"/>
        <w:ind w:left="1985" w:hanging="567"/>
        <w:jc w:val="both"/>
        <w:rPr>
          <w:rFonts w:ascii="Arial" w:hAnsi="Arial" w:cs="Arial"/>
          <w:sz w:val="22"/>
          <w:szCs w:val="22"/>
          <w:u w:val="single"/>
        </w:rPr>
      </w:pPr>
      <w:r>
        <w:rPr>
          <w:rFonts w:ascii="Arial" w:hAnsi="Arial" w:cs="Arial"/>
          <w:sz w:val="22"/>
          <w:szCs w:val="22"/>
        </w:rPr>
        <w:t>s</w:t>
      </w:r>
      <w:r w:rsidR="00465BA8" w:rsidRPr="00465BA8">
        <w:rPr>
          <w:rFonts w:ascii="Arial" w:hAnsi="Arial" w:cs="Arial"/>
          <w:sz w:val="22"/>
          <w:szCs w:val="22"/>
        </w:rPr>
        <w:t xml:space="preserve">ur la base des résultats de l’étude </w:t>
      </w:r>
      <w:r w:rsidR="00465BA8" w:rsidRPr="00465BA8">
        <w:rPr>
          <w:rFonts w:ascii="Arial" w:hAnsi="Arial" w:cs="Arial"/>
          <w:strike/>
          <w:sz w:val="22"/>
          <w:szCs w:val="22"/>
        </w:rPr>
        <w:t>de cas sur les meilleures pratiques</w:t>
      </w:r>
      <w:r w:rsidR="00465BA8" w:rsidRPr="00465BA8">
        <w:rPr>
          <w:rFonts w:ascii="Arial" w:hAnsi="Arial" w:cs="Arial"/>
          <w:strike/>
          <w:sz w:val="22"/>
          <w:szCs w:val="22"/>
        </w:rPr>
        <w:t xml:space="preserve"> </w:t>
      </w:r>
      <w:r w:rsidR="00465BA8" w:rsidRPr="00465BA8">
        <w:rPr>
          <w:rFonts w:ascii="Arial" w:hAnsi="Arial" w:cs="Arial"/>
          <w:sz w:val="22"/>
          <w:szCs w:val="22"/>
          <w:u w:val="single"/>
        </w:rPr>
        <w:t>et l’analyse</w:t>
      </w:r>
      <w:r w:rsidR="00465BA8" w:rsidRPr="00465BA8">
        <w:rPr>
          <w:rFonts w:ascii="Arial" w:hAnsi="Arial" w:cs="Arial"/>
          <w:sz w:val="22"/>
          <w:szCs w:val="22"/>
        </w:rPr>
        <w:t xml:space="preserve"> et, dans la mesure du possible en coopération avec le Secrétariat de la Convention sur le commerce international des espèces de faune et de flore sauvages menacées d’extinction (CITES), facilite l’organisation d’ateliers et d’événements parallèles pour faire connaître les expériences en matière de moyens d’existence et d’échange des leçons apprises, en collaboration avec les Parties intéressées et les organisations internationales et régionales concernées</w:t>
      </w:r>
    </w:p>
    <w:p w:rsidR="00465BA8" w:rsidRPr="000E2F81" w:rsidRDefault="00465BA8" w:rsidP="00C91299">
      <w:pPr>
        <w:pStyle w:val="NormalWeb"/>
        <w:shd w:val="clear" w:color="auto" w:fill="FFFFFF"/>
        <w:spacing w:before="0" w:beforeAutospacing="0" w:after="0" w:afterAutospacing="0"/>
        <w:ind w:left="1985" w:hanging="567"/>
        <w:jc w:val="both"/>
        <w:rPr>
          <w:rFonts w:ascii="Arial" w:hAnsi="Arial" w:cs="Arial"/>
          <w:sz w:val="22"/>
          <w:szCs w:val="22"/>
          <w:u w:val="single"/>
        </w:rPr>
      </w:pPr>
    </w:p>
    <w:p w:rsidR="00C91299" w:rsidRDefault="009C2A1C" w:rsidP="00C91299">
      <w:pPr>
        <w:pStyle w:val="NormalWeb"/>
        <w:numPr>
          <w:ilvl w:val="0"/>
          <w:numId w:val="10"/>
        </w:numPr>
        <w:shd w:val="clear" w:color="auto" w:fill="FFFFFF"/>
        <w:spacing w:before="0" w:beforeAutospacing="0" w:after="0" w:afterAutospacing="0"/>
        <w:ind w:left="1985" w:hanging="567"/>
        <w:jc w:val="both"/>
        <w:rPr>
          <w:rFonts w:ascii="Arial" w:hAnsi="Arial" w:cs="Arial"/>
          <w:sz w:val="22"/>
          <w:szCs w:val="22"/>
          <w:u w:val="single"/>
        </w:rPr>
      </w:pPr>
      <w:r w:rsidRPr="000E2F81">
        <w:rPr>
          <w:rFonts w:ascii="Arial" w:hAnsi="Arial" w:cs="Arial"/>
          <w:sz w:val="22"/>
          <w:szCs w:val="22"/>
          <w:u w:val="single"/>
        </w:rPr>
        <w:t>soumet au Conseil scientifique, à la 5</w:t>
      </w:r>
      <w:r w:rsidRPr="000E2F81">
        <w:rPr>
          <w:rFonts w:ascii="Arial" w:hAnsi="Arial" w:cs="Arial"/>
          <w:sz w:val="22"/>
          <w:szCs w:val="22"/>
          <w:u w:val="single"/>
          <w:vertAlign w:val="superscript"/>
        </w:rPr>
        <w:t xml:space="preserve"> e</w:t>
      </w:r>
      <w:r w:rsidRPr="000E2F81">
        <w:rPr>
          <w:rFonts w:ascii="Arial" w:hAnsi="Arial" w:cs="Arial"/>
          <w:sz w:val="22"/>
          <w:szCs w:val="22"/>
          <w:u w:val="single"/>
        </w:rPr>
        <w:t xml:space="preserve"> ou 6</w:t>
      </w:r>
      <w:r w:rsidRPr="000E2F81">
        <w:rPr>
          <w:rFonts w:ascii="Arial" w:hAnsi="Arial" w:cs="Arial"/>
          <w:sz w:val="22"/>
          <w:szCs w:val="22"/>
          <w:u w:val="single"/>
          <w:vertAlign w:val="superscript"/>
        </w:rPr>
        <w:t xml:space="preserve"> e</w:t>
      </w:r>
      <w:r w:rsidRPr="000E2F81">
        <w:rPr>
          <w:rFonts w:ascii="Arial" w:hAnsi="Arial" w:cs="Arial"/>
          <w:sz w:val="22"/>
          <w:szCs w:val="22"/>
          <w:u w:val="single"/>
        </w:rPr>
        <w:t xml:space="preserve"> réunion du Comité de session, la compilation et l'analyse visées aux paragraphes (a) et (b).</w:t>
      </w:r>
    </w:p>
    <w:p w:rsidR="00C91299" w:rsidRDefault="00C91299" w:rsidP="00C91299">
      <w:pPr>
        <w:pStyle w:val="NormalWeb"/>
        <w:shd w:val="clear" w:color="auto" w:fill="FFFFFF"/>
        <w:spacing w:before="0" w:beforeAutospacing="0" w:after="0" w:afterAutospacing="0"/>
        <w:ind w:left="1985" w:hanging="567"/>
        <w:jc w:val="both"/>
        <w:rPr>
          <w:rFonts w:ascii="Arial" w:hAnsi="Arial" w:cs="Arial"/>
          <w:sz w:val="22"/>
          <w:szCs w:val="22"/>
          <w:u w:val="single"/>
        </w:rPr>
      </w:pPr>
    </w:p>
    <w:p w:rsidR="009C2A1C" w:rsidRPr="00C91299" w:rsidRDefault="00C91299" w:rsidP="00C91299">
      <w:pPr>
        <w:pStyle w:val="NormalWeb"/>
        <w:numPr>
          <w:ilvl w:val="0"/>
          <w:numId w:val="10"/>
        </w:numPr>
        <w:shd w:val="clear" w:color="auto" w:fill="FFFFFF"/>
        <w:spacing w:before="0" w:beforeAutospacing="0" w:after="0" w:afterAutospacing="0"/>
        <w:ind w:left="1985" w:hanging="567"/>
        <w:jc w:val="both"/>
        <w:rPr>
          <w:rFonts w:ascii="Arial" w:hAnsi="Arial" w:cs="Arial"/>
          <w:sz w:val="22"/>
          <w:szCs w:val="22"/>
          <w:u w:val="single"/>
        </w:rPr>
      </w:pPr>
      <w:r w:rsidRPr="00C91299">
        <w:rPr>
          <w:rFonts w:ascii="Arial" w:hAnsi="Arial" w:cs="Arial"/>
          <w:sz w:val="22"/>
          <w:szCs w:val="22"/>
        </w:rPr>
        <w:t>f</w:t>
      </w:r>
      <w:r w:rsidRPr="00C91299">
        <w:rPr>
          <w:rFonts w:ascii="Arial" w:hAnsi="Arial" w:cs="Arial"/>
          <w:sz w:val="22"/>
          <w:szCs w:val="22"/>
        </w:rPr>
        <w:t xml:space="preserve">ait rapport sur les progrès réalisés dans la mise en œuvre de cette Décision </w:t>
      </w:r>
      <w:r w:rsidRPr="00C91299">
        <w:rPr>
          <w:rFonts w:ascii="Arial" w:hAnsi="Arial" w:cs="Arial"/>
          <w:strike/>
          <w:sz w:val="22"/>
          <w:szCs w:val="22"/>
        </w:rPr>
        <w:t>au Comité permanent à ses 48e et 49e Réunions ainsi qu’</w:t>
      </w:r>
      <w:r w:rsidRPr="00C91299">
        <w:rPr>
          <w:rFonts w:ascii="Arial" w:hAnsi="Arial" w:cs="Arial"/>
          <w:sz w:val="22"/>
          <w:szCs w:val="22"/>
        </w:rPr>
        <w:t>à la Conférence des Parties à sa 1</w:t>
      </w:r>
      <w:r w:rsidRPr="00C91299">
        <w:rPr>
          <w:rFonts w:ascii="Arial" w:hAnsi="Arial" w:cs="Arial"/>
          <w:strike/>
          <w:sz w:val="22"/>
          <w:szCs w:val="22"/>
        </w:rPr>
        <w:t>3</w:t>
      </w:r>
      <w:r w:rsidRPr="00C91299">
        <w:rPr>
          <w:rFonts w:ascii="Arial" w:hAnsi="Arial" w:cs="Arial"/>
          <w:strike/>
          <w:sz w:val="22"/>
          <w:szCs w:val="22"/>
        </w:rPr>
        <w:t xml:space="preserve"> </w:t>
      </w:r>
      <w:r w:rsidRPr="00C91299">
        <w:rPr>
          <w:rFonts w:ascii="Arial" w:hAnsi="Arial" w:cs="Arial"/>
          <w:sz w:val="22"/>
          <w:szCs w:val="22"/>
          <w:u w:val="single"/>
        </w:rPr>
        <w:t>4</w:t>
      </w:r>
      <w:r w:rsidRPr="00C91299">
        <w:rPr>
          <w:rFonts w:ascii="Arial" w:hAnsi="Arial" w:cs="Arial"/>
          <w:sz w:val="22"/>
          <w:szCs w:val="22"/>
        </w:rPr>
        <w:t xml:space="preserve">e Session </w:t>
      </w:r>
    </w:p>
    <w:p w:rsidR="009C2A1C" w:rsidRPr="000E2F81" w:rsidRDefault="009C2A1C" w:rsidP="000E2F81">
      <w:pPr>
        <w:spacing w:after="0" w:line="240" w:lineRule="auto"/>
        <w:jc w:val="both"/>
        <w:rPr>
          <w:rFonts w:cs="Arial"/>
          <w:b/>
          <w:i/>
          <w:lang w:val="fr-FR"/>
        </w:rPr>
      </w:pPr>
    </w:p>
    <w:p w:rsidR="009C2A1C" w:rsidRPr="000E2F81" w:rsidRDefault="00C91299" w:rsidP="000E2F81">
      <w:pPr>
        <w:spacing w:after="0" w:line="240" w:lineRule="auto"/>
        <w:jc w:val="both"/>
        <w:rPr>
          <w:rFonts w:cs="Arial"/>
          <w:b/>
          <w:i/>
          <w:strike/>
          <w:lang w:val="fr-FR"/>
        </w:rPr>
      </w:pPr>
      <w:r>
        <w:rPr>
          <w:rFonts w:cs="Arial"/>
          <w:b/>
          <w:i/>
          <w:strike/>
          <w:lang w:val="fr-FR"/>
        </w:rPr>
        <w:t>Adressé aux</w:t>
      </w:r>
      <w:r w:rsidR="009C2A1C" w:rsidRPr="000E2F81">
        <w:rPr>
          <w:rFonts w:cs="Arial"/>
          <w:b/>
          <w:i/>
          <w:strike/>
          <w:lang w:val="fr-FR"/>
        </w:rPr>
        <w:t xml:space="preserve"> Parties </w:t>
      </w:r>
    </w:p>
    <w:p w:rsidR="009C2A1C" w:rsidRPr="000E2F81" w:rsidRDefault="009C2A1C" w:rsidP="000E2F81">
      <w:pPr>
        <w:spacing w:after="0" w:line="240" w:lineRule="auto"/>
        <w:jc w:val="both"/>
        <w:rPr>
          <w:rFonts w:cs="Arial"/>
          <w:b/>
          <w:i/>
          <w:lang w:val="fr-FR"/>
        </w:rPr>
      </w:pPr>
    </w:p>
    <w:p w:rsidR="009C2A1C" w:rsidRPr="00C91299" w:rsidRDefault="009C2A1C" w:rsidP="00C91299">
      <w:pPr>
        <w:spacing w:after="0" w:line="240" w:lineRule="auto"/>
        <w:ind w:left="1134" w:hanging="1134"/>
        <w:jc w:val="both"/>
        <w:rPr>
          <w:rFonts w:cs="Arial"/>
          <w:strike/>
          <w:color w:val="333333"/>
          <w:shd w:val="clear" w:color="auto" w:fill="FFFFFF"/>
          <w:lang w:val="fr-FR"/>
        </w:rPr>
      </w:pPr>
      <w:r w:rsidRPr="00C91299">
        <w:rPr>
          <w:rFonts w:cs="Arial"/>
          <w:strike/>
          <w:color w:val="333333"/>
          <w:shd w:val="clear" w:color="auto" w:fill="FFFFFF"/>
          <w:lang w:val="fr-FR"/>
        </w:rPr>
        <w:t>12.99</w:t>
      </w:r>
      <w:r w:rsidRPr="00C91299">
        <w:rPr>
          <w:rFonts w:cs="Arial"/>
          <w:strike/>
          <w:color w:val="333333"/>
          <w:u w:val="single"/>
          <w:shd w:val="clear" w:color="auto" w:fill="FFFFFF"/>
          <w:lang w:val="fr-FR"/>
        </w:rPr>
        <w:t xml:space="preserve"> </w:t>
      </w:r>
      <w:r w:rsidR="00C91299" w:rsidRPr="00C91299">
        <w:rPr>
          <w:rFonts w:cs="Arial"/>
          <w:strike/>
          <w:color w:val="333333"/>
          <w:u w:val="single"/>
          <w:shd w:val="clear" w:color="auto" w:fill="FFFFFF"/>
          <w:lang w:val="fr-FR"/>
        </w:rPr>
        <w:tab/>
      </w:r>
      <w:r w:rsidR="00C91299" w:rsidRPr="00C91299">
        <w:rPr>
          <w:strike/>
          <w:lang w:val="fr-FR"/>
        </w:rPr>
        <w:t>Les Parties sont invitées de coopérer avec le Secrétariat pour recueillir des informations sur les instruments, y compris les législations, les politiques et les plans d’action qui favorisent la participation des communautés à la conservation des espèces inscrites aux annexes de la CMS</w:t>
      </w:r>
      <w:r w:rsidRPr="00C91299">
        <w:rPr>
          <w:rFonts w:cs="Arial"/>
          <w:strike/>
          <w:lang w:val="fr-FR"/>
        </w:rPr>
        <w:t xml:space="preserve"> </w:t>
      </w:r>
    </w:p>
    <w:p w:rsidR="00C91299" w:rsidRDefault="00C91299" w:rsidP="000E2F81">
      <w:pPr>
        <w:spacing w:after="0" w:line="240" w:lineRule="auto"/>
        <w:jc w:val="both"/>
        <w:rPr>
          <w:rFonts w:cs="Arial"/>
          <w:b/>
          <w:i/>
          <w:lang w:val="fr-FR"/>
        </w:rPr>
      </w:pPr>
      <w:r>
        <w:rPr>
          <w:rFonts w:cs="Arial"/>
          <w:b/>
          <w:i/>
          <w:lang w:val="fr-FR"/>
        </w:rPr>
        <w:br w:type="page"/>
      </w:r>
    </w:p>
    <w:p w:rsidR="009C2A1C" w:rsidRPr="000E2F81" w:rsidRDefault="009C2A1C" w:rsidP="000E2F81">
      <w:pPr>
        <w:spacing w:after="0" w:line="240" w:lineRule="auto"/>
        <w:jc w:val="both"/>
        <w:rPr>
          <w:rFonts w:cs="Arial"/>
          <w:b/>
          <w:i/>
          <w:lang w:val="fr-FR"/>
        </w:rPr>
      </w:pPr>
    </w:p>
    <w:p w:rsidR="009C2A1C" w:rsidRPr="000E2F81" w:rsidRDefault="00C91299" w:rsidP="000E2F81">
      <w:pPr>
        <w:spacing w:after="0" w:line="240" w:lineRule="auto"/>
        <w:jc w:val="both"/>
        <w:rPr>
          <w:rFonts w:cs="Arial"/>
          <w:b/>
          <w:i/>
          <w:lang w:val="fr-FR"/>
        </w:rPr>
      </w:pPr>
      <w:r>
        <w:rPr>
          <w:rFonts w:cs="Arial"/>
          <w:b/>
          <w:i/>
          <w:lang w:val="fr-FR"/>
        </w:rPr>
        <w:t>Adressé aux</w:t>
      </w:r>
      <w:r w:rsidR="009C2A1C" w:rsidRPr="000E2F81">
        <w:rPr>
          <w:rFonts w:cs="Arial"/>
          <w:b/>
          <w:i/>
          <w:lang w:val="fr-FR"/>
        </w:rPr>
        <w:t xml:space="preserve"> Parties, organisations intergouvernementales et non gouvernementales </w:t>
      </w:r>
    </w:p>
    <w:p w:rsidR="009C2A1C" w:rsidRPr="000E2F81" w:rsidRDefault="009C2A1C" w:rsidP="000E2F81">
      <w:pPr>
        <w:spacing w:after="0" w:line="240" w:lineRule="auto"/>
        <w:jc w:val="both"/>
        <w:rPr>
          <w:rFonts w:cs="Arial"/>
          <w:lang w:val="fr-FR"/>
        </w:rPr>
      </w:pPr>
    </w:p>
    <w:p w:rsidR="009C2A1C" w:rsidRDefault="009C2A1C" w:rsidP="006037B5">
      <w:pPr>
        <w:pStyle w:val="NormalWeb"/>
        <w:spacing w:before="0" w:beforeAutospacing="0" w:after="0" w:afterAutospacing="0"/>
        <w:ind w:left="851" w:hanging="851"/>
        <w:jc w:val="both"/>
        <w:rPr>
          <w:rFonts w:ascii="Arial" w:hAnsi="Arial" w:cs="Arial"/>
          <w:strike/>
          <w:sz w:val="22"/>
          <w:szCs w:val="22"/>
          <w:lang w:eastAsia="en-GB"/>
        </w:rPr>
      </w:pPr>
      <w:r w:rsidRPr="000E2F81">
        <w:rPr>
          <w:rFonts w:ascii="Arial" w:hAnsi="Arial" w:cs="Arial"/>
          <w:strike/>
          <w:sz w:val="22"/>
          <w:szCs w:val="22"/>
        </w:rPr>
        <w:t>12.100</w:t>
      </w:r>
      <w:r w:rsidRPr="000E2F81">
        <w:rPr>
          <w:rFonts w:ascii="Arial" w:hAnsi="Arial" w:cs="Arial"/>
          <w:sz w:val="22"/>
          <w:szCs w:val="22"/>
        </w:rPr>
        <w:tab/>
      </w:r>
      <w:r w:rsidRPr="000E2F81">
        <w:rPr>
          <w:rFonts w:ascii="Cambria Math" w:hAnsi="Cambria Math" w:cs="Cambria Math"/>
          <w:sz w:val="22"/>
          <w:szCs w:val="22"/>
          <w:u w:val="single"/>
        </w:rPr>
        <w:t>⇥</w:t>
      </w:r>
      <w:r w:rsidRPr="000E2F81">
        <w:rPr>
          <w:rFonts w:ascii="Arial" w:hAnsi="Arial" w:cs="Arial"/>
          <w:sz w:val="22"/>
          <w:szCs w:val="22"/>
          <w:u w:val="single"/>
        </w:rPr>
        <w:t xml:space="preserve"> 13.BB </w:t>
      </w:r>
      <w:r w:rsidRPr="000E2F81">
        <w:rPr>
          <w:rFonts w:ascii="Arial" w:hAnsi="Arial" w:cs="Arial"/>
          <w:sz w:val="22"/>
          <w:szCs w:val="22"/>
        </w:rPr>
        <w:t xml:space="preserve">(12.100) </w:t>
      </w:r>
      <w:r w:rsidR="00C91299" w:rsidRPr="00C91299">
        <w:rPr>
          <w:rFonts w:ascii="Arial" w:hAnsi="Arial" w:cs="Arial"/>
          <w:sz w:val="22"/>
          <w:szCs w:val="22"/>
          <w:lang w:eastAsia="en-GB"/>
        </w:rPr>
        <w:t xml:space="preserve">Les Parties, les organisations intergouvernementales et non </w:t>
      </w:r>
      <w:r w:rsidR="006037B5">
        <w:rPr>
          <w:rFonts w:ascii="Arial" w:hAnsi="Arial" w:cs="Arial"/>
          <w:sz w:val="22"/>
          <w:szCs w:val="22"/>
          <w:lang w:eastAsia="en-GB"/>
        </w:rPr>
        <w:tab/>
      </w:r>
      <w:r w:rsidR="006037B5">
        <w:rPr>
          <w:rFonts w:ascii="Arial" w:hAnsi="Arial" w:cs="Arial"/>
          <w:sz w:val="22"/>
          <w:szCs w:val="22"/>
          <w:lang w:eastAsia="en-GB"/>
        </w:rPr>
        <w:tab/>
      </w:r>
      <w:r w:rsidR="00C91299" w:rsidRPr="00C91299">
        <w:rPr>
          <w:rFonts w:ascii="Arial" w:hAnsi="Arial" w:cs="Arial"/>
          <w:sz w:val="22"/>
          <w:szCs w:val="22"/>
          <w:lang w:eastAsia="en-GB"/>
        </w:rPr>
        <w:t xml:space="preserve">gouvernementales sont encouragées à </w:t>
      </w:r>
      <w:r w:rsidR="00C91299" w:rsidRPr="00C91299">
        <w:rPr>
          <w:rFonts w:ascii="Arial" w:hAnsi="Arial" w:cs="Arial"/>
          <w:strike/>
          <w:sz w:val="22"/>
          <w:szCs w:val="22"/>
          <w:lang w:eastAsia="en-GB"/>
        </w:rPr>
        <w:t xml:space="preserve">fournir un appui financier et technique au </w:t>
      </w:r>
      <w:r w:rsidR="006037B5">
        <w:rPr>
          <w:rFonts w:ascii="Arial" w:hAnsi="Arial" w:cs="Arial"/>
          <w:strike/>
          <w:sz w:val="22"/>
          <w:szCs w:val="22"/>
          <w:lang w:eastAsia="en-GB"/>
        </w:rPr>
        <w:tab/>
      </w:r>
      <w:r w:rsidR="00C91299" w:rsidRPr="00C91299">
        <w:rPr>
          <w:rFonts w:ascii="Arial" w:hAnsi="Arial" w:cs="Arial"/>
          <w:strike/>
          <w:sz w:val="22"/>
          <w:szCs w:val="22"/>
          <w:lang w:eastAsia="en-GB"/>
        </w:rPr>
        <w:t xml:space="preserve">Secrétariat pour l’élaboration de l’étude mentionnée aux alinéas a) et b) de la </w:t>
      </w:r>
      <w:r w:rsidR="006037B5">
        <w:rPr>
          <w:rFonts w:ascii="Arial" w:hAnsi="Arial" w:cs="Arial"/>
          <w:strike/>
          <w:sz w:val="22"/>
          <w:szCs w:val="22"/>
          <w:lang w:eastAsia="en-GB"/>
        </w:rPr>
        <w:tab/>
      </w:r>
      <w:r w:rsidR="00C91299" w:rsidRPr="00C91299">
        <w:rPr>
          <w:rFonts w:ascii="Arial" w:hAnsi="Arial" w:cs="Arial"/>
          <w:strike/>
          <w:sz w:val="22"/>
          <w:szCs w:val="22"/>
          <w:lang w:eastAsia="en-GB"/>
        </w:rPr>
        <w:t>Décision 12.98, et à la Décision 12.99.</w:t>
      </w:r>
    </w:p>
    <w:p w:rsidR="00C91299" w:rsidRPr="000E2F81" w:rsidRDefault="00C91299" w:rsidP="00C91299">
      <w:pPr>
        <w:pStyle w:val="NormalWeb"/>
        <w:spacing w:before="0" w:beforeAutospacing="0" w:after="0" w:afterAutospacing="0"/>
        <w:jc w:val="both"/>
        <w:rPr>
          <w:rFonts w:ascii="Arial" w:hAnsi="Arial" w:cs="Arial"/>
          <w:sz w:val="22"/>
          <w:szCs w:val="22"/>
          <w:lang w:eastAsia="en-GB"/>
        </w:rPr>
      </w:pPr>
    </w:p>
    <w:p w:rsidR="009C2A1C" w:rsidRPr="000E2F81" w:rsidRDefault="009C2A1C" w:rsidP="00C91299">
      <w:pPr>
        <w:widowControl w:val="0"/>
        <w:numPr>
          <w:ilvl w:val="0"/>
          <w:numId w:val="11"/>
        </w:numPr>
        <w:autoSpaceDE w:val="0"/>
        <w:autoSpaceDN w:val="0"/>
        <w:adjustRightInd w:val="0"/>
        <w:spacing w:after="0" w:line="240" w:lineRule="auto"/>
        <w:ind w:left="1134"/>
        <w:jc w:val="both"/>
        <w:rPr>
          <w:rFonts w:cs="Arial"/>
          <w:u w:val="single"/>
          <w:lang w:val="fr-FR"/>
        </w:rPr>
      </w:pPr>
      <w:r w:rsidRPr="000E2F81">
        <w:rPr>
          <w:rFonts w:cs="Arial"/>
          <w:u w:val="single"/>
          <w:lang w:val="fr-FR"/>
        </w:rPr>
        <w:t xml:space="preserve">soumettre au Secrétariat, à l'aide d'un modèle standard, des études de cas pertinentes sur la participation des communautés à la conservation et à la gestion des espèces inscrites à la CMS; </w:t>
      </w:r>
    </w:p>
    <w:p w:rsidR="009C2A1C" w:rsidRPr="000E2F81" w:rsidRDefault="009C2A1C" w:rsidP="00C91299">
      <w:pPr>
        <w:spacing w:after="0" w:line="240" w:lineRule="auto"/>
        <w:ind w:left="1134"/>
        <w:jc w:val="both"/>
        <w:rPr>
          <w:rFonts w:cs="Arial"/>
          <w:u w:val="single"/>
          <w:lang w:val="fr-FR"/>
        </w:rPr>
      </w:pPr>
    </w:p>
    <w:p w:rsidR="009C2A1C" w:rsidRPr="000E2F81" w:rsidRDefault="009C2A1C" w:rsidP="00C91299">
      <w:pPr>
        <w:widowControl w:val="0"/>
        <w:numPr>
          <w:ilvl w:val="0"/>
          <w:numId w:val="11"/>
        </w:numPr>
        <w:autoSpaceDE w:val="0"/>
        <w:autoSpaceDN w:val="0"/>
        <w:adjustRightInd w:val="0"/>
        <w:spacing w:after="0" w:line="240" w:lineRule="auto"/>
        <w:ind w:left="1134"/>
        <w:jc w:val="both"/>
        <w:rPr>
          <w:rFonts w:cs="Arial"/>
          <w:u w:val="single"/>
          <w:lang w:val="fr-FR"/>
        </w:rPr>
      </w:pPr>
      <w:r w:rsidRPr="000E2F81">
        <w:rPr>
          <w:rFonts w:cs="Arial"/>
          <w:u w:val="single"/>
          <w:lang w:val="fr-FR"/>
        </w:rPr>
        <w:t>soumettre des informations sur les instruments, y compris la législation, les politiques et les plans d'action qui encouragent la participation des communautés à la conservation des espèces inscrites à la CMS; et</w:t>
      </w:r>
    </w:p>
    <w:p w:rsidR="009C2A1C" w:rsidRPr="000E2F81" w:rsidRDefault="009C2A1C" w:rsidP="00C91299">
      <w:pPr>
        <w:spacing w:after="0" w:line="240" w:lineRule="auto"/>
        <w:ind w:left="1134"/>
        <w:jc w:val="both"/>
        <w:rPr>
          <w:rFonts w:cs="Arial"/>
          <w:lang w:val="fr-FR"/>
        </w:rPr>
      </w:pPr>
    </w:p>
    <w:p w:rsidR="009C2A1C" w:rsidRPr="000E2F81" w:rsidRDefault="009C2A1C" w:rsidP="00C91299">
      <w:pPr>
        <w:widowControl w:val="0"/>
        <w:numPr>
          <w:ilvl w:val="0"/>
          <w:numId w:val="11"/>
        </w:numPr>
        <w:autoSpaceDE w:val="0"/>
        <w:autoSpaceDN w:val="0"/>
        <w:adjustRightInd w:val="0"/>
        <w:spacing w:after="0" w:line="240" w:lineRule="auto"/>
        <w:ind w:left="1134"/>
        <w:jc w:val="both"/>
        <w:rPr>
          <w:rFonts w:cs="Arial"/>
          <w:u w:val="single"/>
          <w:lang w:val="fr-FR"/>
        </w:rPr>
      </w:pPr>
      <w:r w:rsidRPr="000E2F81">
        <w:rPr>
          <w:rFonts w:cs="Arial"/>
          <w:u w:val="single"/>
          <w:lang w:val="fr-FR"/>
        </w:rPr>
        <w:t xml:space="preserve">fournir un appui technique et financier au Secrétariat pour la préparation de l'étude visée dans la décision 13.AA Paragraphe (a). </w:t>
      </w:r>
    </w:p>
    <w:p w:rsidR="00C91299" w:rsidRDefault="00C91299" w:rsidP="00C91299">
      <w:pPr>
        <w:spacing w:after="0" w:line="240" w:lineRule="auto"/>
        <w:ind w:left="1134"/>
        <w:jc w:val="both"/>
        <w:rPr>
          <w:rFonts w:cs="Arial"/>
          <w:b/>
          <w:i/>
          <w:lang w:val="fr-FR"/>
        </w:rPr>
      </w:pPr>
    </w:p>
    <w:p w:rsidR="00C91299" w:rsidRPr="000E2F81" w:rsidRDefault="00C91299" w:rsidP="00C91299">
      <w:pPr>
        <w:spacing w:after="0" w:line="240" w:lineRule="auto"/>
        <w:ind w:left="1134"/>
        <w:jc w:val="both"/>
        <w:rPr>
          <w:rFonts w:cs="Arial"/>
          <w:b/>
          <w:i/>
          <w:lang w:val="fr-FR"/>
        </w:rPr>
      </w:pPr>
    </w:p>
    <w:p w:rsidR="009C2A1C" w:rsidRPr="000E2F81" w:rsidRDefault="00C91299" w:rsidP="00C91299">
      <w:pPr>
        <w:spacing w:after="0" w:line="240" w:lineRule="auto"/>
        <w:jc w:val="both"/>
        <w:rPr>
          <w:rFonts w:cs="Arial"/>
          <w:lang w:val="fr-FR"/>
        </w:rPr>
      </w:pPr>
      <w:r>
        <w:rPr>
          <w:rFonts w:cs="Arial"/>
          <w:b/>
          <w:i/>
          <w:lang w:val="fr-FR"/>
        </w:rPr>
        <w:t>Adressé</w:t>
      </w:r>
      <w:r w:rsidR="009C2A1C" w:rsidRPr="000E2F81">
        <w:rPr>
          <w:rFonts w:cs="Arial"/>
          <w:b/>
          <w:i/>
          <w:lang w:val="fr-FR"/>
        </w:rPr>
        <w:t xml:space="preserve"> Conseil scientifique </w:t>
      </w:r>
    </w:p>
    <w:p w:rsidR="009C2A1C" w:rsidRPr="000E2F81" w:rsidRDefault="009C2A1C" w:rsidP="00C91299">
      <w:pPr>
        <w:spacing w:after="0" w:line="240" w:lineRule="auto"/>
        <w:jc w:val="both"/>
        <w:rPr>
          <w:rFonts w:cs="Arial"/>
          <w:lang w:val="fr-FR"/>
        </w:rPr>
      </w:pPr>
    </w:p>
    <w:p w:rsidR="009C2A1C" w:rsidRPr="00C91299" w:rsidRDefault="009C2A1C" w:rsidP="00C91299">
      <w:pPr>
        <w:spacing w:after="0" w:line="240" w:lineRule="auto"/>
        <w:ind w:left="1134" w:hanging="1134"/>
        <w:jc w:val="both"/>
        <w:rPr>
          <w:rFonts w:cs="Arial"/>
          <w:lang w:val="fr-FR" w:eastAsia="en-GB"/>
        </w:rPr>
      </w:pPr>
      <w:r w:rsidRPr="000E2F81">
        <w:rPr>
          <w:rFonts w:cs="Arial"/>
          <w:lang w:val="fr-FR"/>
        </w:rPr>
        <w:t xml:space="preserve">13.CC </w:t>
      </w:r>
      <w:r w:rsidRPr="000E2F81">
        <w:rPr>
          <w:rFonts w:ascii="Cambria Math" w:hAnsi="Cambria Math" w:cs="Cambria Math"/>
          <w:lang w:val="fr-FR"/>
        </w:rPr>
        <w:t>⇥</w:t>
      </w:r>
      <w:r w:rsidR="00C91299">
        <w:rPr>
          <w:rFonts w:ascii="Cambria Math" w:hAnsi="Cambria Math" w:cs="Cambria Math"/>
          <w:lang w:val="fr-FR"/>
        </w:rPr>
        <w:tab/>
      </w:r>
      <w:r w:rsidRPr="000E2F81">
        <w:rPr>
          <w:rFonts w:cs="Arial"/>
          <w:u w:val="single"/>
          <w:lang w:val="fr-FR"/>
        </w:rPr>
        <w:t>Le Conseil scientifique examine et formul</w:t>
      </w:r>
      <w:r w:rsidR="00B81D3B">
        <w:rPr>
          <w:rFonts w:cs="Arial"/>
          <w:u w:val="single"/>
          <w:lang w:val="fr-FR"/>
        </w:rPr>
        <w:t>e</w:t>
      </w:r>
      <w:r w:rsidRPr="000E2F81">
        <w:rPr>
          <w:rFonts w:cs="Arial"/>
          <w:u w:val="single"/>
          <w:lang w:val="fr-FR"/>
        </w:rPr>
        <w:t xml:space="preserve"> des recommandations sur la </w:t>
      </w:r>
      <w:r w:rsidR="00C91299" w:rsidRPr="00C91299">
        <w:rPr>
          <w:rFonts w:cs="Arial"/>
          <w:u w:val="single"/>
          <w:lang w:val="fr-FR"/>
        </w:rPr>
        <w:t>compilation et</w:t>
      </w:r>
      <w:r w:rsidR="00C91299">
        <w:rPr>
          <w:rFonts w:cs="Arial"/>
          <w:u w:val="single"/>
          <w:lang w:val="fr-FR"/>
        </w:rPr>
        <w:t xml:space="preserve"> </w:t>
      </w:r>
      <w:r w:rsidR="00C91299" w:rsidRPr="00C91299">
        <w:rPr>
          <w:rFonts w:cs="Arial"/>
          <w:u w:val="single"/>
          <w:lang w:val="fr-FR"/>
        </w:rPr>
        <w:t>l'analyse visées à la décision 13.AA paragraphes (a) et (b).</w:t>
      </w:r>
    </w:p>
    <w:p w:rsidR="00293B2E" w:rsidRPr="000E2F81" w:rsidRDefault="00293B2E" w:rsidP="00C91299">
      <w:pPr>
        <w:pStyle w:val="FourthnumberingA"/>
        <w:numPr>
          <w:ilvl w:val="0"/>
          <w:numId w:val="0"/>
        </w:numPr>
        <w:rPr>
          <w:rFonts w:cs="Arial"/>
        </w:rPr>
      </w:pPr>
      <w:bookmarkStart w:id="0" w:name="_GoBack"/>
      <w:bookmarkEnd w:id="0"/>
    </w:p>
    <w:sectPr w:rsidR="00293B2E" w:rsidRPr="000E2F81" w:rsidSect="00D71837">
      <w:headerReference w:type="default" r:id="rId13"/>
      <w:head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0E2F81">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9C2A1C" w:rsidRPr="00347FF4" w:rsidRDefault="009C2A1C" w:rsidP="000E2F81">
      <w:pPr>
        <w:pStyle w:val="FootnoteText"/>
        <w:jc w:val="both"/>
        <w:rPr>
          <w:rFonts w:cs="Arial"/>
          <w:sz w:val="16"/>
          <w:szCs w:val="16"/>
          <w:highlight w:val="yellow"/>
        </w:rPr>
      </w:pPr>
      <w:r w:rsidRPr="00347FF4">
        <w:rPr>
          <w:rStyle w:val="FootnoteReference"/>
          <w:rFonts w:ascii="Arial" w:hAnsi="Arial" w:cs="Arial"/>
          <w:sz w:val="16"/>
          <w:szCs w:val="16"/>
        </w:rPr>
        <w:footnoteRef/>
      </w:r>
      <w:r w:rsidRPr="00347FF4">
        <w:rPr>
          <w:rFonts w:cs="Arial"/>
          <w:sz w:val="16"/>
          <w:szCs w:val="16"/>
        </w:rPr>
        <w:t xml:space="preserve"> Il convient de noter que la liste vise à illustrer une liste indicative des compilations existantes d’études de cas, plutôt que de fournir une liste exhaustive des études de cas disponibles. D'autres instances telles que l'Instance permanente des Nations Unies sur les questions autochtones, la Convention sur la diversité biologique et l'Organisation des Nations Unies pour l'alimentation et l'agriculture ont également produit toute une gamme de ressources. </w:t>
      </w:r>
    </w:p>
  </w:footnote>
  <w:footnote w:id="2">
    <w:p w:rsidR="009C2A1C" w:rsidRPr="00347FF4" w:rsidRDefault="009C2A1C" w:rsidP="000E2F81">
      <w:pPr>
        <w:pStyle w:val="FootnoteText"/>
        <w:jc w:val="both"/>
        <w:rPr>
          <w:rFonts w:cs="Arial"/>
          <w:sz w:val="16"/>
          <w:szCs w:val="16"/>
        </w:rPr>
      </w:pPr>
      <w:r w:rsidRPr="00347FF4">
        <w:rPr>
          <w:rStyle w:val="FootnoteReference"/>
          <w:rFonts w:ascii="Arial" w:hAnsi="Arial" w:cs="Arial"/>
          <w:sz w:val="16"/>
          <w:szCs w:val="16"/>
        </w:rPr>
        <w:footnoteRef/>
      </w:r>
      <w:r w:rsidRPr="00347FF4">
        <w:rPr>
          <w:rFonts w:cs="Arial"/>
          <w:sz w:val="16"/>
          <w:szCs w:val="16"/>
        </w:rPr>
        <w:t xml:space="preserve"> Gestion communautaire des ressources naturelles </w:t>
      </w:r>
    </w:p>
  </w:footnote>
  <w:footnote w:id="3">
    <w:p w:rsidR="009C2A1C" w:rsidRPr="00347FF4" w:rsidRDefault="009C2A1C" w:rsidP="000E2F81">
      <w:pPr>
        <w:pStyle w:val="FootnoteText"/>
        <w:jc w:val="both"/>
        <w:rPr>
          <w:rFonts w:cs="Arial"/>
          <w:sz w:val="16"/>
          <w:szCs w:val="16"/>
        </w:rPr>
      </w:pPr>
      <w:r w:rsidRPr="00347FF4">
        <w:rPr>
          <w:rStyle w:val="FootnoteReference"/>
          <w:rFonts w:ascii="Arial" w:hAnsi="Arial" w:cs="Arial"/>
          <w:sz w:val="16"/>
          <w:szCs w:val="16"/>
        </w:rPr>
        <w:footnoteRef/>
      </w:r>
      <w:r w:rsidRPr="00347FF4">
        <w:rPr>
          <w:rFonts w:cs="Arial"/>
          <w:sz w:val="16"/>
          <w:szCs w:val="16"/>
        </w:rPr>
        <w:t xml:space="preserve"> </w:t>
      </w:r>
      <w:proofErr w:type="spellStart"/>
      <w:r w:rsidRPr="00347FF4">
        <w:rPr>
          <w:rFonts w:cs="Arial"/>
          <w:sz w:val="16"/>
          <w:szCs w:val="16"/>
        </w:rPr>
        <w:t>Abensperg</w:t>
      </w:r>
      <w:proofErr w:type="spellEnd"/>
      <w:r w:rsidRPr="00347FF4">
        <w:rPr>
          <w:rFonts w:cs="Arial"/>
          <w:sz w:val="16"/>
          <w:szCs w:val="16"/>
        </w:rPr>
        <w:t xml:space="preserve">-Traun, M., Roe, D. et </w:t>
      </w:r>
      <w:proofErr w:type="spellStart"/>
      <w:r w:rsidRPr="00347FF4">
        <w:rPr>
          <w:rFonts w:cs="Arial"/>
          <w:sz w:val="16"/>
          <w:szCs w:val="16"/>
        </w:rPr>
        <w:t>O'Criodain</w:t>
      </w:r>
      <w:proofErr w:type="spellEnd"/>
      <w:r w:rsidRPr="00347FF4">
        <w:rPr>
          <w:rFonts w:cs="Arial"/>
          <w:sz w:val="16"/>
          <w:szCs w:val="16"/>
        </w:rPr>
        <w:t xml:space="preserve">, C., </w:t>
      </w:r>
      <w:proofErr w:type="spellStart"/>
      <w:r w:rsidRPr="00347FF4">
        <w:rPr>
          <w:rFonts w:cs="Arial"/>
          <w:sz w:val="16"/>
          <w:szCs w:val="16"/>
        </w:rPr>
        <w:t>éds</w:t>
      </w:r>
      <w:proofErr w:type="spellEnd"/>
      <w:r w:rsidRPr="00347FF4">
        <w:rPr>
          <w:rFonts w:cs="Arial"/>
          <w:sz w:val="16"/>
          <w:szCs w:val="16"/>
        </w:rPr>
        <w:t>. (2011). CITES et GCRN. Compte rendu d'un colloque international sur «L'importance de la GCRN pour la conservation et l'utilisation durable des espèces inscrites à la CITES dans les pays exportateurs», Vienne, Autriche, 18-20 mai 2011. Gland, Suisse : UICN et Londres, Royaume-Uni : IIED. 172 pp.</w:t>
      </w:r>
    </w:p>
  </w:footnote>
  <w:footnote w:id="4">
    <w:p w:rsidR="009C2A1C" w:rsidRPr="00347FF4" w:rsidRDefault="009C2A1C" w:rsidP="000E2F81">
      <w:pPr>
        <w:pStyle w:val="FootnoteText"/>
        <w:jc w:val="both"/>
        <w:rPr>
          <w:rFonts w:cs="Arial"/>
          <w:sz w:val="16"/>
          <w:szCs w:val="16"/>
        </w:rPr>
      </w:pPr>
      <w:r w:rsidRPr="00347FF4">
        <w:rPr>
          <w:rStyle w:val="FootnoteReference"/>
          <w:rFonts w:ascii="Arial" w:hAnsi="Arial" w:cs="Arial"/>
          <w:sz w:val="16"/>
          <w:szCs w:val="16"/>
        </w:rPr>
        <w:footnoteRef/>
      </w:r>
      <w:r w:rsidRPr="00347FF4">
        <w:rPr>
          <w:rFonts w:cs="Arial"/>
          <w:sz w:val="16"/>
          <w:szCs w:val="16"/>
        </w:rPr>
        <w:t xml:space="preserve"> Manuel de l'OEA et de la CITES (2015) sur la CITES et les moyens de subsistance, parties I et II</w:t>
      </w:r>
    </w:p>
  </w:footnote>
  <w:footnote w:id="5">
    <w:p w:rsidR="009C2A1C" w:rsidRPr="00347FF4" w:rsidRDefault="009C2A1C" w:rsidP="000E2F81">
      <w:pPr>
        <w:spacing w:after="0" w:line="240" w:lineRule="auto"/>
        <w:jc w:val="both"/>
        <w:rPr>
          <w:rFonts w:cs="Arial"/>
          <w:sz w:val="16"/>
          <w:szCs w:val="16"/>
          <w:lang w:val="fr-FR"/>
        </w:rPr>
      </w:pPr>
      <w:r w:rsidRPr="00347FF4">
        <w:rPr>
          <w:rFonts w:cs="Arial"/>
          <w:sz w:val="16"/>
          <w:szCs w:val="16"/>
        </w:rPr>
        <w:footnoteRef/>
      </w:r>
      <w:r w:rsidRPr="00347FF4">
        <w:rPr>
          <w:rFonts w:cs="Arial"/>
          <w:sz w:val="16"/>
          <w:szCs w:val="16"/>
          <w:lang w:val="fr-FR"/>
        </w:rPr>
        <w:t xml:space="preserve"> https://communitiesforwildlife.iied.org/</w:t>
      </w:r>
    </w:p>
  </w:footnote>
  <w:footnote w:id="6">
    <w:p w:rsidR="009C2A1C" w:rsidRPr="00347FF4" w:rsidRDefault="009C2A1C" w:rsidP="000E2F81">
      <w:pPr>
        <w:pStyle w:val="FootnoteText"/>
        <w:jc w:val="both"/>
        <w:rPr>
          <w:rFonts w:cs="Arial"/>
          <w:sz w:val="16"/>
          <w:szCs w:val="16"/>
        </w:rPr>
      </w:pPr>
      <w:r w:rsidRPr="00347FF4">
        <w:rPr>
          <w:rStyle w:val="FootnoteReference"/>
          <w:rFonts w:ascii="Arial" w:hAnsi="Arial" w:cs="Arial"/>
          <w:sz w:val="16"/>
          <w:szCs w:val="16"/>
        </w:rPr>
        <w:footnoteRef/>
      </w:r>
      <w:r w:rsidRPr="00347FF4">
        <w:rPr>
          <w:rFonts w:cs="Arial"/>
          <w:sz w:val="16"/>
          <w:szCs w:val="16"/>
        </w:rPr>
        <w:t xml:space="preserve"> https://www.peoplenotpoaching.org/</w:t>
      </w:r>
    </w:p>
  </w:footnote>
  <w:footnote w:id="7">
    <w:p w:rsidR="009C2A1C" w:rsidRPr="00347FF4" w:rsidRDefault="009C2A1C" w:rsidP="000E2F81">
      <w:pPr>
        <w:pStyle w:val="FootnoteText"/>
        <w:jc w:val="both"/>
        <w:rPr>
          <w:rFonts w:cs="Arial"/>
          <w:sz w:val="16"/>
          <w:szCs w:val="16"/>
        </w:rPr>
      </w:pPr>
      <w:r w:rsidRPr="00347FF4">
        <w:rPr>
          <w:rStyle w:val="FootnoteReference"/>
          <w:rFonts w:ascii="Arial" w:hAnsi="Arial" w:cs="Arial"/>
          <w:sz w:val="16"/>
          <w:szCs w:val="16"/>
        </w:rPr>
        <w:footnoteRef/>
      </w:r>
      <w:r w:rsidRPr="00347FF4">
        <w:rPr>
          <w:rFonts w:cs="Arial"/>
          <w:sz w:val="16"/>
          <w:szCs w:val="16"/>
        </w:rPr>
        <w:t xml:space="preserve"> Voir </w:t>
      </w:r>
      <w:hyperlink r:id="rId1" w:history="1">
        <w:r w:rsidRPr="00347FF4">
          <w:rPr>
            <w:rStyle w:val="Hyperlink"/>
            <w:rFonts w:ascii="Arial" w:hAnsi="Arial" w:cs="Arial"/>
            <w:sz w:val="16"/>
            <w:szCs w:val="16"/>
          </w:rPr>
          <w:t>https://cites.org/eng/prog/livelihoods</w:t>
        </w:r>
      </w:hyperlink>
      <w:r w:rsidRPr="00347FF4">
        <w:rPr>
          <w:rFonts w:cs="Arial"/>
          <w:sz w:val="16"/>
          <w:szCs w:val="16"/>
        </w:rPr>
        <w:t xml:space="preserve">  </w:t>
      </w:r>
    </w:p>
  </w:footnote>
  <w:footnote w:id="8">
    <w:p w:rsidR="009C2A1C" w:rsidRPr="00347FF4" w:rsidRDefault="009C2A1C" w:rsidP="000E2F81">
      <w:pPr>
        <w:pStyle w:val="FootnoteText"/>
        <w:jc w:val="both"/>
        <w:rPr>
          <w:rFonts w:cs="Arial"/>
          <w:sz w:val="16"/>
          <w:szCs w:val="16"/>
        </w:rPr>
      </w:pPr>
      <w:r w:rsidRPr="00347FF4">
        <w:rPr>
          <w:rStyle w:val="FootnoteReference"/>
          <w:rFonts w:ascii="Arial" w:hAnsi="Arial" w:cs="Arial"/>
          <w:sz w:val="16"/>
          <w:szCs w:val="16"/>
        </w:rPr>
        <w:footnoteRef/>
      </w:r>
      <w:r w:rsidRPr="00347FF4">
        <w:rPr>
          <w:rFonts w:cs="Arial"/>
          <w:sz w:val="16"/>
          <w:szCs w:val="16"/>
        </w:rPr>
        <w:t xml:space="preserve"> </w:t>
      </w:r>
      <w:proofErr w:type="spellStart"/>
      <w:r w:rsidRPr="00347FF4">
        <w:rPr>
          <w:rFonts w:cs="Arial"/>
          <w:sz w:val="16"/>
          <w:szCs w:val="16"/>
        </w:rPr>
        <w:t>Cooney</w:t>
      </w:r>
      <w:proofErr w:type="spellEnd"/>
      <w:r w:rsidRPr="00347FF4">
        <w:rPr>
          <w:rFonts w:cs="Arial"/>
          <w:sz w:val="16"/>
          <w:szCs w:val="16"/>
        </w:rPr>
        <w:t>, R., D. Roe, H. Dublin et Booker, F. (2018) La vie sauvage, des moyens de subsistance sauvages : Impliquer les communautés</w:t>
      </w:r>
    </w:p>
    <w:p w:rsidR="009C2A1C" w:rsidRPr="00347FF4" w:rsidRDefault="009C2A1C" w:rsidP="000E2F81">
      <w:pPr>
        <w:pStyle w:val="FootnoteText"/>
        <w:jc w:val="both"/>
        <w:rPr>
          <w:rFonts w:cs="Arial"/>
          <w:sz w:val="16"/>
          <w:szCs w:val="16"/>
        </w:rPr>
      </w:pPr>
      <w:r w:rsidRPr="00347FF4">
        <w:rPr>
          <w:rFonts w:cs="Arial"/>
          <w:sz w:val="16"/>
          <w:szCs w:val="16"/>
        </w:rPr>
        <w:t>dans la gestion durable de la faune sauvage et la lutte contre le commerce illégal de la faune sauvage. Programme des Nations Unies pour l'Environnement, Nairobi, Kenya</w:t>
      </w:r>
    </w:p>
  </w:footnote>
  <w:footnote w:id="9">
    <w:p w:rsidR="009C2A1C" w:rsidRPr="00347FF4" w:rsidRDefault="009C2A1C" w:rsidP="000E2F81">
      <w:pPr>
        <w:pStyle w:val="FootnoteText"/>
        <w:jc w:val="both"/>
        <w:rPr>
          <w:rFonts w:cs="Arial"/>
          <w:sz w:val="16"/>
          <w:szCs w:val="16"/>
        </w:rPr>
      </w:pPr>
      <w:r w:rsidRPr="00347FF4">
        <w:rPr>
          <w:rStyle w:val="FootnoteReference"/>
          <w:rFonts w:ascii="Arial" w:hAnsi="Arial" w:cs="Arial"/>
          <w:sz w:val="16"/>
          <w:szCs w:val="16"/>
        </w:rPr>
        <w:footnoteRef/>
      </w:r>
      <w:r w:rsidRPr="00347FF4">
        <w:rPr>
          <w:rFonts w:cs="Arial"/>
          <w:sz w:val="16"/>
          <w:szCs w:val="16"/>
        </w:rPr>
        <w:t xml:space="preserve"> Décision 18.XX CITES et moyens de subsistance (à remplir dès que le nombre est fixé)</w:t>
      </w:r>
    </w:p>
  </w:footnote>
  <w:footnote w:id="10">
    <w:p w:rsidR="009C2A1C" w:rsidRPr="000E2F81" w:rsidRDefault="009C2A1C" w:rsidP="000E2F81">
      <w:pPr>
        <w:pStyle w:val="FootnoteText"/>
        <w:jc w:val="both"/>
        <w:rPr>
          <w:rFonts w:cs="Arial"/>
          <w:sz w:val="16"/>
          <w:szCs w:val="16"/>
        </w:rPr>
      </w:pPr>
      <w:r w:rsidRPr="000E2F81">
        <w:rPr>
          <w:rStyle w:val="FootnoteReference"/>
          <w:rFonts w:ascii="Arial" w:hAnsi="Arial" w:cs="Arial"/>
          <w:sz w:val="16"/>
          <w:szCs w:val="16"/>
        </w:rPr>
        <w:footnoteRef/>
      </w:r>
      <w:r w:rsidRPr="000E2F81">
        <w:rPr>
          <w:rFonts w:cs="Arial"/>
          <w:sz w:val="16"/>
          <w:szCs w:val="16"/>
        </w:rPr>
        <w:t xml:space="preserve"> UNEP/CMS/Inf.10.24</w:t>
      </w:r>
    </w:p>
  </w:footnote>
  <w:footnote w:id="11">
    <w:p w:rsidR="009C2A1C" w:rsidRPr="000E2F81" w:rsidRDefault="009C2A1C" w:rsidP="000E2F81">
      <w:pPr>
        <w:pStyle w:val="FootnoteText"/>
        <w:jc w:val="both"/>
        <w:rPr>
          <w:rFonts w:cs="Arial"/>
          <w:sz w:val="16"/>
          <w:szCs w:val="16"/>
        </w:rPr>
      </w:pPr>
      <w:r w:rsidRPr="000E2F81">
        <w:rPr>
          <w:rStyle w:val="FootnoteReference"/>
          <w:rFonts w:ascii="Arial" w:hAnsi="Arial" w:cs="Arial"/>
          <w:sz w:val="16"/>
          <w:szCs w:val="16"/>
        </w:rPr>
        <w:footnoteRef/>
      </w:r>
      <w:r w:rsidRPr="000E2F81">
        <w:rPr>
          <w:rFonts w:cs="Arial"/>
          <w:sz w:val="16"/>
          <w:szCs w:val="16"/>
        </w:rPr>
        <w:t xml:space="preserve"> </w:t>
      </w:r>
      <w:proofErr w:type="spellStart"/>
      <w:r w:rsidRPr="000E2F81">
        <w:rPr>
          <w:rFonts w:cs="Arial"/>
          <w:sz w:val="16"/>
          <w:szCs w:val="16"/>
        </w:rPr>
        <w:t>Kühl</w:t>
      </w:r>
      <w:proofErr w:type="spellEnd"/>
      <w:r w:rsidRPr="000E2F81">
        <w:rPr>
          <w:rFonts w:cs="Arial"/>
          <w:sz w:val="16"/>
          <w:szCs w:val="16"/>
        </w:rPr>
        <w:t>, A. et Mrema, E. 2011. Créer des incitations à la gestion communautaire des espèces</w:t>
      </w:r>
    </w:p>
    <w:p w:rsidR="009C2A1C" w:rsidRPr="000E2F81" w:rsidRDefault="009C2A1C" w:rsidP="000E2F81">
      <w:pPr>
        <w:pStyle w:val="FootnoteText"/>
        <w:jc w:val="both"/>
        <w:rPr>
          <w:rFonts w:cs="Arial"/>
          <w:sz w:val="16"/>
          <w:szCs w:val="16"/>
        </w:rPr>
      </w:pPr>
      <w:r w:rsidRPr="000E2F81">
        <w:rPr>
          <w:rFonts w:cs="Arial"/>
          <w:sz w:val="16"/>
          <w:szCs w:val="16"/>
        </w:rPr>
        <w:t xml:space="preserve">migratrices : l'étude de cas de l'antilope </w:t>
      </w:r>
      <w:proofErr w:type="spellStart"/>
      <w:r w:rsidRPr="000E2F81">
        <w:rPr>
          <w:rFonts w:cs="Arial"/>
          <w:sz w:val="16"/>
          <w:szCs w:val="16"/>
        </w:rPr>
        <w:t>saiga</w:t>
      </w:r>
      <w:proofErr w:type="spellEnd"/>
      <w:r w:rsidRPr="000E2F81">
        <w:rPr>
          <w:rFonts w:cs="Arial"/>
          <w:sz w:val="16"/>
          <w:szCs w:val="16"/>
        </w:rPr>
        <w:t xml:space="preserve"> et la perspective politique plus large. Dans : </w:t>
      </w:r>
      <w:proofErr w:type="spellStart"/>
      <w:r w:rsidRPr="000E2F81">
        <w:rPr>
          <w:rFonts w:cs="Arial"/>
          <w:sz w:val="16"/>
          <w:szCs w:val="16"/>
        </w:rPr>
        <w:t>Abenspergtraun</w:t>
      </w:r>
      <w:proofErr w:type="spellEnd"/>
      <w:r w:rsidRPr="000E2F81">
        <w:rPr>
          <w:rFonts w:cs="Arial"/>
          <w:sz w:val="16"/>
          <w:szCs w:val="16"/>
        </w:rPr>
        <w:t>,</w:t>
      </w:r>
    </w:p>
    <w:p w:rsidR="009C2A1C" w:rsidRPr="000E2F81" w:rsidRDefault="009C2A1C" w:rsidP="000E2F81">
      <w:pPr>
        <w:pStyle w:val="FootnoteText"/>
        <w:jc w:val="both"/>
        <w:rPr>
          <w:rFonts w:cs="Arial"/>
          <w:sz w:val="16"/>
          <w:szCs w:val="16"/>
        </w:rPr>
      </w:pPr>
      <w:r w:rsidRPr="000E2F81">
        <w:rPr>
          <w:rFonts w:cs="Arial"/>
          <w:sz w:val="16"/>
          <w:szCs w:val="16"/>
        </w:rPr>
        <w:t xml:space="preserve">M., Roe, D. &amp; </w:t>
      </w:r>
      <w:proofErr w:type="spellStart"/>
      <w:r w:rsidRPr="000E2F81">
        <w:rPr>
          <w:rFonts w:cs="Arial"/>
          <w:sz w:val="16"/>
          <w:szCs w:val="16"/>
        </w:rPr>
        <w:t>O'Criodan</w:t>
      </w:r>
      <w:proofErr w:type="spellEnd"/>
      <w:r w:rsidRPr="000E2F81">
        <w:rPr>
          <w:rFonts w:cs="Arial"/>
          <w:sz w:val="16"/>
          <w:szCs w:val="16"/>
        </w:rPr>
        <w:t>, C. (éd.) CITES et GCRN : Actes d’un colloque international sur « L’importance de la GCRN pour la conservation et l’utilisation durable des espèces inscrites aux annexes de la CITES</w:t>
      </w:r>
    </w:p>
    <w:p w:rsidR="009C2A1C" w:rsidRPr="000E2F81" w:rsidRDefault="009C2A1C" w:rsidP="000E2F81">
      <w:pPr>
        <w:pStyle w:val="FootnoteText"/>
        <w:jc w:val="both"/>
        <w:rPr>
          <w:rFonts w:cs="Arial"/>
          <w:sz w:val="16"/>
          <w:szCs w:val="16"/>
        </w:rPr>
      </w:pPr>
      <w:r w:rsidRPr="000E2F81">
        <w:rPr>
          <w:rFonts w:cs="Arial"/>
          <w:sz w:val="16"/>
          <w:szCs w:val="16"/>
        </w:rPr>
        <w:t>espèces dans les pays exportateurs. » Document occasionnel de la Commission de la survie des espèces de l’UICN n° 48.</w:t>
      </w:r>
    </w:p>
    <w:p w:rsidR="009C2A1C" w:rsidRPr="000E2F81" w:rsidRDefault="009C2A1C" w:rsidP="000E2F81">
      <w:pPr>
        <w:pStyle w:val="FootnoteText"/>
        <w:jc w:val="both"/>
        <w:rPr>
          <w:rFonts w:cs="Arial"/>
          <w:sz w:val="16"/>
          <w:szCs w:val="16"/>
        </w:rPr>
      </w:pPr>
      <w:r w:rsidRPr="000E2F81">
        <w:rPr>
          <w:rFonts w:cs="Arial"/>
          <w:sz w:val="16"/>
          <w:szCs w:val="16"/>
        </w:rPr>
        <w:t>UICN, Gland, Suisse</w:t>
      </w:r>
    </w:p>
  </w:footnote>
  <w:footnote w:id="12">
    <w:p w:rsidR="009C2A1C" w:rsidRPr="000E2F81" w:rsidRDefault="009C2A1C" w:rsidP="000E2F81">
      <w:pPr>
        <w:pStyle w:val="FootnoteText"/>
        <w:jc w:val="both"/>
        <w:rPr>
          <w:rFonts w:cs="Arial"/>
          <w:sz w:val="16"/>
          <w:szCs w:val="16"/>
        </w:rPr>
      </w:pPr>
      <w:r w:rsidRPr="000E2F81">
        <w:rPr>
          <w:rStyle w:val="FootnoteReference"/>
          <w:rFonts w:ascii="Arial" w:hAnsi="Arial" w:cs="Arial"/>
          <w:sz w:val="16"/>
          <w:szCs w:val="16"/>
        </w:rPr>
        <w:footnoteRef/>
      </w:r>
      <w:r w:rsidRPr="000E2F81">
        <w:rPr>
          <w:rFonts w:cs="Arial"/>
          <w:sz w:val="16"/>
          <w:szCs w:val="16"/>
        </w:rPr>
        <w:t xml:space="preserve"> Cible 14 : Les connaissances, innovations et pratiques traditionnelles des communautés autochtones et locales utiles à la conservation et à l'utilisation durable des espèces migratrices, de leurs habitats et de leurs systèmes de migration, ainsi qu'à leur utilisation coutumière et durable des ressources biologiques, sont respectées, conformément à la législation nationale et aux obligations internationales y afférentes, avec la participation pleine et entière des communautés autochtones et locales, contribuant ainsi au statut de conservation favorable des espèces migratrices, à la connectivité écologique et à la résilience de leurs habitats</w:t>
      </w:r>
    </w:p>
  </w:footnote>
  <w:footnote w:id="13">
    <w:p w:rsidR="009C2A1C" w:rsidRPr="000E2F81" w:rsidRDefault="009C2A1C" w:rsidP="000E2F81">
      <w:pPr>
        <w:pStyle w:val="FootnoteText"/>
        <w:jc w:val="both"/>
        <w:rPr>
          <w:rFonts w:cs="Arial"/>
          <w:sz w:val="16"/>
          <w:szCs w:val="16"/>
        </w:rPr>
      </w:pPr>
      <w:r w:rsidRPr="000E2F81">
        <w:rPr>
          <w:rStyle w:val="FootnoteReference"/>
          <w:rFonts w:ascii="Arial" w:hAnsi="Arial" w:cs="Arial"/>
          <w:sz w:val="16"/>
          <w:szCs w:val="16"/>
        </w:rPr>
        <w:footnoteRef/>
      </w:r>
      <w:r w:rsidRPr="000E2F81">
        <w:rPr>
          <w:rFonts w:cs="Arial"/>
          <w:sz w:val="16"/>
          <w:szCs w:val="16"/>
        </w:rPr>
        <w:t xml:space="preserve"> </w:t>
      </w:r>
      <w:proofErr w:type="spellStart"/>
      <w:r w:rsidRPr="000E2F81">
        <w:rPr>
          <w:rFonts w:cs="Arial"/>
          <w:sz w:val="16"/>
          <w:szCs w:val="16"/>
        </w:rPr>
        <w:t>Cooney</w:t>
      </w:r>
      <w:proofErr w:type="spellEnd"/>
      <w:r w:rsidRPr="000E2F81">
        <w:rPr>
          <w:rFonts w:cs="Arial"/>
          <w:sz w:val="16"/>
          <w:szCs w:val="16"/>
        </w:rPr>
        <w:t>, R., D. Roe, H. Dublin et Booker, F. (2018) La vie sauvage, des moyens de subsistance sauvages : Impliquer les communautés</w:t>
      </w:r>
    </w:p>
    <w:p w:rsidR="009C2A1C" w:rsidRPr="000E2F81" w:rsidRDefault="009C2A1C" w:rsidP="000E2F81">
      <w:pPr>
        <w:pStyle w:val="FootnoteText"/>
        <w:jc w:val="both"/>
        <w:rPr>
          <w:rFonts w:cs="Arial"/>
          <w:sz w:val="16"/>
          <w:szCs w:val="16"/>
        </w:rPr>
      </w:pPr>
      <w:r w:rsidRPr="000E2F81">
        <w:rPr>
          <w:rFonts w:cs="Arial"/>
          <w:sz w:val="16"/>
          <w:szCs w:val="16"/>
        </w:rPr>
        <w:t>dans la gestion durable de la faune sauvage et la lutte contre le commerce illégal de la faune sauvage. Programme des Nations Unies pour l'Environnement, Nairobi, Kenya</w:t>
      </w:r>
    </w:p>
  </w:footnote>
  <w:footnote w:id="14">
    <w:p w:rsidR="009C2A1C" w:rsidRPr="000E2F81" w:rsidRDefault="009C2A1C" w:rsidP="009C2A1C">
      <w:pPr>
        <w:pStyle w:val="FootnoteText"/>
        <w:rPr>
          <w:rFonts w:cs="Arial"/>
          <w:sz w:val="16"/>
          <w:szCs w:val="16"/>
        </w:rPr>
      </w:pPr>
      <w:r w:rsidRPr="000E2F81">
        <w:rPr>
          <w:rStyle w:val="FootnoteReference"/>
          <w:rFonts w:ascii="Arial" w:hAnsi="Arial" w:cs="Arial"/>
          <w:sz w:val="16"/>
          <w:szCs w:val="16"/>
        </w:rPr>
        <w:footnoteRef/>
      </w:r>
      <w:r w:rsidRPr="000E2F81">
        <w:rPr>
          <w:rFonts w:cs="Arial"/>
          <w:sz w:val="16"/>
          <w:szCs w:val="16"/>
        </w:rPr>
        <w:t xml:space="preserve"> Voir paragraphe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9C2A1C"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9C2A1C" w:rsidRPr="009C2A1C">
      <w:rPr>
        <w:rFonts w:eastAsia="Arial" w:cs="Arial"/>
        <w:i/>
        <w:sz w:val="18"/>
        <w:szCs w:val="18"/>
        <w:lang w:val="fr-FR"/>
      </w:rPr>
      <w:t>26.4.6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347FF4" w:rsidRPr="00347FF4">
      <w:rPr>
        <w:rFonts w:eastAsia="Arial" w:cs="Arial"/>
        <w:i/>
        <w:sz w:val="18"/>
        <w:szCs w:val="18"/>
        <w:lang w:val="fr-FR"/>
      </w:rPr>
      <w:t>26.4.6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99" w:rsidRPr="00EC2A58" w:rsidRDefault="00C91299"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Pr="00347FF4">
      <w:rPr>
        <w:rFonts w:eastAsia="Arial" w:cs="Arial"/>
        <w:i/>
        <w:sz w:val="18"/>
        <w:szCs w:val="18"/>
        <w:lang w:val="fr-FR"/>
      </w:rPr>
      <w:t>26.4.6</w:t>
    </w:r>
    <w:r>
      <w:rPr>
        <w:rFonts w:eastAsia="Arial" w:cs="Arial"/>
        <w:i/>
        <w:sz w:val="18"/>
        <w:szCs w:val="18"/>
        <w:lang w:val="fr-FR"/>
      </w:rPr>
      <w:t>/Annexe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81" w:rsidRPr="000E2F81" w:rsidRDefault="000E2F81" w:rsidP="000E2F81">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0E2F81">
      <w:rPr>
        <w:rFonts w:eastAsia="Arial" w:cs="Arial"/>
        <w:i/>
        <w:sz w:val="18"/>
        <w:szCs w:val="18"/>
        <w:lang w:val="en-GB"/>
      </w:rPr>
      <w:t>UNEP/CMS/COP13/Doc.26.4.6</w:t>
    </w:r>
    <w:r w:rsidRPr="000E2F81">
      <w:rPr>
        <w:rFonts w:eastAsia="Arial" w:cs="Arial"/>
        <w:i/>
        <w:sz w:val="18"/>
        <w:szCs w:val="18"/>
        <w:lang w:val="en-GB"/>
      </w:rPr>
      <w:t>/An</w:t>
    </w:r>
    <w:r>
      <w:rPr>
        <w:rFonts w:eastAsia="Arial" w:cs="Arial"/>
        <w:i/>
        <w:sz w:val="18"/>
        <w:szCs w:val="18"/>
        <w:lang w:val="en-GB"/>
      </w:rPr>
      <w:t>nexe</w:t>
    </w:r>
  </w:p>
  <w:p w:rsidR="000E2F81" w:rsidRDefault="000E2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AA431F"/>
    <w:multiLevelType w:val="hybridMultilevel"/>
    <w:tmpl w:val="74BCE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84CF6"/>
    <w:multiLevelType w:val="hybridMultilevel"/>
    <w:tmpl w:val="B1BCFB1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A5B2F96"/>
    <w:multiLevelType w:val="hybridMultilevel"/>
    <w:tmpl w:val="B1BCFB1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8"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69A23F83"/>
    <w:multiLevelType w:val="hybridMultilevel"/>
    <w:tmpl w:val="6E7CF4B2"/>
    <w:lvl w:ilvl="0" w:tplc="FDAE8B58">
      <w:start w:val="1"/>
      <w:numFmt w:val="decimal"/>
      <w:lvlText w:val="%1."/>
      <w:lvlJc w:val="left"/>
      <w:pPr>
        <w:ind w:left="360" w:hanging="360"/>
      </w:pPr>
      <w:rPr>
        <w:b w:val="0"/>
        <w:i w:val="0"/>
        <w:lang w:val="en-US"/>
      </w:rPr>
    </w:lvl>
    <w:lvl w:ilvl="1" w:tplc="04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3"/>
  </w:num>
  <w:num w:numId="6">
    <w:abstractNumId w:val="11"/>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E2F81"/>
    <w:rsid w:val="000F2EB4"/>
    <w:rsid w:val="0012615F"/>
    <w:rsid w:val="0026594E"/>
    <w:rsid w:val="00293B2E"/>
    <w:rsid w:val="00347FF4"/>
    <w:rsid w:val="00465BA8"/>
    <w:rsid w:val="004D2819"/>
    <w:rsid w:val="005330F7"/>
    <w:rsid w:val="00563598"/>
    <w:rsid w:val="006037B5"/>
    <w:rsid w:val="00705C1D"/>
    <w:rsid w:val="00853DCA"/>
    <w:rsid w:val="00870459"/>
    <w:rsid w:val="00882CD0"/>
    <w:rsid w:val="00896FBB"/>
    <w:rsid w:val="008C067D"/>
    <w:rsid w:val="009C2A1C"/>
    <w:rsid w:val="00A02506"/>
    <w:rsid w:val="00AB773C"/>
    <w:rsid w:val="00B81D3B"/>
    <w:rsid w:val="00C771C2"/>
    <w:rsid w:val="00C87CA3"/>
    <w:rsid w:val="00C91299"/>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AD76"/>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9C2A1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2Char">
    <w:name w:val="Heading 2 Char"/>
    <w:basedOn w:val="DefaultParagraphFont"/>
    <w:link w:val="Heading2"/>
    <w:uiPriority w:val="99"/>
    <w:rsid w:val="009C2A1C"/>
    <w:rPr>
      <w:rFonts w:eastAsia="Times New Roman" w:cs="Times New Roman"/>
      <w:b/>
      <w:bCs/>
      <w:sz w:val="36"/>
      <w:szCs w:val="24"/>
      <w:lang w:val="fr-FR"/>
    </w:rPr>
  </w:style>
  <w:style w:type="character" w:styleId="Hyperlink">
    <w:name w:val="Hyperlink"/>
    <w:uiPriority w:val="99"/>
    <w:semiHidden/>
    <w:unhideWhenUsed/>
    <w:rsid w:val="009C2A1C"/>
    <w:rPr>
      <w:rFonts w:ascii="Times New Roman" w:hAnsi="Times New Roman" w:cs="Times New Roman" w:hint="default"/>
      <w:color w:val="0000FF"/>
      <w:u w:val="single"/>
    </w:rPr>
  </w:style>
  <w:style w:type="paragraph" w:styleId="NormalWeb">
    <w:name w:val="Normal (Web)"/>
    <w:basedOn w:val="Normal"/>
    <w:uiPriority w:val="99"/>
    <w:unhideWhenUsed/>
    <w:rsid w:val="009C2A1C"/>
    <w:pPr>
      <w:spacing w:before="100" w:beforeAutospacing="1" w:after="100" w:afterAutospacing="1" w:line="240" w:lineRule="auto"/>
    </w:pPr>
    <w:rPr>
      <w:rFonts w:ascii="Times New Roman" w:eastAsia="Times New Roman" w:hAnsi="Times New Roman" w:cs="Times New Roman"/>
      <w:sz w:val="24"/>
      <w:szCs w:val="24"/>
      <w:lang w:val="fr-FR" w:eastAsia="ja-JP"/>
    </w:rPr>
  </w:style>
  <w:style w:type="paragraph" w:styleId="FootnoteText">
    <w:name w:val="footnote text"/>
    <w:basedOn w:val="Normal"/>
    <w:link w:val="FootnoteTextChar"/>
    <w:uiPriority w:val="99"/>
    <w:semiHidden/>
    <w:unhideWhenUsed/>
    <w:rsid w:val="009C2A1C"/>
    <w:pPr>
      <w:widowControl w:val="0"/>
      <w:autoSpaceDE w:val="0"/>
      <w:autoSpaceDN w:val="0"/>
      <w:adjustRightInd w:val="0"/>
      <w:spacing w:after="0" w:line="240" w:lineRule="auto"/>
    </w:pPr>
    <w:rPr>
      <w:rFonts w:eastAsiaTheme="minorEastAsia" w:cs="Times New Roman"/>
      <w:sz w:val="18"/>
      <w:szCs w:val="20"/>
      <w:lang w:val="fr-FR"/>
    </w:rPr>
  </w:style>
  <w:style w:type="character" w:customStyle="1" w:styleId="FootnoteTextChar">
    <w:name w:val="Footnote Text Char"/>
    <w:basedOn w:val="DefaultParagraphFont"/>
    <w:link w:val="FootnoteText"/>
    <w:uiPriority w:val="99"/>
    <w:semiHidden/>
    <w:rsid w:val="009C2A1C"/>
    <w:rPr>
      <w:rFonts w:eastAsiaTheme="minorEastAsia" w:cs="Times New Roman"/>
      <w:sz w:val="18"/>
      <w:szCs w:val="20"/>
      <w:lang w:val="fr-FR"/>
    </w:rPr>
  </w:style>
  <w:style w:type="character" w:styleId="FootnoteReference">
    <w:name w:val="footnote reference"/>
    <w:uiPriority w:val="99"/>
    <w:semiHidden/>
    <w:unhideWhenUsed/>
    <w:rsid w:val="009C2A1C"/>
    <w:rPr>
      <w:rFonts w:ascii="Times New Roman" w:hAnsi="Times New Roman" w:cs="Times New Roman" w:hint="default"/>
    </w:rPr>
  </w:style>
  <w:style w:type="character" w:customStyle="1" w:styleId="field-content">
    <w:name w:val="field-content"/>
    <w:basedOn w:val="DefaultParagraphFont"/>
    <w:rsid w:val="00C9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593981287">
      <w:bodyDiv w:val="1"/>
      <w:marLeft w:val="0"/>
      <w:marRight w:val="0"/>
      <w:marTop w:val="0"/>
      <w:marBottom w:val="0"/>
      <w:divBdr>
        <w:top w:val="none" w:sz="0" w:space="0" w:color="auto"/>
        <w:left w:val="none" w:sz="0" w:space="0" w:color="auto"/>
        <w:bottom w:val="none" w:sz="0" w:space="0" w:color="auto"/>
        <w:right w:val="none" w:sz="0" w:space="0" w:color="auto"/>
      </w:divBdr>
    </w:div>
    <w:div w:id="1252203686">
      <w:bodyDiv w:val="1"/>
      <w:marLeft w:val="0"/>
      <w:marRight w:val="0"/>
      <w:marTop w:val="0"/>
      <w:marBottom w:val="0"/>
      <w:divBdr>
        <w:top w:val="none" w:sz="0" w:space="0" w:color="auto"/>
        <w:left w:val="none" w:sz="0" w:space="0" w:color="auto"/>
        <w:bottom w:val="none" w:sz="0" w:space="0" w:color="auto"/>
        <w:right w:val="none" w:sz="0" w:space="0" w:color="auto"/>
      </w:divBdr>
      <w:divsChild>
        <w:div w:id="583494945">
          <w:marLeft w:val="0"/>
          <w:marRight w:val="0"/>
          <w:marTop w:val="0"/>
          <w:marBottom w:val="0"/>
          <w:divBdr>
            <w:top w:val="none" w:sz="0" w:space="0" w:color="auto"/>
            <w:left w:val="none" w:sz="0" w:space="0" w:color="auto"/>
            <w:bottom w:val="none" w:sz="0" w:space="0" w:color="auto"/>
            <w:right w:val="none" w:sz="0" w:space="0" w:color="auto"/>
          </w:divBdr>
          <w:divsChild>
            <w:div w:id="648361211">
              <w:marLeft w:val="0"/>
              <w:marRight w:val="0"/>
              <w:marTop w:val="0"/>
              <w:marBottom w:val="0"/>
              <w:divBdr>
                <w:top w:val="none" w:sz="0" w:space="0" w:color="auto"/>
                <w:left w:val="none" w:sz="0" w:space="0" w:color="auto"/>
                <w:bottom w:val="none" w:sz="0" w:space="0" w:color="auto"/>
                <w:right w:val="none" w:sz="0" w:space="0" w:color="auto"/>
              </w:divBdr>
            </w:div>
          </w:divsChild>
        </w:div>
        <w:div w:id="554973737">
          <w:marLeft w:val="0"/>
          <w:marRight w:val="0"/>
          <w:marTop w:val="0"/>
          <w:marBottom w:val="0"/>
          <w:divBdr>
            <w:top w:val="none" w:sz="0" w:space="0" w:color="auto"/>
            <w:left w:val="none" w:sz="0" w:space="0" w:color="auto"/>
            <w:bottom w:val="none" w:sz="0" w:space="0" w:color="auto"/>
            <w:right w:val="none" w:sz="0" w:space="0" w:color="auto"/>
          </w:divBdr>
        </w:div>
      </w:divsChild>
    </w:div>
    <w:div w:id="14105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cites.org/eng/prog/livelihood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2019-10-14T14:12:00Z</dcterms:created>
  <dcterms:modified xsi:type="dcterms:W3CDTF">2019-10-14T14:13:00Z</dcterms:modified>
</cp:coreProperties>
</file>