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4017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017FE">
              <w:rPr>
                <w:rFonts w:eastAsia="Arial" w:cs="Arial"/>
                <w:lang w:val="fr-FR"/>
              </w:rPr>
              <w:t>26.2.7</w:t>
            </w:r>
          </w:p>
          <w:p w:rsidR="00EC2A58" w:rsidRPr="00A02506" w:rsidRDefault="004017F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25 novembre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Pr="00A02506">
        <w:rPr>
          <w:rFonts w:eastAsia="Arial" w:cs="Arial"/>
          <w:iCs/>
          <w:lang w:val="fr-FR"/>
        </w:rPr>
        <w:t>XX</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4017FE" w:rsidRDefault="004017FE" w:rsidP="00405D5E">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eastAsia="Calibri" w:cs="Arial"/>
          <w:b/>
          <w:caps/>
          <w:lang w:val="fr-FR"/>
        </w:rPr>
      </w:pPr>
      <w:r>
        <w:rPr>
          <w:rFonts w:cs="Arial"/>
          <w:b/>
          <w:caps/>
          <w:lang w:val="fr-FR"/>
        </w:rPr>
        <w:t>EspÈces chondrichtyennes (requins, raies, pocheteaux et chimÈres)</w:t>
      </w:r>
    </w:p>
    <w:p w:rsidR="00EC2A58" w:rsidRPr="00EC2A58" w:rsidRDefault="00EC2A58" w:rsidP="004017FE">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w:t>
      </w:r>
      <w:r w:rsidR="004017FE">
        <w:rPr>
          <w:rFonts w:eastAsia="Arial" w:cs="Arial"/>
          <w:i/>
          <w:iCs/>
          <w:lang w:val="fr-FR"/>
        </w:rPr>
        <w:t>Conseil scientifique</w:t>
      </w:r>
      <w:r w:rsidRPr="00EC2A58">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146050</wp:posOffset>
                </wp:positionV>
                <wp:extent cx="5200650" cy="34575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5200650" cy="3457575"/>
                        </a:xfrm>
                        <a:prstGeom prst="rect">
                          <a:avLst/>
                        </a:prstGeom>
                        <a:solidFill>
                          <a:srgbClr val="FFFFFF"/>
                        </a:solidFill>
                        <a:ln w="3172">
                          <a:solidFill>
                            <a:srgbClr val="000000"/>
                          </a:solidFill>
                          <a:prstDash val="solid"/>
                        </a:ln>
                      </wps:spPr>
                      <wps:txbx>
                        <w:txbxContent>
                          <w:p w:rsidR="004017FE" w:rsidRPr="00405D5E" w:rsidRDefault="004017FE" w:rsidP="004017FE">
                            <w:pPr>
                              <w:spacing w:after="0" w:line="240" w:lineRule="auto"/>
                              <w:jc w:val="both"/>
                              <w:rPr>
                                <w:lang w:val="fr-FR"/>
                              </w:rPr>
                            </w:pPr>
                            <w:r>
                              <w:rPr>
                                <w:rFonts w:eastAsia="Arial" w:cs="Arial"/>
                                <w:lang w:val="fr-FR"/>
                              </w:rPr>
                              <w:t>Résumé:</w:t>
                            </w:r>
                          </w:p>
                          <w:p w:rsidR="004017FE" w:rsidRDefault="004017FE" w:rsidP="004017FE">
                            <w:pPr>
                              <w:spacing w:after="0" w:line="240" w:lineRule="auto"/>
                              <w:jc w:val="both"/>
                              <w:rPr>
                                <w:rFonts w:cs="Arial"/>
                                <w:lang w:val="fr-FR"/>
                              </w:rPr>
                            </w:pPr>
                          </w:p>
                          <w:p w:rsidR="004017FE" w:rsidRDefault="004017FE" w:rsidP="004017FE">
                            <w:pPr>
                              <w:spacing w:after="0" w:line="240" w:lineRule="auto"/>
                              <w:jc w:val="both"/>
                              <w:rPr>
                                <w:rFonts w:eastAsia="Calibri" w:cs="Arial"/>
                                <w:lang w:val="fr-FR" w:eastAsia="fr-FR" w:bidi="fr-FR"/>
                              </w:rPr>
                            </w:pPr>
                            <w:r>
                              <w:rPr>
                                <w:rFonts w:eastAsia="Calibri" w:cs="Arial"/>
                                <w:lang w:val="fr-FR" w:eastAsia="fr-FR" w:bidi="fr-FR"/>
                              </w:rPr>
                              <w:t xml:space="preserve">Le présent document prépare une partie des travaux confiés au Conseil scientifique dans la décision 12.11 ; à savoir : revoir la résolution 8.16 (Rev.COP12) </w:t>
                            </w:r>
                            <w:r>
                              <w:rPr>
                                <w:rFonts w:eastAsia="Calibri" w:cs="Arial"/>
                                <w:i/>
                                <w:lang w:val="fr-FR" w:eastAsia="fr-FR" w:bidi="fr-FR"/>
                              </w:rPr>
                              <w:t>Les requins migrateurs</w:t>
                            </w:r>
                            <w:r>
                              <w:rPr>
                                <w:rFonts w:eastAsia="Calibri" w:cs="Arial"/>
                                <w:lang w:val="fr-FR" w:eastAsia="fr-FR" w:bidi="fr-FR"/>
                              </w:rPr>
                              <w:t xml:space="preserve">, à la lumière de nouvelles informations scientifiques et d’autres faits nouveaux et proposer des amendements, selon que de besoin. Il comprend également un examen de la Résolution 11.20 </w:t>
                            </w:r>
                            <w:r>
                              <w:rPr>
                                <w:rFonts w:eastAsia="Calibri" w:cs="Arial"/>
                                <w:i/>
                                <w:lang w:val="fr-FR" w:eastAsia="fr-FR" w:bidi="fr-FR"/>
                              </w:rPr>
                              <w:t>Conservation des requins et des raies migrateurs.</w:t>
                            </w:r>
                            <w:r>
                              <w:rPr>
                                <w:rFonts w:eastAsia="Calibri" w:cs="Arial"/>
                                <w:lang w:val="fr-FR" w:eastAsia="fr-FR" w:bidi="fr-FR"/>
                              </w:rPr>
                              <w:t xml:space="preserve"> </w:t>
                            </w:r>
                          </w:p>
                          <w:p w:rsidR="004017FE" w:rsidRDefault="004017FE" w:rsidP="004017FE">
                            <w:pPr>
                              <w:spacing w:after="0" w:line="240" w:lineRule="auto"/>
                              <w:jc w:val="both"/>
                              <w:rPr>
                                <w:rFonts w:eastAsia="Calibri" w:cs="Arial"/>
                                <w:lang w:val="fr-FR" w:eastAsia="fr-FR" w:bidi="fr-FR"/>
                              </w:rPr>
                            </w:pPr>
                          </w:p>
                          <w:p w:rsidR="004017FE" w:rsidRDefault="004017FE" w:rsidP="004017FE">
                            <w:pPr>
                              <w:spacing w:after="0" w:line="240" w:lineRule="auto"/>
                              <w:jc w:val="both"/>
                              <w:rPr>
                                <w:rFonts w:eastAsia="Calibri" w:cs="Arial"/>
                                <w:i/>
                                <w:lang w:val="fr-FR" w:eastAsia="fr-FR" w:bidi="fr-FR"/>
                              </w:rPr>
                            </w:pPr>
                            <w:r>
                              <w:rPr>
                                <w:rFonts w:eastAsia="Calibri" w:cs="Arial"/>
                                <w:lang w:val="fr-FR" w:eastAsia="fr-FR" w:bidi="fr-FR"/>
                              </w:rPr>
                              <w:t xml:space="preserve">Le présent document propose des amendements à ces deux Résolutions et les regroupe en une seule Résolution </w:t>
                            </w:r>
                            <w:r>
                              <w:rPr>
                                <w:rFonts w:eastAsia="Calibri" w:cs="Arial"/>
                                <w:i/>
                                <w:lang w:val="fr-FR" w:eastAsia="fr-FR" w:bidi="fr-FR"/>
                              </w:rPr>
                              <w:t xml:space="preserve">Espèces chondrichtyennes (requins, raies, </w:t>
                            </w:r>
                            <w:proofErr w:type="spellStart"/>
                            <w:r>
                              <w:rPr>
                                <w:rFonts w:eastAsia="Calibri" w:cs="Arial"/>
                                <w:i/>
                                <w:lang w:val="fr-FR" w:eastAsia="fr-FR" w:bidi="fr-FR"/>
                              </w:rPr>
                              <w:t>pocheteaux</w:t>
                            </w:r>
                            <w:proofErr w:type="spellEnd"/>
                            <w:r>
                              <w:rPr>
                                <w:rFonts w:eastAsia="Calibri" w:cs="Arial"/>
                                <w:i/>
                                <w:lang w:val="fr-FR" w:eastAsia="fr-FR" w:bidi="fr-FR"/>
                              </w:rPr>
                              <w:t xml:space="preserve"> et chimères).</w:t>
                            </w:r>
                          </w:p>
                          <w:p w:rsidR="004017FE" w:rsidRDefault="004017FE" w:rsidP="004017FE">
                            <w:pPr>
                              <w:spacing w:after="0" w:line="240" w:lineRule="auto"/>
                              <w:jc w:val="both"/>
                              <w:rPr>
                                <w:rFonts w:eastAsia="Calibri" w:cs="Arial"/>
                                <w:lang w:val="fr-FR" w:eastAsia="fr-FR" w:bidi="fr-FR"/>
                              </w:rPr>
                            </w:pPr>
                          </w:p>
                          <w:p w:rsidR="004017FE" w:rsidRDefault="004017FE" w:rsidP="004017FE">
                            <w:pPr>
                              <w:spacing w:after="0" w:line="240" w:lineRule="auto"/>
                              <w:jc w:val="both"/>
                              <w:rPr>
                                <w:rFonts w:eastAsia="Calibri" w:cs="Arial"/>
                                <w:lang w:val="fr-FR" w:eastAsia="fr-FR" w:bidi="fr-FR"/>
                              </w:rPr>
                            </w:pPr>
                            <w:r>
                              <w:rPr>
                                <w:rFonts w:eastAsia="Calibri" w:cs="Arial"/>
                                <w:lang w:val="fr-FR" w:eastAsia="fr-FR" w:bidi="fr-FR"/>
                              </w:rPr>
                              <w:t>En outre, un paragraphe supplémentaire a été proposé pour inclusion dans la Résolution et plusieurs Décisions ont été proposées en vue de répondre aux préoccupations nouvelles.</w:t>
                            </w:r>
                          </w:p>
                          <w:p w:rsidR="004017FE" w:rsidRDefault="004017FE" w:rsidP="004017FE">
                            <w:pPr>
                              <w:spacing w:after="0" w:line="240" w:lineRule="auto"/>
                              <w:jc w:val="both"/>
                              <w:rPr>
                                <w:rFonts w:eastAsia="Times New Roman" w:cs="Arial"/>
                                <w:sz w:val="21"/>
                                <w:szCs w:val="21"/>
                                <w:lang w:val="fr-FR"/>
                              </w:rPr>
                            </w:pPr>
                          </w:p>
                          <w:p w:rsidR="004017FE" w:rsidRDefault="004017FE" w:rsidP="004017FE">
                            <w:pPr>
                              <w:spacing w:after="0" w:line="240" w:lineRule="auto"/>
                              <w:jc w:val="both"/>
                              <w:rPr>
                                <w:rFonts w:cs="Arial"/>
                                <w:lang w:val="fr-FR"/>
                              </w:rPr>
                            </w:pPr>
                            <w:r w:rsidRPr="004017FE">
                              <w:rPr>
                                <w:rFonts w:cs="Arial"/>
                                <w:lang w:val="fr-FR"/>
                              </w:rPr>
                              <w:t>Ce document est une révision du document UNEP/CMS/ScC-SC4/Doc.10.2.2.7 présenté au Conseil scientifique à sa 4</w:t>
                            </w:r>
                            <w:r w:rsidRPr="004017FE">
                              <w:rPr>
                                <w:rFonts w:cs="Arial"/>
                                <w:vertAlign w:val="superscript"/>
                                <w:lang w:val="fr-FR"/>
                              </w:rPr>
                              <w:t>e</w:t>
                            </w:r>
                            <w:r w:rsidRPr="004017FE">
                              <w:rPr>
                                <w:rFonts w:cs="Arial"/>
                                <w:lang w:val="fr-FR"/>
                              </w:rPr>
                              <w:t xml:space="preserve"> réunion du Comité de Session en novembre 2019.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5pt;width:409.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" strokeweight=".08811mm">
                <v:textbox>
                  <w:txbxContent>
                    <w:p w:rsidR="004017FE" w:rsidRPr="00405D5E" w:rsidRDefault="004017FE" w:rsidP="004017FE">
                      <w:pPr>
                        <w:spacing w:after="0" w:line="240" w:lineRule="auto"/>
                        <w:jc w:val="both"/>
                        <w:rPr>
                          <w:lang w:val="fr-FR"/>
                        </w:rPr>
                      </w:pPr>
                      <w:r>
                        <w:rPr>
                          <w:rFonts w:eastAsia="Arial" w:cs="Arial"/>
                          <w:lang w:val="fr-FR"/>
                        </w:rPr>
                        <w:t>Résumé:</w:t>
                      </w:r>
                    </w:p>
                    <w:p w:rsidR="004017FE" w:rsidRDefault="004017FE" w:rsidP="004017FE">
                      <w:pPr>
                        <w:spacing w:after="0" w:line="240" w:lineRule="auto"/>
                        <w:jc w:val="both"/>
                        <w:rPr>
                          <w:rFonts w:cs="Arial"/>
                          <w:lang w:val="fr-FR"/>
                        </w:rPr>
                      </w:pPr>
                    </w:p>
                    <w:p w:rsidR="004017FE" w:rsidRDefault="004017FE" w:rsidP="004017FE">
                      <w:pPr>
                        <w:spacing w:after="0" w:line="240" w:lineRule="auto"/>
                        <w:jc w:val="both"/>
                        <w:rPr>
                          <w:rFonts w:eastAsia="Calibri" w:cs="Arial"/>
                          <w:lang w:val="fr-FR" w:eastAsia="fr-FR" w:bidi="fr-FR"/>
                        </w:rPr>
                      </w:pPr>
                      <w:r>
                        <w:rPr>
                          <w:rFonts w:eastAsia="Calibri" w:cs="Arial"/>
                          <w:lang w:val="fr-FR" w:eastAsia="fr-FR" w:bidi="fr-FR"/>
                        </w:rPr>
                        <w:t xml:space="preserve">Le présent document prépare une partie des travaux confiés au Conseil scientifique dans la décision 12.11 ; à savoir : revoir la résolution 8.16 (Rev.COP12) </w:t>
                      </w:r>
                      <w:r>
                        <w:rPr>
                          <w:rFonts w:eastAsia="Calibri" w:cs="Arial"/>
                          <w:i/>
                          <w:lang w:val="fr-FR" w:eastAsia="fr-FR" w:bidi="fr-FR"/>
                        </w:rPr>
                        <w:t>Les requins migrateurs</w:t>
                      </w:r>
                      <w:r>
                        <w:rPr>
                          <w:rFonts w:eastAsia="Calibri" w:cs="Arial"/>
                          <w:lang w:val="fr-FR" w:eastAsia="fr-FR" w:bidi="fr-FR"/>
                        </w:rPr>
                        <w:t xml:space="preserve">, à la lumière de nouvelles informations scientifiques et d’autres faits nouveaux et proposer des amendements, selon que de besoin. Il comprend également un examen de la Résolution 11.20 </w:t>
                      </w:r>
                      <w:r>
                        <w:rPr>
                          <w:rFonts w:eastAsia="Calibri" w:cs="Arial"/>
                          <w:i/>
                          <w:lang w:val="fr-FR" w:eastAsia="fr-FR" w:bidi="fr-FR"/>
                        </w:rPr>
                        <w:t>Conservation des requins et des raies migrateurs.</w:t>
                      </w:r>
                      <w:r>
                        <w:rPr>
                          <w:rFonts w:eastAsia="Calibri" w:cs="Arial"/>
                          <w:lang w:val="fr-FR" w:eastAsia="fr-FR" w:bidi="fr-FR"/>
                        </w:rPr>
                        <w:t xml:space="preserve"> </w:t>
                      </w:r>
                    </w:p>
                    <w:p w:rsidR="004017FE" w:rsidRDefault="004017FE" w:rsidP="004017FE">
                      <w:pPr>
                        <w:spacing w:after="0" w:line="240" w:lineRule="auto"/>
                        <w:jc w:val="both"/>
                        <w:rPr>
                          <w:rFonts w:eastAsia="Calibri" w:cs="Arial"/>
                          <w:lang w:val="fr-FR" w:eastAsia="fr-FR" w:bidi="fr-FR"/>
                        </w:rPr>
                      </w:pPr>
                    </w:p>
                    <w:p w:rsidR="004017FE" w:rsidRDefault="004017FE" w:rsidP="004017FE">
                      <w:pPr>
                        <w:spacing w:after="0" w:line="240" w:lineRule="auto"/>
                        <w:jc w:val="both"/>
                        <w:rPr>
                          <w:rFonts w:eastAsia="Calibri" w:cs="Arial"/>
                          <w:i/>
                          <w:lang w:val="fr-FR" w:eastAsia="fr-FR" w:bidi="fr-FR"/>
                        </w:rPr>
                      </w:pPr>
                      <w:r>
                        <w:rPr>
                          <w:rFonts w:eastAsia="Calibri" w:cs="Arial"/>
                          <w:lang w:val="fr-FR" w:eastAsia="fr-FR" w:bidi="fr-FR"/>
                        </w:rPr>
                        <w:t xml:space="preserve">Le présent document propose des amendements à ces deux Résolutions et les regroupe en une seule Résolution </w:t>
                      </w:r>
                      <w:r>
                        <w:rPr>
                          <w:rFonts w:eastAsia="Calibri" w:cs="Arial"/>
                          <w:i/>
                          <w:lang w:val="fr-FR" w:eastAsia="fr-FR" w:bidi="fr-FR"/>
                        </w:rPr>
                        <w:t xml:space="preserve">Espèces chondrichtyennes (requins, raies, </w:t>
                      </w:r>
                      <w:proofErr w:type="spellStart"/>
                      <w:r>
                        <w:rPr>
                          <w:rFonts w:eastAsia="Calibri" w:cs="Arial"/>
                          <w:i/>
                          <w:lang w:val="fr-FR" w:eastAsia="fr-FR" w:bidi="fr-FR"/>
                        </w:rPr>
                        <w:t>pocheteaux</w:t>
                      </w:r>
                      <w:proofErr w:type="spellEnd"/>
                      <w:r>
                        <w:rPr>
                          <w:rFonts w:eastAsia="Calibri" w:cs="Arial"/>
                          <w:i/>
                          <w:lang w:val="fr-FR" w:eastAsia="fr-FR" w:bidi="fr-FR"/>
                        </w:rPr>
                        <w:t xml:space="preserve"> et chimères).</w:t>
                      </w:r>
                    </w:p>
                    <w:p w:rsidR="004017FE" w:rsidRDefault="004017FE" w:rsidP="004017FE">
                      <w:pPr>
                        <w:spacing w:after="0" w:line="240" w:lineRule="auto"/>
                        <w:jc w:val="both"/>
                        <w:rPr>
                          <w:rFonts w:eastAsia="Calibri" w:cs="Arial"/>
                          <w:lang w:val="fr-FR" w:eastAsia="fr-FR" w:bidi="fr-FR"/>
                        </w:rPr>
                      </w:pPr>
                    </w:p>
                    <w:p w:rsidR="004017FE" w:rsidRDefault="004017FE" w:rsidP="004017FE">
                      <w:pPr>
                        <w:spacing w:after="0" w:line="240" w:lineRule="auto"/>
                        <w:jc w:val="both"/>
                        <w:rPr>
                          <w:rFonts w:eastAsia="Calibri" w:cs="Arial"/>
                          <w:lang w:val="fr-FR" w:eastAsia="fr-FR" w:bidi="fr-FR"/>
                        </w:rPr>
                      </w:pPr>
                      <w:r>
                        <w:rPr>
                          <w:rFonts w:eastAsia="Calibri" w:cs="Arial"/>
                          <w:lang w:val="fr-FR" w:eastAsia="fr-FR" w:bidi="fr-FR"/>
                        </w:rPr>
                        <w:t>En outre, un paragraphe supplémentaire a été proposé pour inclusion dans la Résolution et plusieurs Décisions ont été proposées en vue de répondre aux préoccupations nouvelles.</w:t>
                      </w:r>
                    </w:p>
                    <w:p w:rsidR="004017FE" w:rsidRDefault="004017FE" w:rsidP="004017FE">
                      <w:pPr>
                        <w:spacing w:after="0" w:line="240" w:lineRule="auto"/>
                        <w:jc w:val="both"/>
                        <w:rPr>
                          <w:rFonts w:eastAsia="Times New Roman" w:cs="Arial"/>
                          <w:sz w:val="21"/>
                          <w:szCs w:val="21"/>
                          <w:lang w:val="fr-FR"/>
                        </w:rPr>
                      </w:pPr>
                    </w:p>
                    <w:p w:rsidR="004017FE" w:rsidRDefault="004017FE" w:rsidP="004017FE">
                      <w:pPr>
                        <w:spacing w:after="0" w:line="240" w:lineRule="auto"/>
                        <w:jc w:val="both"/>
                        <w:rPr>
                          <w:rFonts w:cs="Arial"/>
                          <w:lang w:val="fr-FR"/>
                        </w:rPr>
                      </w:pPr>
                      <w:r w:rsidRPr="004017FE">
                        <w:rPr>
                          <w:rFonts w:cs="Arial"/>
                          <w:lang w:val="fr-FR"/>
                        </w:rPr>
                        <w:t>Ce document est une révision du document UNEP/CMS/ScC-SC4/Doc.10.2.2.7 présenté au Conseil scientifique à sa 4</w:t>
                      </w:r>
                      <w:r w:rsidRPr="004017FE">
                        <w:rPr>
                          <w:rFonts w:cs="Arial"/>
                          <w:vertAlign w:val="superscript"/>
                          <w:lang w:val="fr-FR"/>
                        </w:rPr>
                        <w:t>e</w:t>
                      </w:r>
                      <w:r w:rsidRPr="004017FE">
                        <w:rPr>
                          <w:rFonts w:cs="Arial"/>
                          <w:lang w:val="fr-FR"/>
                        </w:rPr>
                        <w:t xml:space="preserve"> réunion du Comité de Session en novembre 2019.  </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EspÈces chondrichtyennes (requins, raies, pocheteaux et chimÈres)</w:t>
      </w:r>
    </w:p>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b/>
          <w:caps/>
          <w:lang w:val="fr-FR"/>
        </w:rPr>
      </w:pPr>
    </w:p>
    <w:p w:rsidR="004017FE" w:rsidRDefault="004017FE" w:rsidP="004017FE">
      <w:pPr>
        <w:spacing w:after="0" w:line="240" w:lineRule="auto"/>
        <w:jc w:val="both"/>
        <w:rPr>
          <w:rFonts w:eastAsia="Calibri" w:cs="Arial"/>
          <w:u w:val="single"/>
        </w:rPr>
      </w:pPr>
      <w:proofErr w:type="spellStart"/>
      <w:r>
        <w:rPr>
          <w:rFonts w:cs="Arial"/>
          <w:u w:val="single"/>
        </w:rPr>
        <w:t>Contexte</w:t>
      </w:r>
      <w:proofErr w:type="spellEnd"/>
      <w:r>
        <w:rPr>
          <w:rFonts w:cs="Arial"/>
          <w:u w:val="single"/>
        </w:rPr>
        <w:t xml:space="preserve"> </w:t>
      </w:r>
      <w:proofErr w:type="spellStart"/>
      <w:r>
        <w:rPr>
          <w:rFonts w:cs="Arial"/>
          <w:u w:val="single"/>
        </w:rPr>
        <w:t>général</w:t>
      </w:r>
      <w:proofErr w:type="spellEnd"/>
    </w:p>
    <w:p w:rsidR="004017FE" w:rsidRDefault="004017FE" w:rsidP="004017FE">
      <w:pPr>
        <w:widowControl w:val="0"/>
        <w:autoSpaceDE w:val="0"/>
        <w:autoSpaceDN w:val="0"/>
        <w:adjustRightInd w:val="0"/>
        <w:spacing w:after="0" w:line="240" w:lineRule="auto"/>
        <w:ind w:left="360"/>
        <w:contextualSpacing/>
        <w:jc w:val="both"/>
        <w:rPr>
          <w:rFonts w:eastAsia="Calibri" w:cs="Arial"/>
        </w:rPr>
      </w:pPr>
    </w:p>
    <w:p w:rsidR="004017FE" w:rsidRDefault="004017FE" w:rsidP="004017FE">
      <w:pPr>
        <w:pStyle w:val="Firstnumbering"/>
        <w:numPr>
          <w:ilvl w:val="0"/>
          <w:numId w:val="8"/>
        </w:numPr>
        <w:ind w:left="567" w:hanging="567"/>
        <w:rPr>
          <w:rFonts w:ascii="Times New Roman" w:eastAsia="Calibri" w:hAnsi="Times New Roman" w:cs="Arial"/>
          <w:sz w:val="24"/>
        </w:rPr>
      </w:pPr>
      <w:r>
        <w:t>À sa douzième session (COP12), la Conférence des Parties a entrepris un exercice d’envergure visant à retirer les résolutions redondantes et à regrouper plusieurs résolutions traitant du même sujet dans une seule et même résolution révisée.</w:t>
      </w:r>
    </w:p>
    <w:p w:rsidR="004017FE" w:rsidRDefault="004017FE" w:rsidP="004017FE">
      <w:pPr>
        <w:widowControl w:val="0"/>
        <w:autoSpaceDE w:val="0"/>
        <w:autoSpaceDN w:val="0"/>
        <w:adjustRightInd w:val="0"/>
        <w:spacing w:after="0" w:line="240" w:lineRule="auto"/>
        <w:ind w:left="360"/>
        <w:contextualSpacing/>
        <w:jc w:val="both"/>
        <w:rPr>
          <w:rFonts w:eastAsia="Calibri" w:cs="Arial"/>
          <w:lang w:val="fr-FR"/>
        </w:rPr>
      </w:pPr>
    </w:p>
    <w:p w:rsidR="004017FE" w:rsidRDefault="004017FE" w:rsidP="004017FE">
      <w:pPr>
        <w:pStyle w:val="Firstnumbering"/>
        <w:numPr>
          <w:ilvl w:val="0"/>
          <w:numId w:val="8"/>
        </w:numPr>
        <w:ind w:left="567" w:hanging="567"/>
        <w:rPr>
          <w:rFonts w:ascii="Times New Roman" w:eastAsia="Calibri" w:hAnsi="Times New Roman" w:cs="Arial"/>
          <w:sz w:val="24"/>
        </w:rPr>
      </w:pPr>
      <w:r>
        <w:t>Dans le cadre de cet exercice, les Parties ont adopté les décisions 12.11 et 12.12 sur l’examen des résolutions :</w:t>
      </w:r>
    </w:p>
    <w:p w:rsidR="004017FE" w:rsidRDefault="004017FE" w:rsidP="004017FE">
      <w:pPr>
        <w:spacing w:after="0" w:line="240" w:lineRule="auto"/>
        <w:ind w:left="720"/>
        <w:contextualSpacing/>
        <w:rPr>
          <w:rFonts w:eastAsia="Calibri" w:cs="Arial"/>
          <w:szCs w:val="24"/>
          <w:lang w:val="fr-FR"/>
        </w:rPr>
      </w:pPr>
    </w:p>
    <w:p w:rsidR="004017FE" w:rsidRDefault="004017FE" w:rsidP="00E07D92">
      <w:pPr>
        <w:shd w:val="clear" w:color="auto" w:fill="FFFFFF"/>
        <w:spacing w:after="0" w:line="240" w:lineRule="auto"/>
        <w:ind w:left="567"/>
        <w:rPr>
          <w:rFonts w:eastAsia="Times New Roman" w:cs="Arial"/>
          <w:b/>
          <w:bCs/>
          <w:i/>
          <w:color w:val="333333"/>
          <w:sz w:val="20"/>
          <w:szCs w:val="20"/>
          <w:lang w:val="fr-FR"/>
        </w:rPr>
      </w:pPr>
      <w:r>
        <w:rPr>
          <w:rFonts w:cs="Arial"/>
          <w:b/>
          <w:i/>
          <w:color w:val="333333"/>
          <w:sz w:val="20"/>
          <w:szCs w:val="20"/>
          <w:lang w:val="fr-FR"/>
        </w:rPr>
        <w:t>12.11</w:t>
      </w:r>
      <w:r w:rsidR="00E07D92">
        <w:rPr>
          <w:rFonts w:cs="Arial"/>
          <w:b/>
          <w:i/>
          <w:color w:val="333333"/>
          <w:sz w:val="20"/>
          <w:szCs w:val="20"/>
          <w:lang w:val="fr-FR"/>
        </w:rPr>
        <w:tab/>
      </w:r>
      <w:r>
        <w:rPr>
          <w:rFonts w:cs="Arial"/>
          <w:b/>
          <w:i/>
          <w:color w:val="333333"/>
          <w:sz w:val="20"/>
          <w:szCs w:val="20"/>
          <w:lang w:val="fr-FR"/>
        </w:rPr>
        <w:t>Adressée au Conseil scientifique</w:t>
      </w:r>
      <w:r>
        <w:rPr>
          <w:rFonts w:cs="Arial"/>
          <w:i/>
          <w:color w:val="333333"/>
          <w:sz w:val="20"/>
          <w:szCs w:val="20"/>
          <w:lang w:val="fr-FR"/>
        </w:rPr>
        <w:br/>
      </w:r>
    </w:p>
    <w:p w:rsidR="004017FE" w:rsidRDefault="00E07D92" w:rsidP="004017FE">
      <w:pPr>
        <w:shd w:val="clear" w:color="auto" w:fill="FFFFFF"/>
        <w:spacing w:after="0" w:line="240" w:lineRule="auto"/>
        <w:ind w:left="1134"/>
        <w:jc w:val="both"/>
        <w:rPr>
          <w:rFonts w:cs="Arial"/>
          <w:i/>
          <w:sz w:val="20"/>
          <w:szCs w:val="20"/>
          <w:lang w:val="fr-FR"/>
        </w:rPr>
      </w:pPr>
      <w:r>
        <w:rPr>
          <w:rFonts w:cs="Arial"/>
          <w:i/>
          <w:sz w:val="20"/>
          <w:szCs w:val="20"/>
          <w:lang w:val="fr-FR"/>
        </w:rPr>
        <w:tab/>
      </w:r>
      <w:r w:rsidR="004017FE">
        <w:rPr>
          <w:rFonts w:cs="Arial"/>
          <w:i/>
          <w:sz w:val="20"/>
          <w:szCs w:val="20"/>
          <w:lang w:val="fr-FR"/>
        </w:rPr>
        <w:t>Le Conseil scientifique :</w:t>
      </w:r>
    </w:p>
    <w:p w:rsidR="004017FE" w:rsidRDefault="004017FE" w:rsidP="004017FE">
      <w:pPr>
        <w:shd w:val="clear" w:color="auto" w:fill="FFFFFF"/>
        <w:spacing w:after="0" w:line="240" w:lineRule="auto"/>
        <w:ind w:left="1134"/>
        <w:jc w:val="both"/>
        <w:rPr>
          <w:rFonts w:cs="Arial"/>
          <w:i/>
          <w:sz w:val="20"/>
          <w:szCs w:val="20"/>
          <w:lang w:val="fr-FR"/>
        </w:rPr>
      </w:pPr>
    </w:p>
    <w:p w:rsidR="004017FE" w:rsidRDefault="004017FE" w:rsidP="00E07D92">
      <w:pPr>
        <w:pStyle w:val="ListParagraph"/>
        <w:numPr>
          <w:ilvl w:val="0"/>
          <w:numId w:val="9"/>
        </w:numPr>
        <w:shd w:val="clear" w:color="auto" w:fill="FFFFFF"/>
        <w:spacing w:after="0" w:line="240" w:lineRule="auto"/>
        <w:ind w:left="1985" w:hanging="567"/>
        <w:jc w:val="both"/>
        <w:rPr>
          <w:rFonts w:cs="Arial"/>
          <w:i/>
          <w:sz w:val="20"/>
          <w:szCs w:val="20"/>
          <w:lang w:val="fr-FR"/>
        </w:rPr>
      </w:pPr>
      <w:r>
        <w:rPr>
          <w:rFonts w:cs="Arial"/>
          <w:i/>
          <w:sz w:val="20"/>
          <w:szCs w:val="20"/>
          <w:lang w:val="fr-FR"/>
        </w:rPr>
        <w:t>revoit :</w:t>
      </w:r>
    </w:p>
    <w:p w:rsidR="004017FE" w:rsidRDefault="004017FE" w:rsidP="004017FE">
      <w:pPr>
        <w:pStyle w:val="ListParagraph"/>
        <w:shd w:val="clear" w:color="auto" w:fill="FFFFFF"/>
        <w:spacing w:after="0" w:line="240" w:lineRule="auto"/>
        <w:ind w:left="1494"/>
        <w:jc w:val="both"/>
        <w:rPr>
          <w:rFonts w:cs="Arial"/>
          <w:i/>
          <w:sz w:val="20"/>
          <w:szCs w:val="20"/>
          <w:lang w:val="fr-FR"/>
        </w:rPr>
      </w:pPr>
    </w:p>
    <w:p w:rsidR="004017FE" w:rsidRDefault="004017FE" w:rsidP="00E07D92">
      <w:pPr>
        <w:numPr>
          <w:ilvl w:val="0"/>
          <w:numId w:val="10"/>
        </w:numPr>
        <w:shd w:val="clear" w:color="auto" w:fill="FFFFFF"/>
        <w:tabs>
          <w:tab w:val="clear" w:pos="1440"/>
          <w:tab w:val="num" w:pos="2552"/>
        </w:tabs>
        <w:spacing w:after="0" w:line="240" w:lineRule="auto"/>
        <w:ind w:left="2552" w:hanging="425"/>
        <w:jc w:val="both"/>
        <w:rPr>
          <w:rFonts w:cs="Arial"/>
          <w:i/>
          <w:sz w:val="20"/>
          <w:szCs w:val="20"/>
          <w:lang w:val="fr-FR"/>
        </w:rPr>
      </w:pPr>
      <w:r>
        <w:rPr>
          <w:rFonts w:cs="Arial"/>
          <w:i/>
          <w:sz w:val="20"/>
          <w:szCs w:val="20"/>
          <w:lang w:val="fr-FR"/>
        </w:rPr>
        <w:t>UNEP/CMS/Résolution 7.18 (Rev.COP12) sur l’Accord entre les États de l’aire de répartition pour la conservation du dugong (Dugong dugon),</w:t>
      </w:r>
    </w:p>
    <w:p w:rsidR="00E07D92" w:rsidRDefault="00E07D92" w:rsidP="00E07D92">
      <w:pPr>
        <w:shd w:val="clear" w:color="auto" w:fill="FFFFFF"/>
        <w:spacing w:after="0" w:line="240" w:lineRule="auto"/>
        <w:ind w:left="2552"/>
        <w:jc w:val="both"/>
        <w:rPr>
          <w:rFonts w:cs="Arial"/>
          <w:i/>
          <w:sz w:val="20"/>
          <w:szCs w:val="20"/>
          <w:lang w:val="fr-FR"/>
        </w:rPr>
      </w:pPr>
    </w:p>
    <w:p w:rsidR="004017FE" w:rsidRDefault="004017FE" w:rsidP="00E07D92">
      <w:pPr>
        <w:numPr>
          <w:ilvl w:val="0"/>
          <w:numId w:val="10"/>
        </w:numPr>
        <w:shd w:val="clear" w:color="auto" w:fill="FFFFFF"/>
        <w:tabs>
          <w:tab w:val="clear" w:pos="1440"/>
          <w:tab w:val="num" w:pos="2552"/>
        </w:tabs>
        <w:spacing w:after="0" w:line="240" w:lineRule="auto"/>
        <w:ind w:left="2552" w:hanging="425"/>
        <w:jc w:val="both"/>
        <w:rPr>
          <w:rFonts w:cs="Arial"/>
          <w:b/>
          <w:i/>
          <w:sz w:val="20"/>
          <w:szCs w:val="20"/>
          <w:lang w:val="fr-FR"/>
        </w:rPr>
      </w:pPr>
      <w:r>
        <w:rPr>
          <w:rFonts w:cs="Arial"/>
          <w:b/>
          <w:i/>
          <w:sz w:val="20"/>
          <w:szCs w:val="20"/>
          <w:lang w:val="fr-FR"/>
        </w:rPr>
        <w:t>UNEP/CMS/Résolution 8.16 (Rev.COP12) sur les requins migrateurs, et</w:t>
      </w:r>
    </w:p>
    <w:p w:rsidR="00E07D92" w:rsidRDefault="00E07D92" w:rsidP="00E07D92">
      <w:pPr>
        <w:shd w:val="clear" w:color="auto" w:fill="FFFFFF"/>
        <w:spacing w:after="0" w:line="240" w:lineRule="auto"/>
        <w:ind w:left="2552"/>
        <w:jc w:val="both"/>
        <w:rPr>
          <w:rFonts w:cs="Arial"/>
          <w:b/>
          <w:i/>
          <w:sz w:val="20"/>
          <w:szCs w:val="20"/>
          <w:lang w:val="fr-FR"/>
        </w:rPr>
      </w:pPr>
    </w:p>
    <w:p w:rsidR="004017FE" w:rsidRDefault="004017FE" w:rsidP="00E07D92">
      <w:pPr>
        <w:numPr>
          <w:ilvl w:val="0"/>
          <w:numId w:val="10"/>
        </w:numPr>
        <w:shd w:val="clear" w:color="auto" w:fill="FFFFFF"/>
        <w:tabs>
          <w:tab w:val="clear" w:pos="1440"/>
          <w:tab w:val="num" w:pos="2552"/>
        </w:tabs>
        <w:spacing w:after="0" w:line="240" w:lineRule="auto"/>
        <w:ind w:left="2552" w:hanging="425"/>
        <w:jc w:val="both"/>
        <w:rPr>
          <w:rFonts w:cs="Arial"/>
          <w:i/>
          <w:sz w:val="20"/>
          <w:szCs w:val="20"/>
          <w:lang w:val="fr-FR"/>
        </w:rPr>
      </w:pPr>
      <w:r>
        <w:rPr>
          <w:rFonts w:cs="Arial"/>
          <w:i/>
          <w:sz w:val="20"/>
          <w:szCs w:val="20"/>
          <w:lang w:val="fr-FR"/>
        </w:rPr>
        <w:t>UNEP/CMS/Résolution 6.3 (Rev.COP12) sur la conservation des albatros dans l’hémisphère sud</w:t>
      </w:r>
    </w:p>
    <w:p w:rsidR="004017FE" w:rsidRDefault="004017FE" w:rsidP="004017FE">
      <w:pPr>
        <w:shd w:val="clear" w:color="auto" w:fill="FFFFFF"/>
        <w:spacing w:after="0" w:line="240" w:lineRule="auto"/>
        <w:ind w:left="1843"/>
        <w:jc w:val="both"/>
        <w:rPr>
          <w:rFonts w:cs="Arial"/>
          <w:i/>
          <w:sz w:val="20"/>
          <w:szCs w:val="20"/>
          <w:lang w:val="fr-FR"/>
        </w:rPr>
      </w:pPr>
    </w:p>
    <w:p w:rsidR="004017FE" w:rsidRDefault="004017FE" w:rsidP="004017FE">
      <w:pPr>
        <w:shd w:val="clear" w:color="auto" w:fill="FFFFFF"/>
        <w:spacing w:after="0" w:line="240" w:lineRule="auto"/>
        <w:ind w:left="1134"/>
        <w:jc w:val="both"/>
        <w:rPr>
          <w:rFonts w:cs="Arial"/>
          <w:i/>
          <w:sz w:val="20"/>
          <w:szCs w:val="20"/>
          <w:lang w:val="fr-FR"/>
        </w:rPr>
      </w:pPr>
      <w:r>
        <w:rPr>
          <w:rFonts w:cs="Arial"/>
          <w:i/>
          <w:sz w:val="20"/>
          <w:szCs w:val="20"/>
          <w:lang w:val="fr-FR"/>
        </w:rPr>
        <w:t>afin de déterminer si elles doivent faire l’objet d’une révision à la lumière de nouvelles informations scientifiques et d’autres faits nouveaux et de proposer des amendements, selon que de besoin ;</w:t>
      </w:r>
    </w:p>
    <w:p w:rsidR="004017FE" w:rsidRDefault="004017FE" w:rsidP="004017FE">
      <w:pPr>
        <w:shd w:val="clear" w:color="auto" w:fill="FFFFFF"/>
        <w:spacing w:after="0" w:line="240" w:lineRule="auto"/>
        <w:ind w:left="1134"/>
        <w:jc w:val="both"/>
        <w:rPr>
          <w:rFonts w:cs="Arial"/>
          <w:i/>
          <w:sz w:val="20"/>
          <w:szCs w:val="20"/>
          <w:lang w:val="fr-FR"/>
        </w:rPr>
      </w:pPr>
    </w:p>
    <w:p w:rsidR="004017FE" w:rsidRDefault="004017FE" w:rsidP="00E07D92">
      <w:pPr>
        <w:shd w:val="clear" w:color="auto" w:fill="FFFFFF"/>
        <w:spacing w:after="0" w:line="240" w:lineRule="auto"/>
        <w:ind w:left="1985" w:hanging="567"/>
        <w:jc w:val="both"/>
        <w:rPr>
          <w:rFonts w:cs="Arial"/>
          <w:i/>
          <w:sz w:val="20"/>
          <w:szCs w:val="20"/>
          <w:lang w:val="fr-FR"/>
        </w:rPr>
      </w:pPr>
      <w:r>
        <w:rPr>
          <w:rFonts w:cs="Arial"/>
          <w:i/>
          <w:sz w:val="20"/>
          <w:szCs w:val="20"/>
          <w:lang w:val="fr-FR"/>
        </w:rPr>
        <w:t xml:space="preserve">b) </w:t>
      </w:r>
      <w:r w:rsidR="00E07D92">
        <w:rPr>
          <w:rFonts w:cs="Arial"/>
          <w:i/>
          <w:sz w:val="20"/>
          <w:szCs w:val="20"/>
          <w:lang w:val="fr-FR"/>
        </w:rPr>
        <w:tab/>
      </w:r>
      <w:r>
        <w:rPr>
          <w:rFonts w:cs="Arial"/>
          <w:i/>
          <w:sz w:val="20"/>
          <w:szCs w:val="20"/>
          <w:lang w:val="fr-FR"/>
        </w:rPr>
        <w:t>soumet les amendements proposés ou une nouvelle résolution, le cas échéant, au Comité permanent pour examen à sa 49</w:t>
      </w:r>
      <w:r>
        <w:rPr>
          <w:rFonts w:cs="Arial"/>
          <w:i/>
          <w:sz w:val="20"/>
          <w:szCs w:val="20"/>
          <w:vertAlign w:val="superscript"/>
          <w:lang w:val="fr-FR"/>
        </w:rPr>
        <w:t>e</w:t>
      </w:r>
      <w:r>
        <w:rPr>
          <w:rFonts w:cs="Arial"/>
          <w:i/>
          <w:sz w:val="20"/>
          <w:szCs w:val="20"/>
          <w:lang w:val="fr-FR"/>
        </w:rPr>
        <w:t> Réunion.</w:t>
      </w:r>
    </w:p>
    <w:p w:rsidR="004017FE" w:rsidRDefault="004017FE" w:rsidP="004017FE">
      <w:pPr>
        <w:shd w:val="clear" w:color="auto" w:fill="FFFFFF"/>
        <w:spacing w:after="0" w:line="240" w:lineRule="auto"/>
        <w:ind w:left="1134"/>
        <w:jc w:val="both"/>
        <w:rPr>
          <w:rFonts w:cs="Arial"/>
          <w:b/>
          <w:bCs/>
          <w:i/>
          <w:sz w:val="20"/>
          <w:szCs w:val="20"/>
          <w:lang w:val="fr-FR"/>
        </w:rPr>
      </w:pPr>
    </w:p>
    <w:p w:rsidR="004017FE" w:rsidRDefault="004017FE" w:rsidP="00E07D92">
      <w:pPr>
        <w:shd w:val="clear" w:color="auto" w:fill="FFFFFF"/>
        <w:spacing w:after="0" w:line="240" w:lineRule="auto"/>
        <w:ind w:left="567"/>
        <w:jc w:val="both"/>
        <w:rPr>
          <w:rFonts w:cs="Arial"/>
          <w:i/>
          <w:sz w:val="20"/>
          <w:szCs w:val="20"/>
          <w:lang w:val="fr-FR"/>
        </w:rPr>
      </w:pPr>
      <w:r>
        <w:rPr>
          <w:rFonts w:cs="Arial"/>
          <w:b/>
          <w:i/>
          <w:sz w:val="20"/>
          <w:szCs w:val="20"/>
          <w:lang w:val="fr-FR"/>
        </w:rPr>
        <w:t>12.12</w:t>
      </w:r>
      <w:r w:rsidR="00E07D92">
        <w:rPr>
          <w:rFonts w:cs="Arial"/>
          <w:b/>
          <w:i/>
          <w:sz w:val="20"/>
          <w:szCs w:val="20"/>
          <w:lang w:val="fr-FR"/>
        </w:rPr>
        <w:tab/>
        <w:t>A</w:t>
      </w:r>
      <w:r>
        <w:rPr>
          <w:rFonts w:cs="Arial"/>
          <w:b/>
          <w:i/>
          <w:sz w:val="20"/>
          <w:szCs w:val="20"/>
          <w:lang w:val="fr-FR"/>
        </w:rPr>
        <w:t>dressée au Comité permanent</w:t>
      </w:r>
    </w:p>
    <w:p w:rsidR="004017FE" w:rsidRDefault="004017FE" w:rsidP="004017FE">
      <w:pPr>
        <w:shd w:val="clear" w:color="auto" w:fill="FFFFFF"/>
        <w:spacing w:after="0" w:line="240" w:lineRule="auto"/>
        <w:ind w:left="1134"/>
        <w:jc w:val="both"/>
        <w:rPr>
          <w:rFonts w:cs="Arial"/>
          <w:i/>
          <w:sz w:val="20"/>
          <w:szCs w:val="20"/>
          <w:lang w:val="fr-FR"/>
        </w:rPr>
      </w:pPr>
    </w:p>
    <w:p w:rsidR="004017FE" w:rsidRDefault="004017FE" w:rsidP="00E07D92">
      <w:pPr>
        <w:shd w:val="clear" w:color="auto" w:fill="FFFFFF"/>
        <w:spacing w:after="0" w:line="240" w:lineRule="auto"/>
        <w:ind w:left="1418"/>
        <w:jc w:val="both"/>
        <w:rPr>
          <w:rFonts w:cs="Arial"/>
          <w:i/>
          <w:sz w:val="20"/>
          <w:szCs w:val="20"/>
          <w:lang w:val="fr-FR"/>
        </w:rPr>
      </w:pPr>
      <w:r>
        <w:rPr>
          <w:rFonts w:cs="Arial"/>
          <w:i/>
          <w:sz w:val="20"/>
          <w:szCs w:val="20"/>
          <w:lang w:val="fr-FR"/>
        </w:rPr>
        <w:t>Le Comité permanent examine les amendements proposés ou la nouvelle résolution du Conseil scientifique visés à l’alinéa b) de la décision 12.11 et soumet tout amendement proposé aux résolutions ou toute nouvelle résolution à la Conférence des Parties lors de sa 13</w:t>
      </w:r>
      <w:r>
        <w:rPr>
          <w:rFonts w:cs="Arial"/>
          <w:i/>
          <w:sz w:val="20"/>
          <w:szCs w:val="20"/>
          <w:vertAlign w:val="superscript"/>
          <w:lang w:val="fr-FR"/>
        </w:rPr>
        <w:t>e</w:t>
      </w:r>
      <w:r>
        <w:rPr>
          <w:rFonts w:cs="Arial"/>
          <w:i/>
          <w:sz w:val="20"/>
          <w:szCs w:val="20"/>
          <w:lang w:val="fr-FR"/>
        </w:rPr>
        <w:t> session pour examen et décision.</w:t>
      </w:r>
    </w:p>
    <w:p w:rsidR="004017FE" w:rsidRDefault="004017FE" w:rsidP="004017FE">
      <w:pPr>
        <w:widowControl w:val="0"/>
        <w:autoSpaceDE w:val="0"/>
        <w:autoSpaceDN w:val="0"/>
        <w:adjustRightInd w:val="0"/>
        <w:spacing w:after="0" w:line="240" w:lineRule="auto"/>
        <w:ind w:left="360"/>
        <w:contextualSpacing/>
        <w:jc w:val="both"/>
        <w:rPr>
          <w:rFonts w:eastAsia="Calibri" w:cs="Arial"/>
          <w:sz w:val="24"/>
          <w:szCs w:val="24"/>
          <w:lang w:val="fr-FR"/>
        </w:rPr>
      </w:pPr>
    </w:p>
    <w:p w:rsidR="00EE28EB" w:rsidRPr="005E5A77" w:rsidRDefault="00EE28EB" w:rsidP="005E5A77">
      <w:pPr>
        <w:pStyle w:val="Firstnumbering"/>
        <w:numPr>
          <w:ilvl w:val="0"/>
          <w:numId w:val="8"/>
        </w:numPr>
        <w:ind w:left="567" w:hanging="567"/>
        <w:rPr>
          <w:rFonts w:ascii="Times New Roman" w:eastAsia="Calibri" w:hAnsi="Times New Roman" w:cs="Arial"/>
        </w:rPr>
      </w:pPr>
      <w:r w:rsidRPr="00EE28EB">
        <w:t>Le Conseil scientifique a entrepris cette tâche lors de la 4</w:t>
      </w:r>
      <w:r w:rsidRPr="00EE28EB">
        <w:rPr>
          <w:vertAlign w:val="superscript"/>
        </w:rPr>
        <w:t>e</w:t>
      </w:r>
      <w:r w:rsidRPr="00EE28EB">
        <w:t xml:space="preserve"> réunion du Comité de session du Conseil scientifique en ce qui concerne la Résolution 8.16 (Rev.COP12) </w:t>
      </w:r>
      <w:r w:rsidRPr="00405D5E">
        <w:rPr>
          <w:i/>
        </w:rPr>
        <w:t>Requins migrateurs</w:t>
      </w:r>
      <w:r w:rsidRPr="00405D5E">
        <w:rPr>
          <w:rStyle w:val="FootnoteReference"/>
          <w:rFonts w:eastAsia="Calibri"/>
        </w:rPr>
        <w:footnoteReference w:id="1"/>
      </w:r>
      <w:r w:rsidRPr="00405D5E">
        <w:t>.</w:t>
      </w:r>
      <w:r w:rsidRPr="00EE28EB">
        <w:t xml:space="preserve">  Dans le cadre du processus de révision, l'autre Résolution en vigueur sur ces taxons, la Résolution 11.20 </w:t>
      </w:r>
      <w:r w:rsidRPr="00405D5E">
        <w:rPr>
          <w:i/>
        </w:rPr>
        <w:t>Conservation des requins et des raies migrateurs</w:t>
      </w:r>
      <w:r w:rsidRPr="00EE28EB">
        <w:t xml:space="preserve"> a également été examinée par le Conseil scientifique. Une résolution consolidée a été préparée à l'intention des </w:t>
      </w:r>
      <w:r>
        <w:t>P</w:t>
      </w:r>
      <w:r w:rsidRPr="00EE28EB">
        <w:t>arties.</w:t>
      </w:r>
    </w:p>
    <w:p w:rsidR="005E5A77" w:rsidRPr="005E5A77" w:rsidRDefault="005E5A77" w:rsidP="005E5A77">
      <w:pPr>
        <w:pStyle w:val="Firstnumbering"/>
        <w:numPr>
          <w:ilvl w:val="0"/>
          <w:numId w:val="0"/>
        </w:numPr>
        <w:ind w:left="567"/>
        <w:rPr>
          <w:rFonts w:eastAsia="Calibri" w:cs="Arial"/>
        </w:rPr>
      </w:pPr>
    </w:p>
    <w:p w:rsidR="005E5A77" w:rsidRDefault="005E5A77" w:rsidP="005E5A77">
      <w:pPr>
        <w:pStyle w:val="Firstnumbering"/>
        <w:numPr>
          <w:ilvl w:val="0"/>
          <w:numId w:val="8"/>
        </w:numPr>
        <w:ind w:left="567" w:hanging="567"/>
        <w:rPr>
          <w:rFonts w:eastAsia="Calibri" w:cs="Arial"/>
        </w:rPr>
      </w:pPr>
      <w:r w:rsidRPr="005E5A77">
        <w:rPr>
          <w:rFonts w:eastAsia="Calibri" w:cs="Arial"/>
        </w:rPr>
        <w:t>Un paragraphe supplémentaire a été proposé pour donner des orientations aux Parties concernant l'application du paragraphe 5 de l'article III de la Convention.</w:t>
      </w:r>
    </w:p>
    <w:p w:rsidR="005E5A77" w:rsidRPr="005E5A77" w:rsidRDefault="005E5A77" w:rsidP="005E5A77">
      <w:pPr>
        <w:pStyle w:val="Firstnumbering"/>
        <w:numPr>
          <w:ilvl w:val="0"/>
          <w:numId w:val="0"/>
        </w:numPr>
        <w:ind w:left="567"/>
        <w:rPr>
          <w:rFonts w:eastAsia="Calibri" w:cs="Arial"/>
        </w:rPr>
      </w:pPr>
    </w:p>
    <w:p w:rsidR="005E5A77" w:rsidRDefault="005E5A77" w:rsidP="005E5A77">
      <w:pPr>
        <w:pStyle w:val="Firstnumbering"/>
        <w:numPr>
          <w:ilvl w:val="0"/>
          <w:numId w:val="8"/>
        </w:numPr>
        <w:ind w:left="567" w:hanging="567"/>
        <w:rPr>
          <w:rFonts w:eastAsia="Calibri" w:cs="Arial"/>
        </w:rPr>
      </w:pPr>
      <w:r w:rsidRPr="005E5A77">
        <w:rPr>
          <w:rFonts w:eastAsia="Calibri" w:cs="Arial"/>
        </w:rPr>
        <w:t xml:space="preserve">Pour aider à la mise en œuvre de la résolution, trois projets de </w:t>
      </w:r>
      <w:r>
        <w:rPr>
          <w:rFonts w:eastAsia="Calibri" w:cs="Arial"/>
        </w:rPr>
        <w:t>D</w:t>
      </w:r>
      <w:r w:rsidRPr="005E5A77">
        <w:rPr>
          <w:rFonts w:eastAsia="Calibri" w:cs="Arial"/>
        </w:rPr>
        <w:t>écision</w:t>
      </w:r>
      <w:r>
        <w:rPr>
          <w:rFonts w:eastAsia="Calibri" w:cs="Arial"/>
        </w:rPr>
        <w:t>s</w:t>
      </w:r>
      <w:r w:rsidRPr="005E5A77">
        <w:rPr>
          <w:rFonts w:eastAsia="Calibri" w:cs="Arial"/>
        </w:rPr>
        <w:t xml:space="preserve"> destinés aux Parties, au Conseil scientifique et au Secrétariat ont été inclus, qui précisent les mesures pertinentes relatives à la mise en œuvre de l'article III (5), y compris la législation nationale et la présentation de rapports.</w:t>
      </w:r>
    </w:p>
    <w:p w:rsidR="005E5A77" w:rsidRDefault="005E5A77" w:rsidP="005E5A77">
      <w:pPr>
        <w:pStyle w:val="Firstnumbering"/>
        <w:numPr>
          <w:ilvl w:val="0"/>
          <w:numId w:val="0"/>
        </w:numPr>
        <w:ind w:left="567"/>
        <w:rPr>
          <w:rFonts w:eastAsia="Calibri" w:cs="Arial"/>
        </w:rPr>
      </w:pPr>
      <w:r>
        <w:rPr>
          <w:rFonts w:eastAsia="Calibri" w:cs="Arial"/>
        </w:rPr>
        <w:br w:type="page"/>
      </w:r>
    </w:p>
    <w:p w:rsidR="005E5A77" w:rsidRPr="005E5A77" w:rsidRDefault="005E5A77" w:rsidP="005E5A77">
      <w:pPr>
        <w:pStyle w:val="Firstnumbering"/>
        <w:numPr>
          <w:ilvl w:val="0"/>
          <w:numId w:val="0"/>
        </w:numPr>
        <w:ind w:left="567"/>
        <w:rPr>
          <w:rFonts w:eastAsia="Calibri" w:cs="Arial"/>
        </w:rPr>
      </w:pPr>
    </w:p>
    <w:p w:rsidR="005E5A77" w:rsidRDefault="005E5A77" w:rsidP="005E5A77">
      <w:pPr>
        <w:pStyle w:val="Firstnumbering"/>
        <w:numPr>
          <w:ilvl w:val="0"/>
          <w:numId w:val="8"/>
        </w:numPr>
        <w:ind w:left="567" w:hanging="567"/>
        <w:rPr>
          <w:rFonts w:eastAsia="Calibri" w:cs="Arial"/>
        </w:rPr>
      </w:pPr>
      <w:r w:rsidRPr="005E5A77">
        <w:rPr>
          <w:rFonts w:eastAsia="Calibri" w:cs="Arial"/>
        </w:rPr>
        <w:t xml:space="preserve">Conformément à la pratique appliquée à la COP12, l'Annexe 1 présente un projet de </w:t>
      </w:r>
      <w:r>
        <w:rPr>
          <w:rFonts w:eastAsia="Calibri" w:cs="Arial"/>
        </w:rPr>
        <w:t>R</w:t>
      </w:r>
      <w:r w:rsidRPr="005E5A77">
        <w:rPr>
          <w:rFonts w:eastAsia="Calibri" w:cs="Arial"/>
        </w:rPr>
        <w:t>ésolution</w:t>
      </w:r>
      <w:r>
        <w:rPr>
          <w:rFonts w:eastAsia="Calibri" w:cs="Arial"/>
        </w:rPr>
        <w:t xml:space="preserve"> regroupée</w:t>
      </w:r>
      <w:r w:rsidRPr="005E5A77">
        <w:rPr>
          <w:rFonts w:eastAsia="Calibri" w:cs="Arial"/>
        </w:rPr>
        <w:t xml:space="preserve"> qui comprend, dans la colonne de gauche, le texte original et le préambule des Résolutions en cours de consolidation. La colonne de droite indique la source du texte et un commentaire sur toute modification proposée.</w:t>
      </w:r>
    </w:p>
    <w:p w:rsidR="004017FE" w:rsidRDefault="004017FE" w:rsidP="004017FE">
      <w:pPr>
        <w:spacing w:after="0" w:line="240" w:lineRule="auto"/>
        <w:ind w:left="720"/>
        <w:contextualSpacing/>
        <w:rPr>
          <w:rFonts w:eastAsia="Calibri" w:cs="Arial"/>
          <w:lang w:val="fr-FR"/>
        </w:rPr>
      </w:pPr>
    </w:p>
    <w:p w:rsidR="004017FE" w:rsidRDefault="004017FE" w:rsidP="004017FE">
      <w:pPr>
        <w:pStyle w:val="Firstnumbering"/>
        <w:numPr>
          <w:ilvl w:val="0"/>
          <w:numId w:val="8"/>
        </w:numPr>
        <w:ind w:left="567" w:hanging="567"/>
        <w:rPr>
          <w:rFonts w:ascii="Times New Roman" w:eastAsia="Calibri" w:hAnsi="Times New Roman" w:cs="Arial"/>
        </w:rPr>
      </w:pPr>
      <w:r>
        <w:t xml:space="preserve">L’Annexe 2 contient la version propre du projet de </w:t>
      </w:r>
      <w:r w:rsidR="005E5A77">
        <w:t>R</w:t>
      </w:r>
      <w:r>
        <w:t>ésolution globale et tient compte des observations figurant à l’Annexe 1.</w:t>
      </w:r>
    </w:p>
    <w:p w:rsidR="004017FE" w:rsidRDefault="004017FE" w:rsidP="004017FE">
      <w:pPr>
        <w:spacing w:after="0" w:line="240" w:lineRule="auto"/>
        <w:ind w:left="720"/>
        <w:contextualSpacing/>
        <w:rPr>
          <w:rFonts w:eastAsia="Calibri" w:cs="Arial"/>
          <w:lang w:val="fr-FR"/>
        </w:rPr>
      </w:pPr>
    </w:p>
    <w:p w:rsidR="004017FE" w:rsidRDefault="005E5A77" w:rsidP="004017FE">
      <w:pPr>
        <w:pStyle w:val="Firstnumbering"/>
        <w:numPr>
          <w:ilvl w:val="0"/>
          <w:numId w:val="8"/>
        </w:numPr>
        <w:ind w:left="567" w:hanging="567"/>
        <w:rPr>
          <w:rFonts w:ascii="Times New Roman" w:eastAsia="Calibri" w:hAnsi="Times New Roman" w:cs="Arial"/>
        </w:rPr>
      </w:pPr>
      <w:r>
        <w:t>L’</w:t>
      </w:r>
      <w:r w:rsidR="004017FE">
        <w:t xml:space="preserve">Annexe 3 présente les projets de décisions formulés à l’intention des Parties, du </w:t>
      </w:r>
      <w:proofErr w:type="spellStart"/>
      <w:r w:rsidR="004017FE">
        <w:t>Sécrétariat</w:t>
      </w:r>
      <w:proofErr w:type="spellEnd"/>
      <w:r w:rsidR="004017FE">
        <w:t xml:space="preserve"> et du Conseil scientifique en ce qui concerne les espèces chondrichtyennes inscrites à l’Annexe I.</w:t>
      </w:r>
    </w:p>
    <w:p w:rsidR="004017FE" w:rsidRDefault="004017FE" w:rsidP="004017FE">
      <w:pPr>
        <w:spacing w:after="0" w:line="240" w:lineRule="auto"/>
        <w:jc w:val="both"/>
        <w:rPr>
          <w:rFonts w:eastAsia="Calibri" w:cs="Arial"/>
          <w:lang w:val="fr-FR"/>
        </w:rPr>
      </w:pPr>
    </w:p>
    <w:p w:rsidR="004017FE" w:rsidRDefault="004017FE" w:rsidP="004017FE">
      <w:pPr>
        <w:spacing w:after="0" w:line="240" w:lineRule="auto"/>
        <w:jc w:val="both"/>
        <w:rPr>
          <w:rFonts w:eastAsia="Calibri" w:cs="Arial"/>
          <w:lang w:val="fr-FR"/>
        </w:rPr>
      </w:pPr>
    </w:p>
    <w:p w:rsidR="004017FE" w:rsidRDefault="004017FE" w:rsidP="004017FE">
      <w:pPr>
        <w:spacing w:after="0" w:line="240" w:lineRule="auto"/>
        <w:rPr>
          <w:rFonts w:cs="Arial"/>
          <w:u w:val="single"/>
        </w:rPr>
      </w:pPr>
      <w:r>
        <w:rPr>
          <w:rFonts w:cs="Arial"/>
          <w:u w:val="single"/>
        </w:rPr>
        <w:t xml:space="preserve">Actions </w:t>
      </w:r>
      <w:proofErr w:type="spellStart"/>
      <w:r>
        <w:rPr>
          <w:rFonts w:cs="Arial"/>
          <w:u w:val="single"/>
        </w:rPr>
        <w:t>recommandées</w:t>
      </w:r>
      <w:proofErr w:type="spellEnd"/>
      <w:r>
        <w:rPr>
          <w:rFonts w:cs="Arial"/>
          <w:u w:val="single"/>
        </w:rPr>
        <w:t> :</w:t>
      </w:r>
    </w:p>
    <w:p w:rsidR="005E5A77" w:rsidRDefault="005E5A77" w:rsidP="004017FE">
      <w:pPr>
        <w:spacing w:after="0" w:line="240" w:lineRule="auto"/>
        <w:rPr>
          <w:rFonts w:eastAsia="Calibri" w:cs="Arial"/>
          <w:u w:val="single"/>
          <w:lang w:val="en-GB"/>
        </w:rPr>
      </w:pPr>
    </w:p>
    <w:p w:rsidR="004017FE" w:rsidRDefault="004017FE" w:rsidP="004017FE">
      <w:pPr>
        <w:pStyle w:val="Firstnumbering"/>
        <w:numPr>
          <w:ilvl w:val="0"/>
          <w:numId w:val="8"/>
        </w:numPr>
        <w:ind w:left="567" w:hanging="567"/>
        <w:rPr>
          <w:rFonts w:ascii="Times New Roman" w:eastAsia="Calibri" w:hAnsi="Times New Roman" w:cs="Arial"/>
        </w:rPr>
      </w:pPr>
      <w:r>
        <w:t xml:space="preserve">Il est recommandé </w:t>
      </w:r>
      <w:r w:rsidR="005E5A77">
        <w:t>à la Conférence des Parties</w:t>
      </w:r>
      <w:r>
        <w:t xml:space="preserve"> de :</w:t>
      </w:r>
    </w:p>
    <w:p w:rsidR="004017FE" w:rsidRDefault="004017FE" w:rsidP="004017FE">
      <w:pPr>
        <w:spacing w:after="0" w:line="240" w:lineRule="auto"/>
        <w:ind w:left="1080"/>
        <w:contextualSpacing/>
        <w:jc w:val="both"/>
        <w:rPr>
          <w:rFonts w:eastAsia="Calibri" w:cs="Arial"/>
          <w:lang w:val="fr-FR"/>
        </w:rPr>
      </w:pPr>
    </w:p>
    <w:p w:rsidR="004017FE" w:rsidRDefault="004017FE" w:rsidP="004017FE">
      <w:pPr>
        <w:widowControl w:val="0"/>
        <w:numPr>
          <w:ilvl w:val="0"/>
          <w:numId w:val="11"/>
        </w:numPr>
        <w:autoSpaceDE w:val="0"/>
        <w:autoSpaceDN w:val="0"/>
        <w:adjustRightInd w:val="0"/>
        <w:spacing w:after="0" w:line="240" w:lineRule="auto"/>
        <w:ind w:left="1134" w:hanging="567"/>
        <w:contextualSpacing/>
        <w:jc w:val="both"/>
        <w:rPr>
          <w:rFonts w:eastAsia="Calibri" w:cs="Arial"/>
          <w:lang w:val="fr-FR"/>
        </w:rPr>
      </w:pPr>
      <w:r>
        <w:rPr>
          <w:rFonts w:cs="Arial"/>
          <w:lang w:val="fr-FR"/>
        </w:rPr>
        <w:t>examiner les propositions formulées à l’Annexe 1 ;</w:t>
      </w:r>
    </w:p>
    <w:p w:rsidR="004017FE" w:rsidRDefault="004017FE" w:rsidP="004017FE">
      <w:pPr>
        <w:widowControl w:val="0"/>
        <w:autoSpaceDE w:val="0"/>
        <w:autoSpaceDN w:val="0"/>
        <w:adjustRightInd w:val="0"/>
        <w:spacing w:after="0" w:line="240" w:lineRule="auto"/>
        <w:ind w:left="1134" w:hanging="567"/>
        <w:contextualSpacing/>
        <w:jc w:val="both"/>
        <w:rPr>
          <w:rFonts w:eastAsia="Calibri" w:cs="Arial"/>
          <w:lang w:val="fr-FR"/>
        </w:rPr>
      </w:pPr>
    </w:p>
    <w:p w:rsidR="004017FE" w:rsidRDefault="005E5A77" w:rsidP="004017FE">
      <w:pPr>
        <w:widowControl w:val="0"/>
        <w:numPr>
          <w:ilvl w:val="0"/>
          <w:numId w:val="11"/>
        </w:numPr>
        <w:autoSpaceDE w:val="0"/>
        <w:autoSpaceDN w:val="0"/>
        <w:adjustRightInd w:val="0"/>
        <w:spacing w:after="0" w:line="240" w:lineRule="auto"/>
        <w:ind w:left="1134" w:hanging="567"/>
        <w:contextualSpacing/>
        <w:jc w:val="both"/>
        <w:rPr>
          <w:rFonts w:eastAsia="Calibri" w:cs="Arial"/>
          <w:lang w:val="fr-FR"/>
        </w:rPr>
      </w:pPr>
      <w:r>
        <w:rPr>
          <w:rFonts w:cs="Arial"/>
          <w:lang w:val="fr-FR"/>
        </w:rPr>
        <w:t>adopter</w:t>
      </w:r>
      <w:r w:rsidR="004017FE">
        <w:rPr>
          <w:rFonts w:cs="Arial"/>
          <w:lang w:val="fr-FR"/>
        </w:rPr>
        <w:t xml:space="preserve"> la Résolution regroupée figurant à l’Annexe 2;</w:t>
      </w:r>
    </w:p>
    <w:p w:rsidR="004017FE" w:rsidRDefault="004017FE" w:rsidP="004017FE">
      <w:pPr>
        <w:spacing w:after="0" w:line="240" w:lineRule="auto"/>
        <w:ind w:left="1134" w:hanging="567"/>
        <w:contextualSpacing/>
        <w:rPr>
          <w:rFonts w:eastAsia="Calibri" w:cs="Arial"/>
          <w:lang w:val="fr-FR"/>
        </w:rPr>
      </w:pPr>
    </w:p>
    <w:p w:rsidR="004017FE" w:rsidRDefault="004017FE" w:rsidP="004017FE">
      <w:pPr>
        <w:widowControl w:val="0"/>
        <w:numPr>
          <w:ilvl w:val="0"/>
          <w:numId w:val="11"/>
        </w:numPr>
        <w:autoSpaceDE w:val="0"/>
        <w:autoSpaceDN w:val="0"/>
        <w:adjustRightInd w:val="0"/>
        <w:spacing w:after="0" w:line="240" w:lineRule="auto"/>
        <w:ind w:left="1134" w:hanging="567"/>
        <w:contextualSpacing/>
        <w:jc w:val="both"/>
        <w:rPr>
          <w:rFonts w:eastAsia="Calibri" w:cs="Arial"/>
          <w:lang w:val="fr-FR"/>
        </w:rPr>
      </w:pPr>
      <w:r>
        <w:rPr>
          <w:rFonts w:cs="Arial"/>
          <w:lang w:val="fr-FR"/>
        </w:rPr>
        <w:t xml:space="preserve">examiner et </w:t>
      </w:r>
      <w:r w:rsidR="005E5A77">
        <w:rPr>
          <w:rFonts w:cs="Arial"/>
          <w:lang w:val="fr-FR"/>
        </w:rPr>
        <w:t>adopter</w:t>
      </w:r>
      <w:r>
        <w:rPr>
          <w:rFonts w:cs="Arial"/>
          <w:lang w:val="fr-FR"/>
        </w:rPr>
        <w:t xml:space="preserve"> les Décisions figurant à l’Annexe 3 </w:t>
      </w:r>
    </w:p>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Calibri" w:cs="Arial"/>
          <w:caps/>
          <w:lang w:val="fr-FR"/>
        </w:rPr>
        <w:sectPr w:rsidR="004017FE"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4017FE" w:rsidRPr="004017FE" w:rsidRDefault="004017FE" w:rsidP="004017FE">
      <w:pPr>
        <w:spacing w:after="0" w:line="240" w:lineRule="auto"/>
        <w:jc w:val="right"/>
        <w:rPr>
          <w:rFonts w:eastAsia="Calibri" w:cs="Arial"/>
          <w:b/>
          <w:lang w:val="fr-FR"/>
        </w:rPr>
      </w:pPr>
      <w:r w:rsidRPr="004017FE">
        <w:rPr>
          <w:rFonts w:eastAsia="Times New Roman" w:cs="Arial"/>
          <w:b/>
          <w:lang w:val="fr-FR"/>
        </w:rPr>
        <w:lastRenderedPageBreak/>
        <w:t>ANNEXE 1</w:t>
      </w:r>
    </w:p>
    <w:p w:rsidR="004017FE" w:rsidRP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eastAsia="Times New Roman" w:cs="Arial"/>
          <w:b/>
          <w:caps/>
          <w:lang w:val="fr-FR"/>
        </w:rPr>
      </w:pPr>
    </w:p>
    <w:p w:rsidR="004017FE" w:rsidRP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eastAsia="Calibri" w:cs="Arial"/>
          <w:b/>
          <w:caps/>
          <w:lang w:val="fr-FR"/>
        </w:rPr>
      </w:pPr>
      <w:r w:rsidRPr="004017FE">
        <w:rPr>
          <w:rFonts w:eastAsia="Times New Roman" w:cs="Arial"/>
          <w:b/>
          <w:caps/>
          <w:lang w:val="fr-FR"/>
        </w:rPr>
        <w:t>Projet de RÉsolution REGROUPÉE :</w:t>
      </w:r>
      <w:r w:rsidRPr="004017FE">
        <w:rPr>
          <w:rFonts w:eastAsia="Calibri" w:cs="Arial"/>
          <w:b/>
          <w:caps/>
          <w:lang w:val="fr-FR"/>
        </w:rPr>
        <w:br/>
      </w:r>
      <w:r w:rsidRPr="004017FE">
        <w:rPr>
          <w:rFonts w:eastAsia="Times New Roman" w:cs="Arial"/>
          <w:b/>
          <w:caps/>
          <w:lang w:val="fr-FR"/>
        </w:rPr>
        <w:t>EspÈces chondrichtyennes</w:t>
      </w:r>
      <w:r w:rsidRPr="004017FE">
        <w:rPr>
          <w:rFonts w:eastAsia="Calibri" w:cs="Arial"/>
          <w:b/>
          <w:caps/>
          <w:lang w:val="fr-FR"/>
        </w:rPr>
        <w:br/>
      </w:r>
      <w:r w:rsidRPr="004017FE">
        <w:rPr>
          <w:rFonts w:eastAsia="Times New Roman" w:cs="Arial"/>
          <w:b/>
          <w:caps/>
          <w:lang w:val="fr-FR"/>
        </w:rPr>
        <w:t>(requins, raies, pocheteaux et chimÈres)</w:t>
      </w:r>
    </w:p>
    <w:p w:rsidR="004017FE" w:rsidRPr="004017FE" w:rsidRDefault="004017FE" w:rsidP="004017FE">
      <w:pPr>
        <w:spacing w:after="0" w:line="240" w:lineRule="auto"/>
        <w:jc w:val="both"/>
        <w:outlineLvl w:val="0"/>
        <w:rPr>
          <w:rFonts w:eastAsia="Calibri" w:cs="Arial"/>
          <w:b/>
          <w:lang w:val="fr-FR"/>
        </w:rPr>
      </w:pPr>
    </w:p>
    <w:p w:rsidR="004017FE" w:rsidRPr="004017FE" w:rsidRDefault="004017FE" w:rsidP="004017FE">
      <w:pPr>
        <w:spacing w:after="0" w:line="240" w:lineRule="auto"/>
        <w:jc w:val="both"/>
        <w:rPr>
          <w:rFonts w:eastAsia="Times New Roman" w:cs="Arial"/>
          <w:i/>
          <w:lang w:val="fr-FR"/>
        </w:rPr>
      </w:pPr>
      <w:r w:rsidRPr="004017FE">
        <w:rPr>
          <w:rFonts w:eastAsia="Times New Roman" w:cs="Arial"/>
          <w:i/>
          <w:lang w:val="fr-FR"/>
        </w:rPr>
        <w:t>N.B. :</w:t>
      </w:r>
      <w:r w:rsidRPr="004017FE">
        <w:rPr>
          <w:rFonts w:eastAsia="Times New Roman" w:cs="Arial"/>
          <w:lang w:val="fr-FR"/>
        </w:rPr>
        <w:tab/>
      </w:r>
      <w:r w:rsidRPr="004017FE">
        <w:rPr>
          <w:rFonts w:eastAsia="Times New Roman" w:cs="Arial"/>
          <w:i/>
          <w:lang w:val="fr-FR"/>
        </w:rPr>
        <w:t xml:space="preserve">Le nouveau texte est </w:t>
      </w:r>
      <w:r w:rsidRPr="004017FE">
        <w:rPr>
          <w:rFonts w:eastAsia="Times New Roman" w:cs="Arial"/>
          <w:i/>
          <w:u w:val="single"/>
          <w:lang w:val="fr-FR"/>
        </w:rPr>
        <w:t>souligné</w:t>
      </w:r>
      <w:r w:rsidRPr="004017FE">
        <w:rPr>
          <w:rFonts w:eastAsia="Times New Roman" w:cs="Arial"/>
          <w:i/>
          <w:lang w:val="fr-FR"/>
        </w:rPr>
        <w:t xml:space="preserve">. Le texte à effacer est </w:t>
      </w:r>
      <w:r w:rsidRPr="004017FE">
        <w:rPr>
          <w:rFonts w:eastAsia="Times New Roman" w:cs="Arial"/>
          <w:i/>
          <w:strike/>
          <w:lang w:val="fr-FR"/>
        </w:rPr>
        <w:t>barré</w:t>
      </w:r>
      <w:r w:rsidRPr="004017FE">
        <w:rPr>
          <w:rFonts w:eastAsia="Times New Roman" w:cs="Arial"/>
          <w:i/>
          <w:lang w:val="fr-FR"/>
        </w:rPr>
        <w:t>.</w:t>
      </w:r>
    </w:p>
    <w:p w:rsidR="004017FE" w:rsidRPr="004017FE" w:rsidRDefault="004017FE" w:rsidP="004017FE">
      <w:pPr>
        <w:spacing w:after="0" w:line="240" w:lineRule="auto"/>
        <w:jc w:val="both"/>
        <w:rPr>
          <w:rFonts w:eastAsia="Calibri" w:cs="Arial"/>
          <w:i/>
          <w:lang w:val="fr-F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4A0" w:firstRow="1" w:lastRow="0" w:firstColumn="1" w:lastColumn="0" w:noHBand="0" w:noVBand="1"/>
      </w:tblPr>
      <w:tblGrid>
        <w:gridCol w:w="6660"/>
        <w:gridCol w:w="3121"/>
      </w:tblGrid>
      <w:tr w:rsidR="004017FE" w:rsidRPr="004017FE" w:rsidTr="004017FE">
        <w:trPr>
          <w:trHeight w:val="314"/>
          <w:tblHeader/>
        </w:trPr>
        <w:tc>
          <w:tcPr>
            <w:tcW w:w="6660" w:type="dxa"/>
            <w:tcBorders>
              <w:top w:val="single" w:sz="4" w:space="0" w:color="auto"/>
              <w:left w:val="single" w:sz="4" w:space="0" w:color="auto"/>
              <w:bottom w:val="single" w:sz="4" w:space="0" w:color="auto"/>
              <w:right w:val="single" w:sz="4" w:space="0" w:color="auto"/>
            </w:tcBorders>
            <w:shd w:val="clear" w:color="auto" w:fill="E7E6E6"/>
            <w:hideMark/>
          </w:tcPr>
          <w:p w:rsidR="004017FE" w:rsidRPr="004017FE" w:rsidRDefault="004017FE" w:rsidP="004017FE">
            <w:pPr>
              <w:spacing w:line="256" w:lineRule="auto"/>
              <w:contextualSpacing/>
              <w:jc w:val="center"/>
              <w:rPr>
                <w:rFonts w:eastAsia="Calibri" w:cs="Arial"/>
                <w:b/>
              </w:rPr>
            </w:pPr>
            <w:proofErr w:type="spellStart"/>
            <w:r w:rsidRPr="004017FE">
              <w:rPr>
                <w:rFonts w:eastAsia="Times New Roman" w:cs="Arial"/>
                <w:b/>
              </w:rPr>
              <w:t>Texte</w:t>
            </w:r>
            <w:proofErr w:type="spellEnd"/>
            <w:r w:rsidRPr="004017FE">
              <w:rPr>
                <w:rFonts w:eastAsia="Times New Roman" w:cs="Arial"/>
                <w:b/>
              </w:rPr>
              <w:t xml:space="preserve"> des </w:t>
            </w:r>
            <w:proofErr w:type="spellStart"/>
            <w:r w:rsidRPr="004017FE">
              <w:rPr>
                <w:rFonts w:eastAsia="Times New Roman" w:cs="Arial"/>
                <w:b/>
              </w:rPr>
              <w:t>résolutions</w:t>
            </w:r>
            <w:proofErr w:type="spellEnd"/>
            <w:r w:rsidRPr="004017FE">
              <w:rPr>
                <w:rFonts w:eastAsia="Times New Roman" w:cs="Arial"/>
                <w:b/>
              </w:rPr>
              <w:t xml:space="preserve"> </w:t>
            </w:r>
            <w:proofErr w:type="spellStart"/>
            <w:r w:rsidRPr="004017FE">
              <w:rPr>
                <w:rFonts w:eastAsia="Times New Roman" w:cs="Arial"/>
                <w:b/>
              </w:rPr>
              <w:t>existantes</w:t>
            </w:r>
            <w:proofErr w:type="spellEnd"/>
          </w:p>
        </w:tc>
        <w:tc>
          <w:tcPr>
            <w:tcW w:w="3121" w:type="dxa"/>
            <w:tcBorders>
              <w:top w:val="single" w:sz="4" w:space="0" w:color="auto"/>
              <w:left w:val="single" w:sz="4" w:space="0" w:color="auto"/>
              <w:bottom w:val="single" w:sz="4" w:space="0" w:color="auto"/>
              <w:right w:val="single" w:sz="4" w:space="0" w:color="auto"/>
            </w:tcBorders>
            <w:shd w:val="clear" w:color="auto" w:fill="E7E6E6"/>
            <w:hideMark/>
          </w:tcPr>
          <w:p w:rsidR="004017FE" w:rsidRPr="004017FE" w:rsidRDefault="004017FE" w:rsidP="004017FE">
            <w:pPr>
              <w:spacing w:line="256" w:lineRule="auto"/>
              <w:contextualSpacing/>
              <w:jc w:val="center"/>
              <w:rPr>
                <w:rFonts w:eastAsia="Calibri" w:cs="Arial"/>
              </w:rPr>
            </w:pPr>
            <w:r w:rsidRPr="004017FE">
              <w:rPr>
                <w:rFonts w:eastAsia="Times New Roman" w:cs="Arial"/>
                <w:b/>
              </w:rPr>
              <w:t>Observations</w:t>
            </w:r>
          </w:p>
        </w:tc>
      </w:tr>
      <w:tr w:rsidR="004017FE" w:rsidRPr="00405D5E" w:rsidTr="004017FE">
        <w:trPr>
          <w:trHeight w:val="3180"/>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Reconnaissant</w:t>
            </w:r>
            <w:r w:rsidRPr="004017FE">
              <w:rPr>
                <w:rFonts w:eastAsia="Times New Roman" w:cs="Arial"/>
                <w:lang w:val="fr-FR"/>
              </w:rPr>
              <w:t xml:space="preserve"> les obligations de la communauté internationale en matière de conservation, de protection et de gestion des requins migrateurs, comme cela est souligné, entre autres, par la Convention sur la diversité biologique </w:t>
            </w:r>
            <w:r w:rsidRPr="004017FE">
              <w:rPr>
                <w:rFonts w:eastAsia="Times New Roman" w:cs="Arial"/>
                <w:u w:val="single"/>
                <w:lang w:val="fr-FR"/>
              </w:rPr>
              <w:t>(CDB)</w:t>
            </w:r>
            <w:r w:rsidRPr="004017FE">
              <w:rPr>
                <w:rFonts w:eastAsia="Times New Roman" w:cs="Arial"/>
                <w:lang w:val="fr-FR"/>
              </w:rPr>
              <w:t xml:space="preserve">, </w:t>
            </w:r>
            <w:r w:rsidRPr="004017FE">
              <w:rPr>
                <w:rFonts w:eastAsia="Times New Roman" w:cs="Arial"/>
                <w:u w:val="single"/>
                <w:lang w:val="fr-FR"/>
              </w:rPr>
              <w:t>la Convention sur la conservation des espèces migratrices (CMS)</w:t>
            </w:r>
            <w:r w:rsidRPr="004017FE">
              <w:rPr>
                <w:rFonts w:eastAsia="Times New Roman" w:cs="Arial"/>
                <w:lang w:val="fr-FR"/>
              </w:rPr>
              <w:t xml:space="preserve">, la Convention sur le commerce international des espèces de faune et de flore sauvages menacées d’extinction (CITES), la Convention des Nations Unies sur le droit de la mer, l’Accord aux fins d’application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 Plan d’action international pour la conservation et la gestion des requins </w:t>
            </w:r>
            <w:r w:rsidRPr="004017FE">
              <w:rPr>
                <w:rFonts w:eastAsia="Times New Roman" w:cs="Arial"/>
                <w:u w:val="single"/>
                <w:lang w:val="fr-FR"/>
              </w:rPr>
              <w:t>(PAI-REQUINS)</w:t>
            </w:r>
            <w:r w:rsidRPr="004017FE">
              <w:rPr>
                <w:rFonts w:eastAsia="Times New Roman" w:cs="Arial"/>
                <w:lang w:val="fr-FR"/>
              </w:rPr>
              <w:t xml:space="preserve"> de l’</w:t>
            </w:r>
            <w:r w:rsidRPr="004017FE">
              <w:rPr>
                <w:rFonts w:eastAsia="Times New Roman" w:cs="Arial"/>
                <w:u w:val="single"/>
                <w:lang w:val="fr-FR"/>
              </w:rPr>
              <w:t>Organisation des Nations Unies pour l’alimentation et l’agriculture</w:t>
            </w:r>
            <w:r w:rsidRPr="004017FE">
              <w:rPr>
                <w:rFonts w:eastAsia="Times New Roman" w:cs="Arial"/>
                <w:lang w:val="fr-FR"/>
              </w:rPr>
              <w:t xml:space="preserve"> (FAO), et de son Comité des pêches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préciser la forme longue de « CMS » et de « FAO » et pour ajouter les acronymes pour « Convention sur la diversité biologique » et « Plan d’action international pour la conservation et la gestion des requins »</w:t>
            </w:r>
          </w:p>
        </w:tc>
      </w:tr>
      <w:tr w:rsidR="004017FE" w:rsidRPr="004017FE" w:rsidTr="004017FE">
        <w:trPr>
          <w:trHeight w:val="620"/>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30" w:lineRule="auto"/>
              <w:jc w:val="both"/>
              <w:rPr>
                <w:rFonts w:eastAsia="Calibri" w:cs="Arial"/>
                <w:lang w:val="fr-FR"/>
              </w:rPr>
            </w:pPr>
            <w:r w:rsidRPr="004017FE">
              <w:rPr>
                <w:rFonts w:eastAsia="Times New Roman" w:cs="Arial"/>
                <w:i/>
                <w:lang w:val="fr-FR"/>
              </w:rPr>
              <w:t>Reconnaissant</w:t>
            </w:r>
            <w:r w:rsidRPr="004017FE">
              <w:rPr>
                <w:rFonts w:eastAsia="Times New Roman" w:cs="Arial"/>
                <w:lang w:val="fr-FR"/>
              </w:rPr>
              <w:t xml:space="preserve"> que conformément à la CMS, les États de l’aire de répartition doivent prendre des mesures de conservation, de protection et de gestion des espèces migratrices et s’efforcer de conclure des Accords en vue de promouvoir la conservation et la gestion des espèces migratrices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rPr>
            </w:pPr>
            <w:proofErr w:type="spellStart"/>
            <w:r w:rsidRPr="004017FE">
              <w:rPr>
                <w:rFonts w:eastAsia="Times New Roman" w:cs="Arial"/>
              </w:rPr>
              <w:t>Résolution</w:t>
            </w:r>
            <w:proofErr w:type="spellEnd"/>
            <w:r w:rsidRPr="004017FE">
              <w:rPr>
                <w:rFonts w:eastAsia="Times New Roman" w:cs="Arial"/>
              </w:rPr>
              <w:t> 8.16 (Rev.COP12)</w:t>
            </w:r>
          </w:p>
          <w:p w:rsidR="004017FE" w:rsidRPr="004017FE" w:rsidRDefault="004017FE" w:rsidP="004017FE">
            <w:pPr>
              <w:spacing w:line="256" w:lineRule="auto"/>
              <w:contextualSpacing/>
              <w:rPr>
                <w:rFonts w:eastAsia="Calibri" w:cs="Arial"/>
              </w:rPr>
            </w:pPr>
          </w:p>
          <w:p w:rsidR="004017FE" w:rsidRPr="004017FE" w:rsidRDefault="004017FE" w:rsidP="004017FE">
            <w:pPr>
              <w:spacing w:line="256" w:lineRule="auto"/>
              <w:contextualSpacing/>
              <w:rPr>
                <w:rFonts w:eastAsia="Calibri" w:cs="Arial"/>
              </w:rPr>
            </w:pPr>
            <w:proofErr w:type="spellStart"/>
            <w:r w:rsidRPr="004017FE">
              <w:rPr>
                <w:rFonts w:eastAsia="Times New Roman" w:cs="Arial"/>
              </w:rPr>
              <w:t>Maintenu</w:t>
            </w:r>
            <w:proofErr w:type="spellEnd"/>
          </w:p>
        </w:tc>
      </w:tr>
      <w:tr w:rsidR="004017FE" w:rsidRPr="00405D5E" w:rsidTr="004017FE">
        <w:trPr>
          <w:trHeight w:val="620"/>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Notant</w:t>
            </w:r>
            <w:r w:rsidRPr="004017FE">
              <w:rPr>
                <w:rFonts w:eastAsia="Times New Roman" w:cs="Arial"/>
                <w:lang w:val="fr-FR"/>
              </w:rPr>
              <w:t xml:space="preserve"> que plusieurs espèces </w:t>
            </w:r>
            <w:r w:rsidRPr="004017FE">
              <w:rPr>
                <w:rFonts w:eastAsia="Times New Roman" w:cs="Arial"/>
                <w:strike/>
                <w:lang w:val="fr-FR"/>
              </w:rPr>
              <w:t>de requins</w:t>
            </w:r>
            <w:r w:rsidRPr="004017FE">
              <w:rPr>
                <w:rFonts w:eastAsia="Times New Roman" w:cs="Arial"/>
                <w:lang w:val="fr-FR"/>
              </w:rPr>
              <w:t xml:space="preserve"> </w:t>
            </w:r>
            <w:r w:rsidRPr="004017FE">
              <w:rPr>
                <w:rFonts w:eastAsia="Times New Roman" w:cs="Arial"/>
                <w:u w:val="single"/>
                <w:lang w:val="fr-FR"/>
              </w:rPr>
              <w:t>chondrichtyennes</w:t>
            </w:r>
            <w:r w:rsidRPr="004017FE">
              <w:rPr>
                <w:rFonts w:eastAsia="Times New Roman" w:cs="Arial"/>
                <w:lang w:val="fr-FR"/>
              </w:rPr>
              <w:t xml:space="preserve"> sont déjà inscrites aux Annexes I et II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620"/>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strike/>
                <w:lang w:val="fr-FR"/>
              </w:rPr>
            </w:pPr>
            <w:r w:rsidRPr="004017FE">
              <w:rPr>
                <w:rFonts w:eastAsia="Times New Roman" w:cs="Arial"/>
                <w:i/>
                <w:strike/>
                <w:lang w:val="fr-FR"/>
              </w:rPr>
              <w:t>Consciente</w:t>
            </w:r>
            <w:r w:rsidRPr="004017FE">
              <w:rPr>
                <w:rFonts w:eastAsia="Times New Roman" w:cs="Arial"/>
                <w:strike/>
                <w:lang w:val="fr-FR"/>
              </w:rPr>
              <w:t xml:space="preserve"> du rôle vital joué par les requins dans l’écosystème et de la mortalité significative et continue des requins inscrits aux Annexes I et II du fait de toute une série d’impacts, y compris la destruction de leur habitat, les pêches ciblées, la pêche illégale, non déclarée et non réglementée (INN), et en tant que prises accessoires, et</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after="120" w:line="256" w:lineRule="auto"/>
              <w:rPr>
                <w:rFonts w:eastAsia="Calibri" w:cs="Arial"/>
                <w:lang w:val="fr-FR"/>
              </w:rPr>
            </w:pPr>
            <w:r w:rsidRPr="004017FE">
              <w:rPr>
                <w:rFonts w:eastAsia="Times New Roman" w:cs="Arial"/>
                <w:lang w:val="fr-FR"/>
              </w:rPr>
              <w:t>Résolution 8.16 (Rev.COP12)</w:t>
            </w:r>
          </w:p>
          <w:p w:rsidR="004017FE" w:rsidRPr="004017FE" w:rsidRDefault="004017FE" w:rsidP="004017FE">
            <w:pPr>
              <w:spacing w:after="0" w:line="256" w:lineRule="auto"/>
              <w:rPr>
                <w:rFonts w:eastAsia="Calibri" w:cs="Arial"/>
                <w:lang w:val="fr-FR"/>
              </w:rPr>
            </w:pPr>
            <w:r w:rsidRPr="004017FE">
              <w:rPr>
                <w:rFonts w:eastAsia="Times New Roman" w:cs="Arial"/>
                <w:lang w:val="fr-FR"/>
              </w:rPr>
              <w:t>Redondant ; le contenu de ce paragraphe a été fusionné avec celui d’un paragraphe similaire dans la résolution 11.20 (voir ci-dessous)</w:t>
            </w:r>
          </w:p>
        </w:tc>
      </w:tr>
      <w:tr w:rsidR="004017FE" w:rsidRPr="00405D5E" w:rsidTr="004017FE">
        <w:trPr>
          <w:trHeight w:val="620"/>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lastRenderedPageBreak/>
              <w:t>Notant</w:t>
            </w:r>
            <w:r w:rsidRPr="004017FE">
              <w:rPr>
                <w:rFonts w:eastAsia="Times New Roman" w:cs="Arial"/>
                <w:lang w:val="fr-FR"/>
              </w:rPr>
              <w:t xml:space="preserve"> l’importance de la coopération entre les États de l’aire de répartition dans la recherche future, la sensibilisation, le suivi du commerce et la réduction des prises accessoires </w:t>
            </w:r>
            <w:r w:rsidRPr="004017FE">
              <w:rPr>
                <w:rFonts w:eastAsia="Times New Roman" w:cs="Arial"/>
                <w:strike/>
                <w:lang w:val="fr-FR"/>
              </w:rPr>
              <w:t>des requins migrateurs</w:t>
            </w:r>
            <w:r w:rsidRPr="004017FE">
              <w:rPr>
                <w:rFonts w:eastAsia="Times New Roman" w:cs="Arial"/>
                <w:lang w:val="fr-FR"/>
              </w:rPr>
              <w:t xml:space="preserve"> </w:t>
            </w:r>
            <w:r w:rsidRPr="004017FE">
              <w:rPr>
                <w:rFonts w:eastAsia="Times New Roman" w:cs="Arial"/>
                <w:u w:val="single"/>
                <w:lang w:val="fr-FR"/>
              </w:rPr>
              <w:t>d’espèces chondrichtyennes migratrices</w:t>
            </w:r>
            <w:r w:rsidRPr="004017FE">
              <w:rPr>
                <w:rFonts w:eastAsia="Times New Roman" w:cs="Arial"/>
                <w:lang w:val="fr-FR"/>
              </w:rPr>
              <w:t xml:space="preserve">, et le fait que ces activités pourraient considérablement améliorer les résultats obtenus en matière de conservation </w:t>
            </w:r>
            <w:r w:rsidRPr="004017FE">
              <w:rPr>
                <w:rFonts w:eastAsia="Times New Roman" w:cs="Arial"/>
                <w:strike/>
                <w:lang w:val="fr-FR"/>
              </w:rPr>
              <w:t>des requins migrateurs</w:t>
            </w:r>
            <w:r w:rsidRPr="004017FE">
              <w:rPr>
                <w:rFonts w:eastAsia="Times New Roman" w:cs="Arial"/>
                <w:lang w:val="fr-FR"/>
              </w:rPr>
              <w:t xml:space="preserve"> </w:t>
            </w:r>
            <w:r w:rsidRPr="004017FE">
              <w:rPr>
                <w:rFonts w:eastAsia="Times New Roman" w:cs="Arial"/>
                <w:u w:val="single"/>
                <w:lang w:val="fr-FR"/>
              </w:rPr>
              <w:t>des espèces chondrichtyennes migratrices </w:t>
            </w:r>
            <w:r w:rsidRPr="004017FE">
              <w:rPr>
                <w:rFonts w:eastAsia="Times New Roman" w:cs="Arial"/>
                <w:lang w:val="fr-FR"/>
              </w:rPr>
              <w:t>;</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101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spacing w:val="-2"/>
                <w:lang w:val="fr-FR"/>
              </w:rPr>
            </w:pPr>
            <w:r w:rsidRPr="004017FE">
              <w:rPr>
                <w:rFonts w:eastAsia="Times New Roman" w:cs="Arial"/>
                <w:i/>
                <w:spacing w:val="-2"/>
                <w:lang w:val="fr-FR"/>
              </w:rPr>
              <w:t>Consciente</w:t>
            </w:r>
            <w:r w:rsidRPr="004017FE">
              <w:rPr>
                <w:rFonts w:eastAsia="Times New Roman" w:cs="Arial"/>
                <w:spacing w:val="-2"/>
                <w:lang w:val="fr-FR"/>
              </w:rPr>
              <w:t xml:space="preserve"> du rôle </w:t>
            </w:r>
            <w:proofErr w:type="spellStart"/>
            <w:r w:rsidRPr="004017FE">
              <w:rPr>
                <w:rFonts w:eastAsia="Times New Roman" w:cs="Arial"/>
                <w:spacing w:val="-2"/>
                <w:lang w:val="fr-FR"/>
              </w:rPr>
              <w:t>cucial</w:t>
            </w:r>
            <w:proofErr w:type="spellEnd"/>
            <w:r w:rsidRPr="004017FE">
              <w:rPr>
                <w:rFonts w:eastAsia="Times New Roman" w:cs="Arial"/>
                <w:spacing w:val="-2"/>
                <w:lang w:val="fr-FR"/>
              </w:rPr>
              <w:t xml:space="preserve"> joué par les </w:t>
            </w:r>
            <w:r w:rsidRPr="004017FE">
              <w:rPr>
                <w:rFonts w:eastAsia="Times New Roman" w:cs="Arial"/>
                <w:strike/>
                <w:spacing w:val="-2"/>
                <w:lang w:val="fr-FR"/>
              </w:rPr>
              <w:t>requins et les raies migrateurs</w:t>
            </w:r>
            <w:r w:rsidRPr="004017FE">
              <w:rPr>
                <w:rFonts w:eastAsia="Times New Roman" w:cs="Arial"/>
                <w:spacing w:val="-2"/>
                <w:lang w:val="fr-FR"/>
              </w:rPr>
              <w:t xml:space="preserve"> </w:t>
            </w:r>
            <w:r w:rsidRPr="004017FE">
              <w:rPr>
                <w:rFonts w:eastAsia="Times New Roman" w:cs="Arial"/>
                <w:spacing w:val="-2"/>
                <w:u w:val="single"/>
                <w:lang w:val="fr-FR"/>
              </w:rPr>
              <w:t>espèces chondrichtyennes migratrices</w:t>
            </w:r>
            <w:r w:rsidRPr="004017FE">
              <w:rPr>
                <w:rFonts w:eastAsia="Times New Roman" w:cs="Arial"/>
                <w:spacing w:val="-2"/>
                <w:lang w:val="fr-FR"/>
              </w:rPr>
              <w:t xml:space="preserve"> dans les écosystèmes marins et les économies locales, et </w:t>
            </w:r>
            <w:r w:rsidRPr="004017FE">
              <w:rPr>
                <w:rFonts w:eastAsia="Times New Roman" w:cs="Arial"/>
                <w:i/>
                <w:spacing w:val="-2"/>
                <w:lang w:val="fr-FR"/>
              </w:rPr>
              <w:t>préoccupée</w:t>
            </w:r>
            <w:r w:rsidRPr="004017FE">
              <w:rPr>
                <w:rFonts w:eastAsia="Times New Roman" w:cs="Arial"/>
                <w:spacing w:val="-2"/>
                <w:lang w:val="fr-FR"/>
              </w:rPr>
              <w:t xml:space="preserve"> par la mortalité importante de ces espèces, en particulier celles qui sont inscrites aux Annexes I et II de la </w:t>
            </w:r>
            <w:r w:rsidRPr="004017FE">
              <w:rPr>
                <w:rFonts w:eastAsia="Times New Roman" w:cs="Arial"/>
                <w:spacing w:val="-2"/>
                <w:u w:val="single"/>
                <w:lang w:val="fr-FR"/>
              </w:rPr>
              <w:t>CMS</w:t>
            </w:r>
            <w:r w:rsidRPr="004017FE">
              <w:rPr>
                <w:rFonts w:eastAsia="Times New Roman" w:cs="Arial"/>
                <w:strike/>
                <w:spacing w:val="-2"/>
                <w:lang w:val="fr-FR"/>
              </w:rPr>
              <w:t xml:space="preserve"> Convention</w:t>
            </w:r>
            <w:r w:rsidRPr="004017FE">
              <w:rPr>
                <w:rFonts w:eastAsia="Times New Roman" w:cs="Arial"/>
                <w:spacing w:val="-2"/>
                <w:lang w:val="fr-FR"/>
              </w:rPr>
              <w:t xml:space="preserve">, résultant de toute une gamme d’incidences et de menaces, </w:t>
            </w:r>
            <w:r w:rsidRPr="004017FE">
              <w:rPr>
                <w:rFonts w:eastAsia="Times New Roman" w:cs="Arial"/>
                <w:u w:val="single"/>
                <w:lang w:val="fr-FR"/>
              </w:rPr>
              <w:t>y compris la destruction de leur habitat, les pêches ciblées, la pêche illégale, non déclarée et non réglementée (INN), et en tant que prises accessoires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 et pour inclure les informations contenues dans la 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(voir le paragraphe 4 du préambule, jugé redondant et supprimé ci-dessus)</w:t>
            </w:r>
          </w:p>
        </w:tc>
      </w:tr>
      <w:tr w:rsidR="004017FE" w:rsidRPr="00405D5E" w:rsidTr="004017FE">
        <w:trPr>
          <w:trHeight w:val="548"/>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Prenant note</w:t>
            </w:r>
            <w:r w:rsidRPr="004017FE">
              <w:rPr>
                <w:rFonts w:eastAsia="Times New Roman" w:cs="Arial"/>
                <w:lang w:val="fr-FR"/>
              </w:rPr>
              <w:t xml:space="preserve"> de l’évaluation de l’UICN en 2014 sur l’état de conservation des </w:t>
            </w:r>
            <w:r w:rsidRPr="004017FE">
              <w:rPr>
                <w:rFonts w:eastAsia="Times New Roman" w:cs="Arial"/>
                <w:u w:val="single"/>
                <w:lang w:val="fr-FR"/>
              </w:rPr>
              <w:t>espèces chondrichtyennes</w:t>
            </w:r>
            <w:r w:rsidRPr="004017FE">
              <w:rPr>
                <w:rFonts w:eastAsia="Times New Roman" w:cs="Arial"/>
                <w:lang w:val="fr-FR"/>
              </w:rPr>
              <w:t xml:space="preserve"> </w:t>
            </w:r>
            <w:r w:rsidRPr="004017FE">
              <w:rPr>
                <w:rFonts w:eastAsia="Times New Roman" w:cs="Arial"/>
                <w:strike/>
                <w:lang w:val="fr-FR"/>
              </w:rPr>
              <w:t xml:space="preserve">requins, des raies (y compris le </w:t>
            </w:r>
            <w:proofErr w:type="spellStart"/>
            <w:r w:rsidRPr="004017FE">
              <w:rPr>
                <w:rFonts w:eastAsia="Times New Roman" w:cs="Arial"/>
                <w:strike/>
                <w:lang w:val="fr-FR"/>
              </w:rPr>
              <w:t>pocheteau</w:t>
            </w:r>
            <w:proofErr w:type="spellEnd"/>
            <w:r w:rsidRPr="004017FE">
              <w:rPr>
                <w:rFonts w:eastAsia="Times New Roman" w:cs="Arial"/>
                <w:strike/>
                <w:lang w:val="fr-FR"/>
              </w:rPr>
              <w:t xml:space="preserve">, le poisson-guitare, le poisson-scie, le poisson-paille, la raie torpille, etc.) et des espèces de chimères (poisson </w:t>
            </w:r>
            <w:proofErr w:type="spellStart"/>
            <w:r w:rsidRPr="004017FE">
              <w:rPr>
                <w:rFonts w:eastAsia="Times New Roman" w:cs="Arial"/>
                <w:strike/>
                <w:lang w:val="fr-FR"/>
              </w:rPr>
              <w:t>chondrichthyen</w:t>
            </w:r>
            <w:proofErr w:type="spellEnd"/>
            <w:r w:rsidRPr="004017FE">
              <w:rPr>
                <w:rFonts w:eastAsia="Times New Roman" w:cs="Arial"/>
                <w:strike/>
                <w:lang w:val="fr-FR"/>
              </w:rPr>
              <w:t>)</w:t>
            </w:r>
            <w:r w:rsidRPr="004017FE">
              <w:rPr>
                <w:rFonts w:eastAsia="Times New Roman" w:cs="Arial"/>
                <w:lang w:val="fr-FR"/>
              </w:rPr>
              <w:t>, qui estime qu’un quart de toutes les espèces examinées sont menacées d’extinction, et que seulement un tiers est classé comme étant une préoccupation mineure en termes de conservation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raccourcir le texte</w:t>
            </w:r>
          </w:p>
        </w:tc>
      </w:tr>
      <w:tr w:rsidR="004017FE" w:rsidRPr="00405D5E" w:rsidTr="004017FE">
        <w:trPr>
          <w:trHeight w:val="881"/>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Constatant</w:t>
            </w:r>
            <w:r w:rsidRPr="004017FE">
              <w:rPr>
                <w:rFonts w:eastAsia="Times New Roman" w:cs="Arial"/>
                <w:lang w:val="fr-FR"/>
              </w:rPr>
              <w:t xml:space="preserve"> que l’UICN a averti que les raies sont généralement plus menacées et moins protégées que les requins, et que </w:t>
            </w:r>
            <w:r w:rsidRPr="004017FE">
              <w:rPr>
                <w:rFonts w:eastAsia="Times New Roman" w:cs="Arial"/>
                <w:u w:val="single"/>
                <w:lang w:val="fr-FR"/>
              </w:rPr>
              <w:t xml:space="preserve">tous les </w:t>
            </w:r>
            <w:proofErr w:type="spellStart"/>
            <w:r w:rsidRPr="004017FE">
              <w:rPr>
                <w:rFonts w:eastAsia="Times New Roman" w:cs="Arial"/>
                <w:u w:val="single"/>
                <w:lang w:val="fr-FR"/>
              </w:rPr>
              <w:t>mobulidées</w:t>
            </w:r>
            <w:proofErr w:type="spellEnd"/>
            <w:r w:rsidRPr="004017FE">
              <w:rPr>
                <w:rFonts w:eastAsia="Times New Roman" w:cs="Arial"/>
                <w:u w:val="single"/>
                <w:lang w:val="fr-FR"/>
              </w:rPr>
              <w:t xml:space="preserve">, </w:t>
            </w:r>
            <w:proofErr w:type="spellStart"/>
            <w:r w:rsidRPr="004017FE">
              <w:rPr>
                <w:rFonts w:eastAsia="Times New Roman" w:cs="Arial"/>
                <w:u w:val="single"/>
                <w:lang w:val="fr-FR"/>
              </w:rPr>
              <w:t>poissons-scies</w:t>
            </w:r>
            <w:proofErr w:type="spellEnd"/>
            <w:r w:rsidRPr="004017FE">
              <w:rPr>
                <w:rFonts w:eastAsia="Times New Roman" w:cs="Arial"/>
                <w:u w:val="single"/>
                <w:lang w:val="fr-FR"/>
              </w:rPr>
              <w:t>, et l’ensemble de la population méditerranéenne de poissons-guitares</w:t>
            </w:r>
            <w:r w:rsidRPr="004017FE">
              <w:rPr>
                <w:rFonts w:eastAsia="Times New Roman" w:cs="Arial"/>
                <w:lang w:val="fr-FR"/>
              </w:rPr>
              <w:t xml:space="preserve"> </w:t>
            </w:r>
            <w:r w:rsidRPr="004017FE">
              <w:rPr>
                <w:rFonts w:eastAsia="Times New Roman" w:cs="Arial"/>
                <w:strike/>
                <w:lang w:val="fr-FR"/>
              </w:rPr>
              <w:t>la Raie Manta géante a été ajoutée</w:t>
            </w:r>
            <w:r w:rsidRPr="004017FE">
              <w:rPr>
                <w:rFonts w:eastAsia="Times New Roman" w:cs="Arial"/>
                <w:lang w:val="fr-FR"/>
              </w:rPr>
              <w:t xml:space="preserve"> </w:t>
            </w:r>
            <w:r w:rsidRPr="004017FE">
              <w:rPr>
                <w:rFonts w:eastAsia="Times New Roman" w:cs="Arial"/>
                <w:u w:val="single"/>
                <w:lang w:val="fr-FR"/>
              </w:rPr>
              <w:t>sont inscrits</w:t>
            </w:r>
            <w:r w:rsidRPr="004017FE">
              <w:rPr>
                <w:rFonts w:eastAsia="Times New Roman" w:cs="Arial"/>
                <w:lang w:val="fr-FR"/>
              </w:rPr>
              <w:t xml:space="preserve"> aux Annexes I et II de la </w:t>
            </w:r>
            <w:proofErr w:type="spellStart"/>
            <w:r w:rsidRPr="004017FE">
              <w:rPr>
                <w:rFonts w:eastAsia="Times New Roman" w:cs="Arial"/>
                <w:lang w:val="fr-FR"/>
              </w:rPr>
              <w:t>CMS</w:t>
            </w:r>
            <w:r w:rsidRPr="004017FE">
              <w:rPr>
                <w:rFonts w:eastAsia="Times New Roman" w:cs="Arial"/>
                <w:strike/>
                <w:lang w:val="fr-FR"/>
              </w:rPr>
              <w:t>à</w:t>
            </w:r>
            <w:proofErr w:type="spellEnd"/>
            <w:r w:rsidRPr="004017FE">
              <w:rPr>
                <w:rFonts w:eastAsia="Times New Roman" w:cs="Arial"/>
                <w:strike/>
                <w:lang w:val="fr-FR"/>
              </w:rPr>
              <w:t xml:space="preserve"> la dixième réunion de la Conférence des Parties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mis à jour pour inclure toutes les espèces pertinentes inscrites</w:t>
            </w:r>
          </w:p>
        </w:tc>
      </w:tr>
      <w:tr w:rsidR="004017FE" w:rsidRPr="00405D5E" w:rsidTr="004017FE">
        <w:trPr>
          <w:trHeight w:val="881"/>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 xml:space="preserve">Constatant avec préoccupation </w:t>
            </w:r>
            <w:r w:rsidRPr="004017FE">
              <w:rPr>
                <w:rFonts w:eastAsia="Times New Roman" w:cs="Arial"/>
                <w:lang w:val="fr-FR"/>
              </w:rPr>
              <w:t xml:space="preserve">que la surpêche est le principal facteur du déclin significatif des espèces </w:t>
            </w:r>
            <w:r w:rsidRPr="004017FE">
              <w:rPr>
                <w:rFonts w:eastAsia="Times New Roman" w:cs="Arial"/>
                <w:u w:val="single"/>
                <w:lang w:val="fr-FR"/>
              </w:rPr>
              <w:t>chondrichtyennes</w:t>
            </w:r>
            <w:r w:rsidRPr="004017FE">
              <w:rPr>
                <w:rFonts w:eastAsia="Times New Roman" w:cs="Arial"/>
                <w:lang w:val="fr-FR"/>
              </w:rPr>
              <w:t xml:space="preserve"> </w:t>
            </w:r>
            <w:r w:rsidRPr="004017FE">
              <w:rPr>
                <w:rFonts w:eastAsia="Times New Roman" w:cs="Arial"/>
                <w:strike/>
                <w:lang w:val="fr-FR"/>
              </w:rPr>
              <w:t>de requins et de raies</w:t>
            </w:r>
            <w:r w:rsidRPr="004017FE">
              <w:rPr>
                <w:rFonts w:eastAsia="Times New Roman" w:cs="Arial"/>
                <w:lang w:val="fr-FR"/>
              </w:rPr>
              <w:t xml:space="preserve"> partout dans le monde, menaçant de nombreuses populations ainsi que la stabilité des écosystèmes marins, la pêche durable, l’écotourisme axé sur les requins et les raies, et la sécurité alimentaire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Default="004017FE" w:rsidP="004017FE">
            <w:pPr>
              <w:spacing w:line="256" w:lineRule="auto"/>
              <w:contextualSpacing/>
              <w:rPr>
                <w:rFonts w:eastAsia="Times New Roman" w:cs="Arial"/>
                <w:lang w:val="fr-FR"/>
              </w:rPr>
            </w:pPr>
            <w:r w:rsidRPr="004017FE">
              <w:rPr>
                <w:rFonts w:eastAsia="Times New Roman" w:cs="Arial"/>
                <w:lang w:val="fr-FR"/>
              </w:rPr>
              <w:t>Maintenu et amendé pour refléter le fait que la résolution se réfère à toutes les espèces chondrichtyennes</w:t>
            </w:r>
          </w:p>
          <w:p w:rsidR="005E5A77" w:rsidRPr="004017FE" w:rsidRDefault="005E5A77" w:rsidP="004017FE">
            <w:pPr>
              <w:spacing w:line="256" w:lineRule="auto"/>
              <w:contextualSpacing/>
              <w:rPr>
                <w:rFonts w:eastAsia="Calibri" w:cs="Arial"/>
                <w:lang w:val="fr-FR"/>
              </w:rPr>
            </w:pPr>
          </w:p>
        </w:tc>
      </w:tr>
      <w:tr w:rsidR="004017FE" w:rsidRPr="004017FE" w:rsidTr="004017FE">
        <w:trPr>
          <w:trHeight w:val="38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lastRenderedPageBreak/>
              <w:t>Consciente</w:t>
            </w:r>
            <w:r w:rsidRPr="004017FE">
              <w:rPr>
                <w:rFonts w:eastAsia="Times New Roman" w:cs="Arial"/>
                <w:lang w:val="fr-FR"/>
              </w:rPr>
              <w:t xml:space="preserve"> du fait que l’enlèvement des ailerons de requins, la pratique de l’enlèvement et la rétention des ailerons de requins (et de certaines raies) et le rejet en mer du reste de la carcasse, sont associés à une mortalité non viable et à un gaspillage inacceptable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rPr>
            </w:pPr>
            <w:proofErr w:type="spellStart"/>
            <w:r w:rsidRPr="004017FE">
              <w:rPr>
                <w:rFonts w:eastAsia="Times New Roman" w:cs="Arial"/>
              </w:rPr>
              <w:t>Résolution</w:t>
            </w:r>
            <w:proofErr w:type="spellEnd"/>
            <w:r w:rsidRPr="004017FE">
              <w:rPr>
                <w:rFonts w:eastAsia="Times New Roman" w:cs="Arial"/>
              </w:rPr>
              <w:t> 11.20</w:t>
            </w:r>
          </w:p>
          <w:p w:rsidR="004017FE" w:rsidRPr="004017FE" w:rsidRDefault="004017FE" w:rsidP="004017FE">
            <w:pPr>
              <w:spacing w:line="256" w:lineRule="auto"/>
              <w:contextualSpacing/>
              <w:rPr>
                <w:rFonts w:eastAsia="Calibri" w:cs="Arial"/>
              </w:rPr>
            </w:pPr>
          </w:p>
          <w:p w:rsidR="004017FE" w:rsidRPr="004017FE" w:rsidRDefault="004017FE" w:rsidP="004017FE">
            <w:pPr>
              <w:spacing w:line="256" w:lineRule="auto"/>
              <w:contextualSpacing/>
              <w:rPr>
                <w:rFonts w:eastAsia="Calibri" w:cs="Arial"/>
              </w:rPr>
            </w:pPr>
            <w:proofErr w:type="spellStart"/>
            <w:r w:rsidRPr="004017FE">
              <w:rPr>
                <w:rFonts w:eastAsia="Times New Roman" w:cs="Arial"/>
              </w:rPr>
              <w:t>Maintenu</w:t>
            </w:r>
            <w:proofErr w:type="spellEnd"/>
          </w:p>
        </w:tc>
      </w:tr>
      <w:tr w:rsidR="004017FE" w:rsidRPr="001D429A" w:rsidTr="004017FE">
        <w:trPr>
          <w:trHeight w:val="593"/>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Consciente également</w:t>
            </w:r>
            <w:r w:rsidRPr="004017FE">
              <w:rPr>
                <w:rFonts w:eastAsia="Times New Roman" w:cs="Arial"/>
                <w:lang w:val="fr-FR"/>
              </w:rPr>
              <w:t xml:space="preserve"> du fait que la demande</w:t>
            </w:r>
            <w:r w:rsidR="001D429A">
              <w:rPr>
                <w:rFonts w:eastAsia="Times New Roman" w:cs="Arial"/>
                <w:lang w:val="fr-FR"/>
              </w:rPr>
              <w:t xml:space="preserve"> de produits des espèces chondrichtyennes (par exemple</w:t>
            </w:r>
            <w:r w:rsidRPr="004017FE">
              <w:rPr>
                <w:rFonts w:eastAsia="Times New Roman" w:cs="Arial"/>
                <w:lang w:val="fr-FR"/>
              </w:rPr>
              <w:t xml:space="preserve"> ailerons de requins et de certaines raies</w:t>
            </w:r>
            <w:r w:rsidR="001D429A">
              <w:rPr>
                <w:rFonts w:eastAsia="Times New Roman" w:cs="Arial"/>
                <w:lang w:val="fr-FR"/>
              </w:rPr>
              <w:t xml:space="preserve">, </w:t>
            </w:r>
            <w:r w:rsidR="001D429A" w:rsidRPr="001D429A">
              <w:rPr>
                <w:rFonts w:eastAsia="Times New Roman" w:cs="Arial"/>
                <w:lang w:val="fr-FR"/>
              </w:rPr>
              <w:t xml:space="preserve">plaques branchiales </w:t>
            </w:r>
            <w:proofErr w:type="spellStart"/>
            <w:r w:rsidR="001D429A" w:rsidRPr="001D429A">
              <w:rPr>
                <w:rFonts w:eastAsia="Times New Roman" w:cs="Arial"/>
                <w:lang w:val="fr-FR"/>
              </w:rPr>
              <w:t>mobulides</w:t>
            </w:r>
            <w:proofErr w:type="spellEnd"/>
            <w:r w:rsidRPr="004017FE">
              <w:rPr>
                <w:rFonts w:eastAsia="Times New Roman" w:cs="Arial"/>
                <w:lang w:val="fr-FR"/>
              </w:rPr>
              <w:t>) peut alimenter les pratiques non durables et la surexploitation de ces espèces ;</w:t>
            </w:r>
          </w:p>
        </w:tc>
        <w:tc>
          <w:tcPr>
            <w:tcW w:w="3121" w:type="dxa"/>
            <w:tcBorders>
              <w:top w:val="single" w:sz="4" w:space="0" w:color="auto"/>
              <w:left w:val="single" w:sz="4" w:space="0" w:color="auto"/>
              <w:bottom w:val="single" w:sz="4" w:space="0" w:color="auto"/>
              <w:right w:val="single" w:sz="4" w:space="0" w:color="auto"/>
            </w:tcBorders>
          </w:tcPr>
          <w:p w:rsidR="004017FE" w:rsidRPr="001D429A" w:rsidRDefault="004017FE" w:rsidP="004017FE">
            <w:pPr>
              <w:spacing w:line="256" w:lineRule="auto"/>
              <w:contextualSpacing/>
              <w:rPr>
                <w:rFonts w:eastAsia="Calibri" w:cs="Arial"/>
                <w:lang w:val="fr-FR"/>
              </w:rPr>
            </w:pPr>
            <w:r w:rsidRPr="001D429A">
              <w:rPr>
                <w:rFonts w:eastAsia="Times New Roman" w:cs="Arial"/>
                <w:lang w:val="fr-FR"/>
              </w:rPr>
              <w:t>Résolution 11.20</w:t>
            </w:r>
          </w:p>
          <w:p w:rsidR="004017FE" w:rsidRPr="001D429A" w:rsidRDefault="004017FE" w:rsidP="004017FE">
            <w:pPr>
              <w:spacing w:line="256" w:lineRule="auto"/>
              <w:contextualSpacing/>
              <w:rPr>
                <w:rFonts w:eastAsia="Calibri" w:cs="Arial"/>
                <w:lang w:val="fr-FR"/>
              </w:rPr>
            </w:pPr>
          </w:p>
          <w:p w:rsidR="004017FE" w:rsidRPr="001D429A" w:rsidRDefault="004017FE" w:rsidP="004017FE">
            <w:pPr>
              <w:spacing w:line="256" w:lineRule="auto"/>
              <w:contextualSpacing/>
              <w:rPr>
                <w:rFonts w:eastAsia="Calibri" w:cs="Arial"/>
                <w:lang w:val="fr-FR"/>
              </w:rPr>
            </w:pPr>
            <w:r w:rsidRPr="001D429A">
              <w:rPr>
                <w:rFonts w:eastAsia="Times New Roman" w:cs="Arial"/>
                <w:lang w:val="fr-FR"/>
              </w:rPr>
              <w:t>Maintenu</w:t>
            </w:r>
            <w:r w:rsidR="001D429A" w:rsidRPr="001D429A">
              <w:rPr>
                <w:rFonts w:eastAsia="Times New Roman" w:cs="Arial"/>
                <w:lang w:val="fr-FR"/>
              </w:rPr>
              <w:t xml:space="preserve"> </w:t>
            </w:r>
            <w:r w:rsidR="001D429A" w:rsidRPr="001D429A">
              <w:rPr>
                <w:rFonts w:eastAsia="Times New Roman" w:cs="Arial"/>
                <w:lang w:val="fr-FR"/>
              </w:rPr>
              <w:t>et révis</w:t>
            </w:r>
            <w:r w:rsidR="001D429A">
              <w:rPr>
                <w:rFonts w:eastAsia="Times New Roman" w:cs="Arial"/>
                <w:lang w:val="fr-FR"/>
              </w:rPr>
              <w:t>é</w:t>
            </w:r>
            <w:r w:rsidR="001D429A" w:rsidRPr="001D429A">
              <w:rPr>
                <w:rFonts w:eastAsia="Times New Roman" w:cs="Arial"/>
                <w:lang w:val="fr-FR"/>
              </w:rPr>
              <w:t xml:space="preserve"> pour inclure tous les produits pertinents</w:t>
            </w:r>
          </w:p>
        </w:tc>
      </w:tr>
      <w:tr w:rsidR="004017FE" w:rsidRPr="00405D5E" w:rsidTr="001D429A">
        <w:trPr>
          <w:trHeight w:val="971"/>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Rappelant</w:t>
            </w:r>
            <w:r w:rsidRPr="004017FE">
              <w:rPr>
                <w:rFonts w:eastAsia="Times New Roman" w:cs="Arial"/>
                <w:lang w:val="fr-FR"/>
              </w:rPr>
              <w:t xml:space="preserve"> l’Accord des Nations Unies sur les stocks de poissons, visant à assurer la conservation et l’exploitation durable des stocks de poissons chevauchants et des stocks de poissons grands migrateurs ;</w:t>
            </w:r>
          </w:p>
          <w:p w:rsidR="004017FE" w:rsidRPr="004017FE" w:rsidRDefault="004017FE" w:rsidP="004017FE">
            <w:pPr>
              <w:spacing w:line="256" w:lineRule="auto"/>
              <w:jc w:val="both"/>
              <w:rPr>
                <w:rFonts w:eastAsia="Calibri" w:cs="Arial"/>
                <w:u w:val="single"/>
                <w:lang w:val="fr-FR"/>
              </w:rPr>
            </w:pPr>
            <w:r w:rsidRPr="004017FE">
              <w:rPr>
                <w:rFonts w:eastAsia="Times New Roman" w:cs="Arial"/>
                <w:i/>
                <w:u w:val="single"/>
                <w:lang w:val="fr-FR"/>
              </w:rPr>
              <w:t>Rappelant encore</w:t>
            </w:r>
            <w:r w:rsidRPr="004017FE">
              <w:rPr>
                <w:rFonts w:eastAsia="Times New Roman" w:cs="Arial"/>
                <w:lang w:val="fr-FR"/>
              </w:rPr>
              <w:t xml:space="preserve"> </w:t>
            </w:r>
            <w:r w:rsidRPr="004017FE">
              <w:rPr>
                <w:rFonts w:eastAsia="Times New Roman" w:cs="Arial"/>
                <w:strike/>
                <w:lang w:val="fr-FR"/>
              </w:rPr>
              <w:t>et que</w:t>
            </w:r>
            <w:r w:rsidRPr="004017FE">
              <w:rPr>
                <w:rFonts w:eastAsia="Times New Roman" w:cs="Arial"/>
                <w:lang w:val="fr-FR"/>
              </w:rPr>
              <w:t xml:space="preserve"> </w:t>
            </w:r>
            <w:proofErr w:type="spellStart"/>
            <w:r w:rsidRPr="004017FE">
              <w:rPr>
                <w:rFonts w:eastAsia="Times New Roman" w:cs="Arial"/>
                <w:lang w:val="fr-FR"/>
              </w:rPr>
              <w:t>que</w:t>
            </w:r>
            <w:proofErr w:type="spellEnd"/>
            <w:r w:rsidRPr="004017FE">
              <w:rPr>
                <w:rFonts w:eastAsia="Times New Roman" w:cs="Arial"/>
                <w:lang w:val="fr-FR"/>
              </w:rPr>
              <w:t xml:space="preserve"> l’Assemblée générale des Nations Unies a adopté par consensus des résolutions sur la pêche durable chaque année depuis 2007 </w:t>
            </w:r>
            <w:r w:rsidRPr="004017FE">
              <w:rPr>
                <w:rFonts w:eastAsia="Times New Roman" w:cs="Arial"/>
                <w:strike/>
                <w:lang w:val="fr-FR"/>
              </w:rPr>
              <w:t>(62/177, 63/112, 64/72, 65/38, 66/68, et 67/79, 68/71</w:t>
            </w:r>
            <w:r w:rsidRPr="004017FE">
              <w:rPr>
                <w:rFonts w:eastAsia="Times New Roman" w:cs="Arial"/>
                <w:lang w:val="fr-FR"/>
              </w:rPr>
              <w:t xml:space="preserve">), exhortant les États à prendre des mesures immédiates et concertées pour améliorer la mise en œuvre et le respect des mesures de réglementation ou d’organisation de la gestion des pêches régionales </w:t>
            </w:r>
            <w:r w:rsidRPr="004017FE">
              <w:rPr>
                <w:rFonts w:eastAsia="Times New Roman" w:cs="Arial"/>
                <w:u w:val="single"/>
                <w:lang w:val="fr-FR"/>
              </w:rPr>
              <w:t>(ORGP)</w:t>
            </w:r>
            <w:r w:rsidRPr="004017FE">
              <w:rPr>
                <w:rFonts w:eastAsia="Times New Roman" w:cs="Arial"/>
                <w:lang w:val="fr-FR"/>
              </w:rPr>
              <w:t xml:space="preserve"> existantes qui réglementent la pêche au requin et les captures accidentelles de requins </w:t>
            </w:r>
            <w:r w:rsidRPr="004017FE">
              <w:rPr>
                <w:rFonts w:eastAsia="Times New Roman" w:cs="Arial"/>
                <w:u w:val="single"/>
                <w:lang w:val="fr-FR"/>
              </w:rPr>
              <w:t>;</w:t>
            </w:r>
          </w:p>
          <w:p w:rsidR="004017FE" w:rsidRPr="004017FE" w:rsidRDefault="004017FE" w:rsidP="004017FE">
            <w:pPr>
              <w:spacing w:line="256" w:lineRule="auto"/>
              <w:jc w:val="both"/>
              <w:rPr>
                <w:rFonts w:eastAsia="Calibri" w:cs="Arial"/>
                <w:lang w:val="fr-FR"/>
              </w:rPr>
            </w:pPr>
            <w:r w:rsidRPr="004017FE">
              <w:rPr>
                <w:rFonts w:eastAsia="Times New Roman" w:cs="Arial"/>
                <w:i/>
                <w:u w:val="single"/>
                <w:lang w:val="fr-FR"/>
              </w:rPr>
              <w:t>Soulignant</w:t>
            </w:r>
            <w:r w:rsidRPr="004017FE">
              <w:rPr>
                <w:rFonts w:eastAsia="Times New Roman" w:cs="Arial"/>
                <w:u w:val="single"/>
                <w:lang w:val="fr-FR"/>
              </w:rPr>
              <w:t xml:space="preserve"> l’importance</w:t>
            </w:r>
            <w:r w:rsidRPr="004017FE">
              <w:rPr>
                <w:rFonts w:eastAsia="Times New Roman" w:cs="Arial"/>
                <w:lang w:val="fr-FR"/>
              </w:rPr>
              <w:t xml:space="preserve"> </w:t>
            </w:r>
            <w:r w:rsidRPr="004017FE">
              <w:rPr>
                <w:rFonts w:eastAsia="Times New Roman" w:cs="Arial"/>
                <w:strike/>
                <w:lang w:val="fr-FR"/>
              </w:rPr>
              <w:t>en particulier les</w:t>
            </w:r>
            <w:r w:rsidRPr="004017FE">
              <w:rPr>
                <w:rFonts w:eastAsia="Times New Roman" w:cs="Arial"/>
                <w:lang w:val="fr-FR"/>
              </w:rPr>
              <w:t xml:space="preserve"> des mesures qui interdisent ou restreignent la pêche menée uniquement à des fins de récolte des ailerons de requins, et, le cas échéant, la nécessité d’envisager de prendre d’autres mesures, selon qu’il convient, telles que des mesures exigeant que tous les requins soient débarqués avec leurs ailerons naturellement attachés au corps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révisé pour éviter d’avoir à mettre à jour continuellement la liste des résolutions de l’Assemblée générale</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Phrase scindée pour faciliter la lecture</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Ajout de l’acronyme pour « organisation de la gestion des pêches régionales » (ORGP)</w:t>
            </w:r>
          </w:p>
        </w:tc>
      </w:tr>
      <w:tr w:rsidR="004017FE" w:rsidRPr="00405D5E" w:rsidTr="001D429A">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Consciente</w:t>
            </w:r>
            <w:r w:rsidRPr="004017FE">
              <w:rPr>
                <w:rFonts w:eastAsia="Times New Roman" w:cs="Arial"/>
                <w:lang w:val="fr-FR"/>
              </w:rPr>
              <w:t xml:space="preserve"> du fait que, malgré les recherches scientifiques et la surveillance passées et présentes, les connaissances sur la biologie, l’écologie et la dynamique des populations de nombreuses espèces chondrichtyennes </w:t>
            </w:r>
            <w:r w:rsidRPr="004017FE">
              <w:rPr>
                <w:rFonts w:eastAsia="Times New Roman" w:cs="Arial"/>
                <w:strike/>
                <w:lang w:val="fr-FR"/>
              </w:rPr>
              <w:t>nombreux requins et raies migrateurs</w:t>
            </w:r>
            <w:r w:rsidRPr="004017FE">
              <w:rPr>
                <w:rFonts w:eastAsia="Times New Roman" w:cs="Arial"/>
                <w:lang w:val="fr-FR"/>
              </w:rPr>
              <w:t xml:space="preserve"> sont insuffisantes, et qu’il est nécessaire d’encourager une plus grande coopération entre les pays qui pratiquent la pêche dans les domaines de la recherche, de la surveillance, de l’application des lois et du respect des lois, afin d’appliquer efficacement les mesures de conservation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1D429A" w:rsidRPr="00405D5E" w:rsidTr="001D429A">
        <w:trPr>
          <w:trHeight w:val="566"/>
        </w:trPr>
        <w:tc>
          <w:tcPr>
            <w:tcW w:w="6660" w:type="dxa"/>
            <w:tcBorders>
              <w:top w:val="single" w:sz="4" w:space="0" w:color="auto"/>
              <w:left w:val="nil"/>
              <w:bottom w:val="nil"/>
              <w:right w:val="nil"/>
            </w:tcBorders>
          </w:tcPr>
          <w:p w:rsidR="001D429A" w:rsidRPr="004017FE" w:rsidRDefault="001D429A" w:rsidP="004017FE">
            <w:pPr>
              <w:spacing w:line="256" w:lineRule="auto"/>
              <w:jc w:val="both"/>
              <w:rPr>
                <w:rFonts w:eastAsia="Times New Roman" w:cs="Arial"/>
                <w:i/>
                <w:lang w:val="fr-FR"/>
              </w:rPr>
            </w:pPr>
          </w:p>
        </w:tc>
        <w:tc>
          <w:tcPr>
            <w:tcW w:w="3121" w:type="dxa"/>
            <w:tcBorders>
              <w:top w:val="single" w:sz="4" w:space="0" w:color="auto"/>
              <w:left w:val="nil"/>
              <w:bottom w:val="nil"/>
              <w:right w:val="nil"/>
            </w:tcBorders>
          </w:tcPr>
          <w:p w:rsidR="001D429A" w:rsidRPr="004017FE" w:rsidRDefault="001D429A" w:rsidP="004017FE">
            <w:pPr>
              <w:spacing w:line="256" w:lineRule="auto"/>
              <w:contextualSpacing/>
              <w:rPr>
                <w:rFonts w:eastAsia="Times New Roman" w:cs="Arial"/>
                <w:lang w:val="fr-FR"/>
              </w:rPr>
            </w:pPr>
          </w:p>
        </w:tc>
      </w:tr>
      <w:tr w:rsidR="004017FE" w:rsidRPr="00405D5E" w:rsidTr="001D429A">
        <w:trPr>
          <w:trHeight w:val="1025"/>
        </w:trPr>
        <w:tc>
          <w:tcPr>
            <w:tcW w:w="6660" w:type="dxa"/>
            <w:tcBorders>
              <w:top w:val="nil"/>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lastRenderedPageBreak/>
              <w:t>Constatant</w:t>
            </w:r>
            <w:r w:rsidRPr="004017FE">
              <w:rPr>
                <w:rFonts w:eastAsia="Times New Roman" w:cs="Arial"/>
                <w:lang w:val="fr-FR"/>
              </w:rPr>
              <w:t xml:space="preserve"> que plusieurs ORGP ont adopté des mesures de conservation et de gestion scientifiques, applicables à tous les navires de pêche opérant dans les zones de compétence des ORGP, visant à éradiquer l’enlèvement des ailerons de </w:t>
            </w:r>
            <w:r w:rsidRPr="004017FE">
              <w:rPr>
                <w:rFonts w:eastAsia="Times New Roman" w:cs="Arial"/>
                <w:strike/>
                <w:lang w:val="fr-FR"/>
              </w:rPr>
              <w:t>requins</w:t>
            </w:r>
            <w:r w:rsidRPr="004017FE">
              <w:rPr>
                <w:rFonts w:eastAsia="Times New Roman" w:cs="Arial"/>
                <w:lang w:val="fr-FR"/>
              </w:rPr>
              <w:t xml:space="preserve"> et assurant la protection et la gestion durable d’espèces </w:t>
            </w:r>
            <w:r w:rsidRPr="004017FE">
              <w:rPr>
                <w:rFonts w:eastAsia="Times New Roman" w:cs="Arial"/>
                <w:u w:val="single"/>
                <w:lang w:val="fr-FR"/>
              </w:rPr>
              <w:t>chondrichtyennes</w:t>
            </w:r>
            <w:r w:rsidRPr="004017FE">
              <w:rPr>
                <w:rFonts w:eastAsia="Times New Roman" w:cs="Arial"/>
                <w:lang w:val="fr-FR"/>
              </w:rPr>
              <w:t xml:space="preserve"> spécifiques </w:t>
            </w:r>
            <w:r w:rsidRPr="004017FE">
              <w:rPr>
                <w:rFonts w:eastAsia="Times New Roman" w:cs="Arial"/>
                <w:strike/>
                <w:lang w:val="fr-FR"/>
              </w:rPr>
              <w:t>de requins</w:t>
            </w:r>
            <w:r w:rsidRPr="004017FE">
              <w:rPr>
                <w:rFonts w:eastAsia="Times New Roman" w:cs="Arial"/>
                <w:lang w:val="fr-FR"/>
              </w:rPr>
              <w:t xml:space="preserve"> pêchées volontairement et/ou comme prises accessoires ;</w:t>
            </w:r>
          </w:p>
        </w:tc>
        <w:tc>
          <w:tcPr>
            <w:tcW w:w="3121" w:type="dxa"/>
            <w:tcBorders>
              <w:top w:val="nil"/>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1061"/>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 xml:space="preserve">Constatant en outre </w:t>
            </w:r>
            <w:r w:rsidRPr="004017FE">
              <w:rPr>
                <w:rFonts w:eastAsia="Times New Roman" w:cs="Arial"/>
                <w:lang w:val="fr-FR"/>
              </w:rPr>
              <w:t xml:space="preserve">que </w:t>
            </w:r>
            <w:r w:rsidRPr="004017FE">
              <w:rPr>
                <w:rFonts w:eastAsia="Times New Roman" w:cs="Arial"/>
                <w:u w:val="single"/>
                <w:lang w:val="fr-FR"/>
              </w:rPr>
              <w:t xml:space="preserve">la CITES inscrit plusieurs espèces qui sont également inscrites aux Annexes de la CMS, y compris toutes les espèces de </w:t>
            </w:r>
            <w:proofErr w:type="spellStart"/>
            <w:r w:rsidRPr="004017FE">
              <w:rPr>
                <w:rFonts w:eastAsia="Times New Roman" w:cs="Arial"/>
                <w:u w:val="single"/>
                <w:lang w:val="fr-FR"/>
              </w:rPr>
              <w:t>poissons-scie</w:t>
            </w:r>
            <w:proofErr w:type="spellEnd"/>
            <w:r w:rsidRPr="004017FE">
              <w:rPr>
                <w:rFonts w:eastAsia="Times New Roman" w:cs="Arial"/>
                <w:u w:val="single"/>
                <w:lang w:val="fr-FR"/>
              </w:rPr>
              <w:t>, inscrites à l’Annexe </w:t>
            </w:r>
            <w:proofErr w:type="gramStart"/>
            <w:r w:rsidRPr="004017FE">
              <w:rPr>
                <w:rFonts w:eastAsia="Times New Roman" w:cs="Arial"/>
                <w:u w:val="single"/>
                <w:lang w:val="fr-FR"/>
              </w:rPr>
              <w:t>I ;</w:t>
            </w:r>
            <w:r w:rsidRPr="004017FE">
              <w:rPr>
                <w:rFonts w:eastAsia="Times New Roman" w:cs="Arial"/>
                <w:strike/>
                <w:lang w:val="fr-FR"/>
              </w:rPr>
              <w:t>,</w:t>
            </w:r>
            <w:proofErr w:type="gramEnd"/>
            <w:r w:rsidRPr="004017FE">
              <w:rPr>
                <w:rFonts w:eastAsia="Times New Roman" w:cs="Arial"/>
                <w:strike/>
                <w:lang w:val="fr-FR"/>
              </w:rPr>
              <w:t xml:space="preserve"> prenant effet à compter du 14 septembre 2014, huit espèces de requins et toutes les raies Manta sont inscrites à l’Annexe II de la Convention sur le commerce international des espèces menacées (CITES), et que toutes les espèces de poisson-scie sont inscrites à l’Annexe I de la CITES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rendu plus général pour éviter d’avoir à mettre à jour continuellement les informations sur les espèces inscrites à la CITES.</w:t>
            </w:r>
          </w:p>
        </w:tc>
      </w:tr>
      <w:tr w:rsidR="004017FE" w:rsidRPr="00405D5E" w:rsidTr="004017FE">
        <w:trPr>
          <w:trHeight w:val="1088"/>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lang w:val="fr-FR"/>
              </w:rPr>
            </w:pPr>
            <w:r w:rsidRPr="004017FE">
              <w:rPr>
                <w:rFonts w:eastAsia="Times New Roman" w:cs="Arial"/>
                <w:i/>
                <w:lang w:val="fr-FR"/>
              </w:rPr>
              <w:t>Soulignant</w:t>
            </w:r>
            <w:r w:rsidRPr="004017FE">
              <w:rPr>
                <w:rFonts w:eastAsia="Times New Roman" w:cs="Arial"/>
                <w:lang w:val="fr-FR"/>
              </w:rPr>
              <w:t xml:space="preserve"> l’importance du Plan d’action international pour la conservation et la gestion des requins, qui a été adopté par </w:t>
            </w:r>
            <w:r w:rsidRPr="004017FE">
              <w:rPr>
                <w:rFonts w:eastAsia="Times New Roman" w:cs="Arial"/>
                <w:strike/>
                <w:lang w:val="fr-FR"/>
              </w:rPr>
              <w:t>l’Organisation des Nations Unies pour l’alimentation et l’agriculture (</w:t>
            </w:r>
            <w:r w:rsidRPr="004017FE">
              <w:rPr>
                <w:rFonts w:eastAsia="Times New Roman" w:cs="Arial"/>
                <w:lang w:val="fr-FR"/>
              </w:rPr>
              <w:t>la FAO</w:t>
            </w:r>
            <w:r w:rsidRPr="004017FE">
              <w:rPr>
                <w:rFonts w:eastAsia="Times New Roman" w:cs="Arial"/>
                <w:strike/>
                <w:lang w:val="fr-FR"/>
              </w:rPr>
              <w:t>)</w:t>
            </w:r>
            <w:r w:rsidRPr="004017FE">
              <w:rPr>
                <w:rFonts w:eastAsia="Times New Roman" w:cs="Arial"/>
                <w:lang w:val="fr-FR"/>
              </w:rPr>
              <w:t xml:space="preserve"> en 1999, pour donner des orientations sur l’élaboration de telles mesures, et se félicitant du fait que </w:t>
            </w:r>
            <w:r w:rsidRPr="004017FE">
              <w:rPr>
                <w:rFonts w:eastAsia="Times New Roman" w:cs="Arial"/>
                <w:u w:val="single"/>
                <w:lang w:val="fr-FR"/>
              </w:rPr>
              <w:t>la majorité des</w:t>
            </w:r>
            <w:r w:rsidRPr="004017FE">
              <w:rPr>
                <w:rFonts w:eastAsia="Times New Roman" w:cs="Arial"/>
                <w:strike/>
                <w:u w:val="single"/>
                <w:lang w:val="fr-FR"/>
              </w:rPr>
              <w:t>18 sur les 26</w:t>
            </w:r>
            <w:r w:rsidRPr="004017FE">
              <w:rPr>
                <w:rFonts w:eastAsia="Times New Roman" w:cs="Arial"/>
                <w:lang w:val="fr-FR"/>
              </w:rPr>
              <w:t xml:space="preserve"> principaux pays qui pratiquent la pêche </w:t>
            </w:r>
            <w:r w:rsidRPr="004017FE">
              <w:rPr>
                <w:rFonts w:eastAsia="Times New Roman" w:cs="Arial"/>
                <w:u w:val="single"/>
                <w:lang w:val="fr-FR"/>
              </w:rPr>
              <w:t>identifiés par la FAO</w:t>
            </w:r>
            <w:r w:rsidRPr="004017FE">
              <w:rPr>
                <w:rFonts w:eastAsia="Times New Roman" w:cs="Arial"/>
                <w:lang w:val="fr-FR"/>
              </w:rPr>
              <w:t xml:space="preserve"> </w:t>
            </w:r>
            <w:proofErr w:type="spellStart"/>
            <w:r w:rsidRPr="004017FE">
              <w:rPr>
                <w:rFonts w:eastAsia="Times New Roman" w:cs="Arial"/>
                <w:lang w:val="fr-FR"/>
              </w:rPr>
              <w:t>a</w:t>
            </w:r>
            <w:r w:rsidRPr="004017FE">
              <w:rPr>
                <w:rFonts w:eastAsia="Times New Roman" w:cs="Arial"/>
                <w:strike/>
                <w:u w:val="single"/>
                <w:lang w:val="fr-FR"/>
              </w:rPr>
              <w:t>ont</w:t>
            </w:r>
            <w:proofErr w:type="spellEnd"/>
            <w:r w:rsidRPr="004017FE">
              <w:rPr>
                <w:rFonts w:eastAsia="Times New Roman" w:cs="Arial"/>
                <w:lang w:val="fr-FR"/>
              </w:rPr>
              <w:t xml:space="preserve"> adopté des plans d’action nationaux pour les requins (Plan-requins)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rendu plus général pour éviter d’avoir à mettre à jour continuellement les chiffres</w:t>
            </w:r>
          </w:p>
        </w:tc>
      </w:tr>
      <w:tr w:rsidR="004017FE" w:rsidRPr="00405D5E" w:rsidTr="004017FE">
        <w:trPr>
          <w:trHeight w:val="728"/>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jc w:val="both"/>
              <w:rPr>
                <w:rFonts w:eastAsia="Calibri" w:cs="Arial"/>
                <w:i/>
                <w:lang w:val="fr-FR"/>
              </w:rPr>
            </w:pPr>
            <w:r w:rsidRPr="004017FE">
              <w:rPr>
                <w:rFonts w:eastAsia="Times New Roman" w:cs="Arial"/>
                <w:i/>
                <w:lang w:val="fr-FR"/>
              </w:rPr>
              <w:t>Soulignant en outre</w:t>
            </w:r>
            <w:r w:rsidRPr="004017FE">
              <w:rPr>
                <w:rFonts w:eastAsia="Times New Roman" w:cs="Arial"/>
                <w:lang w:val="fr-FR"/>
              </w:rPr>
              <w:t xml:space="preserve"> le rôle important des ORGP dans la mise en place de mesures de conservation et de gestion pour les </w:t>
            </w:r>
            <w:r w:rsidRPr="004017FE">
              <w:rPr>
                <w:rFonts w:eastAsia="Times New Roman" w:cs="Arial"/>
                <w:u w:val="single"/>
                <w:lang w:val="fr-FR"/>
              </w:rPr>
              <w:t xml:space="preserve">espèces chondrichtyennes </w:t>
            </w:r>
            <w:r w:rsidRPr="004017FE">
              <w:rPr>
                <w:rFonts w:eastAsia="Times New Roman" w:cs="Arial"/>
                <w:strike/>
                <w:lang w:val="fr-FR"/>
              </w:rPr>
              <w:t>requins</w:t>
            </w:r>
            <w:r w:rsidRPr="004017FE">
              <w:rPr>
                <w:rFonts w:eastAsia="Times New Roman" w:cs="Arial"/>
                <w:lang w:val="fr-FR"/>
              </w:rPr>
              <w:t>, dont beaucoup sont contraignantes pour tous les navires de pêche opérant dans les zones de compétence des ORGP, fondées sur les meilleures données disponibles et des conseils scientifiques fournis par leurs comités scientifiques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1034"/>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strike/>
                <w:lang w:val="fr-FR"/>
              </w:rPr>
            </w:pPr>
            <w:r w:rsidRPr="004017FE">
              <w:rPr>
                <w:rFonts w:eastAsia="Times New Roman" w:cs="Arial"/>
                <w:i/>
                <w:strike/>
                <w:lang w:val="fr-FR"/>
              </w:rPr>
              <w:t>Rappelant</w:t>
            </w:r>
            <w:r w:rsidRPr="004017FE">
              <w:rPr>
                <w:rFonts w:eastAsia="Times New Roman" w:cs="Arial"/>
                <w:strike/>
                <w:lang w:val="fr-FR"/>
              </w:rPr>
              <w:t xml:space="preserve"> la Recommandation 8.16 sur la conservation des requins migrateurs, qui demande à toutes les Parties de renforcer les mesures de protection des espèces de requins migrateurs contre des menaces comme la destruction des habitats, la pêche illicite, non déclarée et non réglementée, et les captures accidentelles dans les pêcheries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Redondant : la recommandation 8.16, qui a été partiellement abrogée à la COP12, est en cours de consolidation</w:t>
            </w:r>
          </w:p>
        </w:tc>
      </w:tr>
      <w:tr w:rsidR="004017FE" w:rsidRPr="004017FE" w:rsidTr="004017FE">
        <w:trPr>
          <w:trHeight w:val="1034"/>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i/>
                <w:lang w:val="fr-FR"/>
              </w:rPr>
            </w:pPr>
            <w:r w:rsidRPr="004017FE">
              <w:rPr>
                <w:rFonts w:eastAsia="Times New Roman" w:cs="Arial"/>
                <w:i/>
                <w:u w:val="single"/>
                <w:lang w:val="fr-FR"/>
              </w:rPr>
              <w:t>Rappelant</w:t>
            </w:r>
            <w:r w:rsidRPr="004017FE">
              <w:rPr>
                <w:rFonts w:eastAsia="Times New Roman" w:cs="Arial"/>
                <w:u w:val="single"/>
                <w:lang w:val="fr-FR"/>
              </w:rPr>
              <w:t xml:space="preserve"> les obligations énoncées dans l’article III (5) de la Convention, qui interdit le prélèvement d’espèces inscrites à l’Annexe I et dans la résolution 12.22 sur les prises accessoires, qui demande à toutes les Parties, « compte tenu de la gravité de la situation, de continuer à appliquer et à renforcer les mesures applicables aux activités de pêche sous leur contrôle [...], pour réduire autant que possible la mortalité accidentelle des espèces migratrices inscrites aux Annexes I et II » ;</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rPr>
                <w:rFonts w:eastAsia="Calibri" w:cs="Arial"/>
              </w:rPr>
            </w:pPr>
            <w:r w:rsidRPr="004017FE">
              <w:rPr>
                <w:rFonts w:eastAsia="Times New Roman" w:cs="Arial"/>
              </w:rPr>
              <w:t xml:space="preserve">Nouveau </w:t>
            </w:r>
            <w:proofErr w:type="spellStart"/>
            <w:r w:rsidRPr="004017FE">
              <w:rPr>
                <w:rFonts w:eastAsia="Times New Roman" w:cs="Arial"/>
              </w:rPr>
              <w:t>paragraphe</w:t>
            </w:r>
            <w:proofErr w:type="spellEnd"/>
          </w:p>
        </w:tc>
      </w:tr>
      <w:tr w:rsidR="004017FE" w:rsidRPr="004017FE" w:rsidTr="004017FE">
        <w:trPr>
          <w:trHeight w:val="494"/>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jc w:val="both"/>
              <w:rPr>
                <w:rFonts w:eastAsia="Calibri" w:cs="Arial"/>
                <w:i/>
              </w:rPr>
            </w:pPr>
            <w:r w:rsidRPr="004017FE">
              <w:rPr>
                <w:rFonts w:eastAsia="Times New Roman" w:cs="Arial"/>
                <w:i/>
                <w:u w:val="single"/>
                <w:lang w:val="fr-FR"/>
              </w:rPr>
              <w:lastRenderedPageBreak/>
              <w:t>Rappelant</w:t>
            </w:r>
            <w:r w:rsidRPr="004017FE">
              <w:rPr>
                <w:rFonts w:eastAsia="Times New Roman" w:cs="Arial"/>
                <w:u w:val="single"/>
                <w:lang w:val="fr-FR"/>
              </w:rPr>
              <w:t xml:space="preserve"> la résolution 12.12 sur les prises accessoires, qui demande aux Parties « à améliorer leurs rapports d’information et de données sur les prises accessoires dans leurs rapports nationaux pour la CMS ou à travers leurs rapports faits aux Accords affiliés à la CMS, [...] </w:t>
            </w:r>
            <w:r w:rsidRPr="004017FE">
              <w:rPr>
                <w:rFonts w:eastAsia="Times New Roman" w:cs="Arial"/>
                <w:u w:val="single"/>
              </w:rPr>
              <w:t>» ; et</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rPr>
                <w:rFonts w:eastAsia="Calibri" w:cs="Arial"/>
              </w:rPr>
            </w:pPr>
            <w:r w:rsidRPr="004017FE">
              <w:rPr>
                <w:rFonts w:eastAsia="Times New Roman" w:cs="Arial"/>
              </w:rPr>
              <w:t xml:space="preserve">Nouveau </w:t>
            </w:r>
            <w:proofErr w:type="spellStart"/>
            <w:r w:rsidRPr="004017FE">
              <w:rPr>
                <w:rFonts w:eastAsia="Times New Roman" w:cs="Arial"/>
              </w:rPr>
              <w:t>paragraphe</w:t>
            </w:r>
            <w:proofErr w:type="spellEnd"/>
          </w:p>
        </w:tc>
      </w:tr>
      <w:tr w:rsidR="004017FE" w:rsidRPr="004017FE" w:rsidTr="004017FE">
        <w:trPr>
          <w:trHeight w:val="305"/>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line="256" w:lineRule="auto"/>
              <w:contextualSpacing/>
              <w:jc w:val="both"/>
              <w:rPr>
                <w:rFonts w:eastAsia="Calibri" w:cs="Arial"/>
                <w:strike/>
                <w:lang w:val="fr-FR"/>
              </w:rPr>
            </w:pPr>
            <w:r w:rsidRPr="004017FE">
              <w:rPr>
                <w:rFonts w:eastAsia="Times New Roman" w:cs="Arial"/>
                <w:i/>
                <w:lang w:val="fr-FR"/>
              </w:rPr>
              <w:t>Rappelant</w:t>
            </w:r>
            <w:r w:rsidRPr="004017FE">
              <w:rPr>
                <w:rFonts w:eastAsia="Times New Roman" w:cs="Arial"/>
                <w:lang w:val="fr-FR"/>
              </w:rPr>
              <w:t xml:space="preserve"> l’adoption du Mémorandum d’entente de la CMS sur la conservation des requins migrateurs (</w:t>
            </w:r>
            <w:proofErr w:type="spellStart"/>
            <w:r w:rsidRPr="004017FE">
              <w:rPr>
                <w:rFonts w:eastAsia="Times New Roman" w:cs="Arial"/>
                <w:lang w:val="fr-FR"/>
              </w:rPr>
              <w:t>MdE</w:t>
            </w:r>
            <w:proofErr w:type="spellEnd"/>
            <w:r w:rsidRPr="004017FE">
              <w:rPr>
                <w:rFonts w:eastAsia="Times New Roman" w:cs="Arial"/>
                <w:lang w:val="fr-FR"/>
              </w:rPr>
              <w:t xml:space="preserve"> sur les requins) en 2010, visant à atteindre et à maintenir un état de conservation favorable pour les requins migrateurs, sur la base des meilleures informations scientifiques disponibles et en tenant compte des caractéristiques socio-économiques et d’autres valeurs représentées par ces espèces, et le Plan de conservation pour les requins migrateurs </w:t>
            </w:r>
            <w:r w:rsidRPr="004017FE">
              <w:rPr>
                <w:rFonts w:eastAsia="Times New Roman" w:cs="Arial"/>
                <w:u w:val="single"/>
                <w:lang w:val="fr-FR"/>
              </w:rPr>
              <w:t xml:space="preserve">à l’annexe II du </w:t>
            </w:r>
            <w:proofErr w:type="spellStart"/>
            <w:r w:rsidRPr="004017FE">
              <w:rPr>
                <w:rFonts w:eastAsia="Times New Roman" w:cs="Arial"/>
                <w:u w:val="single"/>
                <w:lang w:val="fr-FR"/>
              </w:rPr>
              <w:t>MdE</w:t>
            </w:r>
            <w:proofErr w:type="spellEnd"/>
            <w:r w:rsidRPr="004017FE">
              <w:rPr>
                <w:rFonts w:eastAsia="Times New Roman" w:cs="Arial"/>
                <w:u w:val="single"/>
                <w:lang w:val="fr-FR"/>
              </w:rPr>
              <w:t xml:space="preserve"> sur les requins</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rPr>
            </w:pPr>
            <w:proofErr w:type="spellStart"/>
            <w:r w:rsidRPr="004017FE">
              <w:rPr>
                <w:rFonts w:eastAsia="Times New Roman" w:cs="Arial"/>
              </w:rPr>
              <w:t>Résolution</w:t>
            </w:r>
            <w:proofErr w:type="spellEnd"/>
            <w:r w:rsidRPr="004017FE">
              <w:rPr>
                <w:rFonts w:eastAsia="Times New Roman" w:cs="Arial"/>
              </w:rPr>
              <w:t> 11.20</w:t>
            </w:r>
          </w:p>
          <w:p w:rsidR="004017FE" w:rsidRPr="004017FE" w:rsidRDefault="004017FE" w:rsidP="004017FE">
            <w:pPr>
              <w:spacing w:line="256" w:lineRule="auto"/>
              <w:contextualSpacing/>
              <w:rPr>
                <w:rFonts w:eastAsia="Calibri" w:cs="Arial"/>
              </w:rPr>
            </w:pPr>
          </w:p>
          <w:p w:rsidR="004017FE" w:rsidRPr="004017FE" w:rsidRDefault="004017FE" w:rsidP="004017FE">
            <w:pPr>
              <w:spacing w:line="256" w:lineRule="auto"/>
              <w:contextualSpacing/>
              <w:rPr>
                <w:rFonts w:eastAsia="Calibri" w:cs="Arial"/>
              </w:rPr>
            </w:pPr>
            <w:proofErr w:type="spellStart"/>
            <w:r w:rsidRPr="004017FE">
              <w:rPr>
                <w:rFonts w:eastAsia="Times New Roman" w:cs="Arial"/>
              </w:rPr>
              <w:t>Maintenu</w:t>
            </w:r>
            <w:proofErr w:type="spellEnd"/>
          </w:p>
        </w:tc>
      </w:tr>
      <w:tr w:rsidR="004017FE" w:rsidRPr="00405D5E" w:rsidTr="004017FE">
        <w:trPr>
          <w:trHeight w:val="566"/>
        </w:trPr>
        <w:tc>
          <w:tcPr>
            <w:tcW w:w="9781" w:type="dxa"/>
            <w:gridSpan w:val="2"/>
            <w:tcBorders>
              <w:top w:val="single" w:sz="4" w:space="0" w:color="auto"/>
              <w:left w:val="single" w:sz="4" w:space="0" w:color="auto"/>
              <w:bottom w:val="single" w:sz="4" w:space="0" w:color="auto"/>
              <w:right w:val="single" w:sz="4" w:space="0" w:color="auto"/>
            </w:tcBorders>
            <w:shd w:val="clear" w:color="auto" w:fill="D0CECE"/>
            <w:hideMark/>
          </w:tcPr>
          <w:p w:rsidR="004017FE" w:rsidRPr="004017FE" w:rsidRDefault="004017FE" w:rsidP="004017FE">
            <w:pPr>
              <w:spacing w:line="256" w:lineRule="auto"/>
              <w:contextualSpacing/>
              <w:jc w:val="center"/>
              <w:rPr>
                <w:rFonts w:eastAsia="Calibri" w:cs="Arial"/>
                <w:i/>
                <w:lang w:val="fr-FR"/>
              </w:rPr>
            </w:pPr>
            <w:r w:rsidRPr="004017FE">
              <w:rPr>
                <w:rFonts w:eastAsia="Times New Roman" w:cs="Arial"/>
                <w:i/>
                <w:lang w:val="fr-FR"/>
              </w:rPr>
              <w:t xml:space="preserve">La Conférence des Parties à la </w:t>
            </w:r>
          </w:p>
          <w:p w:rsidR="004017FE" w:rsidRPr="004017FE" w:rsidRDefault="004017FE" w:rsidP="004017FE">
            <w:pPr>
              <w:spacing w:line="256" w:lineRule="auto"/>
              <w:contextualSpacing/>
              <w:jc w:val="center"/>
              <w:rPr>
                <w:rFonts w:eastAsia="Calibri" w:cs="Arial"/>
                <w:i/>
                <w:lang w:val="fr-FR"/>
              </w:rPr>
            </w:pPr>
            <w:r w:rsidRPr="004017FE">
              <w:rPr>
                <w:rFonts w:eastAsia="Times New Roman" w:cs="Arial"/>
                <w:i/>
                <w:lang w:val="fr-FR"/>
              </w:rPr>
              <w:t>Convention sur la conservation des espèces migratrices appartenant à la faune sauvage</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numPr>
                <w:ilvl w:val="0"/>
                <w:numId w:val="12"/>
              </w:numPr>
              <w:autoSpaceDN w:val="0"/>
              <w:spacing w:after="0" w:line="256" w:lineRule="auto"/>
              <w:ind w:left="581" w:hanging="618"/>
              <w:contextualSpacing/>
              <w:jc w:val="both"/>
              <w:rPr>
                <w:rFonts w:eastAsia="Calibri" w:cs="Arial"/>
                <w:lang w:val="fr-FR"/>
              </w:rPr>
            </w:pPr>
            <w:r w:rsidRPr="004017FE">
              <w:rPr>
                <w:rFonts w:eastAsia="Times New Roman" w:cs="Arial"/>
                <w:i/>
                <w:lang w:val="fr-FR"/>
              </w:rPr>
              <w:t xml:space="preserve">Prie </w:t>
            </w:r>
            <w:r w:rsidRPr="004017FE">
              <w:rPr>
                <w:rFonts w:eastAsia="Times New Roman" w:cs="Arial"/>
                <w:lang w:val="fr-FR"/>
              </w:rPr>
              <w:t xml:space="preserve">toutes les Parties de renforcer les mesures de protection des espèces </w:t>
            </w:r>
            <w:r w:rsidRPr="004017FE">
              <w:rPr>
                <w:rFonts w:eastAsia="Times New Roman" w:cs="Arial"/>
                <w:strike/>
                <w:lang w:val="fr-FR"/>
              </w:rPr>
              <w:t>de requins migrateurs</w:t>
            </w:r>
            <w:r w:rsidRPr="004017FE">
              <w:rPr>
                <w:rFonts w:eastAsia="Times New Roman" w:cs="Arial"/>
                <w:lang w:val="fr-FR"/>
              </w:rPr>
              <w:t xml:space="preserve"> </w:t>
            </w:r>
            <w:r w:rsidRPr="004017FE">
              <w:rPr>
                <w:rFonts w:eastAsia="Times New Roman" w:cs="Arial"/>
                <w:u w:val="single"/>
                <w:lang w:val="fr-FR"/>
              </w:rPr>
              <w:t>chondrichtyennes migratrices</w:t>
            </w:r>
            <w:r w:rsidRPr="004017FE">
              <w:rPr>
                <w:rFonts w:eastAsia="Times New Roman" w:cs="Arial"/>
                <w:lang w:val="fr-FR"/>
              </w:rPr>
              <w:t xml:space="preserve"> contre les activités qui font peser sur ces espèces des menaces, notamment la destruction de leurs habitats, la pêche INN et les prises accessoires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numPr>
                <w:ilvl w:val="0"/>
                <w:numId w:val="12"/>
              </w:numPr>
              <w:autoSpaceDN w:val="0"/>
              <w:spacing w:after="0" w:line="256" w:lineRule="auto"/>
              <w:ind w:left="539" w:hanging="539"/>
              <w:contextualSpacing/>
              <w:jc w:val="both"/>
              <w:rPr>
                <w:rFonts w:eastAsia="Calibri" w:cs="Arial"/>
                <w:strike/>
                <w:lang w:val="fr-FR"/>
              </w:rPr>
            </w:pPr>
            <w:r w:rsidRPr="004017FE">
              <w:rPr>
                <w:rFonts w:eastAsia="Times New Roman" w:cs="Arial"/>
                <w:i/>
                <w:strike/>
                <w:lang w:val="fr-FR"/>
              </w:rPr>
              <w:t>Encourage</w:t>
            </w:r>
            <w:r w:rsidRPr="004017FE">
              <w:rPr>
                <w:rFonts w:eastAsia="Times New Roman" w:cs="Arial"/>
                <w:strike/>
                <w:lang w:val="fr-FR"/>
              </w:rPr>
              <w:t xml:space="preserve"> le Comité des pêches de FAO à promouvoir en priorité une plus grande intégration du Plan d’action international pour la conservation et la gestion des requins ; et</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 xml:space="preserve">Retiré (redondant et couvert par le paragraphe 3 de la résolution 11.20) </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numPr>
                <w:ilvl w:val="0"/>
                <w:numId w:val="12"/>
              </w:numPr>
              <w:autoSpaceDN w:val="0"/>
              <w:spacing w:after="0" w:line="256" w:lineRule="auto"/>
              <w:ind w:left="553" w:hanging="574"/>
              <w:contextualSpacing/>
              <w:jc w:val="both"/>
              <w:rPr>
                <w:rFonts w:eastAsia="Calibri" w:cs="Arial"/>
                <w:strike/>
                <w:lang w:val="fr-FR"/>
              </w:rPr>
            </w:pPr>
            <w:r w:rsidRPr="004017FE">
              <w:rPr>
                <w:rFonts w:eastAsia="Times New Roman" w:cs="Arial"/>
                <w:i/>
                <w:strike/>
                <w:lang w:val="fr-FR"/>
              </w:rPr>
              <w:t>Prie</w:t>
            </w:r>
            <w:r w:rsidRPr="004017FE">
              <w:rPr>
                <w:rFonts w:eastAsia="Times New Roman" w:cs="Arial"/>
                <w:strike/>
                <w:lang w:val="fr-FR"/>
              </w:rPr>
              <w:t xml:space="preserve"> le Secrétariat d’explorer les futures pistes de coopération avec le Comité des pêches de la FAO et la CITES ainsi qu’avec les États de l’aire de répartition des requins migrateurs, en vue d’assurer une meilleure protection, conservation et gestion de ces requins.</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8.16 (Rev.COP12)</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Retiré et partiellement fusionné avec le paragraphe 13 de la résolution 11.20</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line="256" w:lineRule="auto"/>
              <w:ind w:left="462" w:hanging="462"/>
              <w:jc w:val="both"/>
              <w:rPr>
                <w:rFonts w:eastAsia="Calibri" w:cs="Arial"/>
                <w:lang w:val="fr-FR"/>
              </w:rPr>
            </w:pPr>
            <w:r w:rsidRPr="004017FE">
              <w:rPr>
                <w:rFonts w:eastAsia="Times New Roman" w:cs="Arial"/>
                <w:i/>
                <w:strike/>
                <w:lang w:val="fr-FR"/>
              </w:rPr>
              <w:t>1.</w:t>
            </w:r>
            <w:r w:rsidRPr="004017FE">
              <w:rPr>
                <w:rFonts w:eastAsia="Times New Roman" w:cs="Arial"/>
                <w:i/>
                <w:u w:val="single"/>
                <w:lang w:val="fr-FR"/>
              </w:rPr>
              <w:t xml:space="preserve">2. </w:t>
            </w:r>
            <w:r w:rsidRPr="004017FE">
              <w:rPr>
                <w:rFonts w:eastAsia="Times New Roman" w:cs="Arial"/>
                <w:i/>
                <w:lang w:val="fr-FR"/>
              </w:rPr>
              <w:t>Prie instamment</w:t>
            </w:r>
            <w:r w:rsidRPr="004017FE">
              <w:rPr>
                <w:rFonts w:eastAsia="Times New Roman" w:cs="Arial"/>
                <w:lang w:val="fr-FR"/>
              </w:rPr>
              <w:t xml:space="preserve"> les Parties de faire en sorte que toute la pêche et le commerce des </w:t>
            </w:r>
            <w:r w:rsidRPr="004017FE">
              <w:rPr>
                <w:rFonts w:eastAsia="Times New Roman" w:cs="Arial"/>
                <w:strike/>
                <w:lang w:val="fr-FR"/>
              </w:rPr>
              <w:t>requins et des raies</w:t>
            </w:r>
            <w:r w:rsidRPr="004017FE">
              <w:rPr>
                <w:rFonts w:eastAsia="Times New Roman" w:cs="Arial"/>
                <w:lang w:val="fr-FR"/>
              </w:rPr>
              <w:t xml:space="preserve"> </w:t>
            </w:r>
            <w:r w:rsidRPr="004017FE">
              <w:rPr>
                <w:rFonts w:eastAsia="Times New Roman" w:cs="Arial"/>
                <w:u w:val="single"/>
                <w:lang w:val="fr-FR"/>
              </w:rPr>
              <w:t>espèces chondrichtyennes</w:t>
            </w:r>
            <w:r w:rsidRPr="004017FE">
              <w:rPr>
                <w:rFonts w:eastAsia="Times New Roman" w:cs="Arial"/>
                <w:lang w:val="fr-FR"/>
              </w:rPr>
              <w:t xml:space="preserve"> soient écologiquement durables, et qu’un manque de données scientifiques n’empêche pas de prendre des mesures de conservation ou de gestion de la pêche pour atteindre cet objectif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469" w:hanging="469"/>
              <w:jc w:val="both"/>
              <w:rPr>
                <w:rFonts w:eastAsia="Calibri" w:cs="Arial"/>
                <w:spacing w:val="-4"/>
                <w:lang w:val="fr-FR"/>
              </w:rPr>
            </w:pPr>
            <w:r w:rsidRPr="004017FE">
              <w:rPr>
                <w:rFonts w:eastAsia="Times New Roman" w:cs="Arial"/>
                <w:i/>
                <w:strike/>
                <w:spacing w:val="-4"/>
                <w:lang w:val="fr-FR"/>
              </w:rPr>
              <w:lastRenderedPageBreak/>
              <w:t>2.</w:t>
            </w:r>
            <w:r w:rsidRPr="004017FE">
              <w:rPr>
                <w:rFonts w:eastAsia="Times New Roman" w:cs="Arial"/>
                <w:i/>
                <w:spacing w:val="-4"/>
                <w:u w:val="single"/>
                <w:lang w:val="fr-FR"/>
              </w:rPr>
              <w:t>3.</w:t>
            </w:r>
            <w:r w:rsidRPr="004017FE">
              <w:rPr>
                <w:rFonts w:eastAsia="Times New Roman" w:cs="Arial"/>
                <w:i/>
                <w:spacing w:val="-4"/>
                <w:lang w:val="fr-FR"/>
              </w:rPr>
              <w:t xml:space="preserve"> Prie en outre instamment</w:t>
            </w:r>
            <w:r w:rsidRPr="004017FE">
              <w:rPr>
                <w:rFonts w:eastAsia="Times New Roman" w:cs="Arial"/>
                <w:spacing w:val="-4"/>
                <w:lang w:val="fr-FR"/>
              </w:rPr>
              <w:t xml:space="preserve"> les Parties de prendre des mesures pour éliminer l’enlèvement des ailerons </w:t>
            </w:r>
            <w:r w:rsidRPr="004017FE">
              <w:rPr>
                <w:rFonts w:eastAsia="Times New Roman" w:cs="Arial"/>
                <w:strike/>
                <w:spacing w:val="-4"/>
                <w:lang w:val="fr-FR"/>
              </w:rPr>
              <w:t>de requins</w:t>
            </w:r>
            <w:r w:rsidRPr="004017FE">
              <w:rPr>
                <w:rFonts w:eastAsia="Times New Roman" w:cs="Arial"/>
                <w:spacing w:val="-4"/>
                <w:lang w:val="fr-FR"/>
              </w:rPr>
              <w:t xml:space="preserve"> si ce n’est déjà fait, y compris des mesures de mise en œuvre telles que l’interdiction du prélèvement des ailerons </w:t>
            </w:r>
            <w:r w:rsidRPr="004017FE">
              <w:rPr>
                <w:rFonts w:eastAsia="Times New Roman" w:cs="Arial"/>
                <w:strike/>
                <w:spacing w:val="-4"/>
                <w:lang w:val="fr-FR"/>
              </w:rPr>
              <w:t>de requins</w:t>
            </w:r>
            <w:r w:rsidRPr="004017FE">
              <w:rPr>
                <w:rFonts w:eastAsia="Times New Roman" w:cs="Arial"/>
                <w:spacing w:val="-4"/>
                <w:lang w:val="fr-FR"/>
              </w:rPr>
              <w:t xml:space="preserve"> en mer et le rejet de la carcasse à la mer, exigeant que les </w:t>
            </w:r>
            <w:proofErr w:type="spellStart"/>
            <w:r w:rsidRPr="004017FE">
              <w:rPr>
                <w:rFonts w:eastAsia="Times New Roman" w:cs="Arial"/>
                <w:strike/>
                <w:spacing w:val="-4"/>
                <w:lang w:val="fr-FR"/>
              </w:rPr>
              <w:t>requins</w:t>
            </w:r>
            <w:r w:rsidRPr="004017FE">
              <w:rPr>
                <w:rFonts w:eastAsia="Times New Roman" w:cs="Arial"/>
                <w:spacing w:val="-4"/>
                <w:u w:val="single"/>
                <w:lang w:val="fr-FR"/>
              </w:rPr>
              <w:t>espèces</w:t>
            </w:r>
            <w:proofErr w:type="spellEnd"/>
            <w:r w:rsidRPr="004017FE">
              <w:rPr>
                <w:rFonts w:eastAsia="Times New Roman" w:cs="Arial"/>
                <w:spacing w:val="-4"/>
                <w:u w:val="single"/>
                <w:lang w:val="fr-FR"/>
              </w:rPr>
              <w:t xml:space="preserve"> chondrichtyennes</w:t>
            </w:r>
            <w:r w:rsidR="001D429A">
              <w:rPr>
                <w:rFonts w:eastAsia="Times New Roman" w:cs="Arial"/>
                <w:spacing w:val="-4"/>
                <w:u w:val="single"/>
                <w:lang w:val="fr-FR"/>
              </w:rPr>
              <w:t xml:space="preserve"> </w:t>
            </w:r>
            <w:r w:rsidR="001D429A" w:rsidRPr="001D429A">
              <w:rPr>
                <w:rFonts w:eastAsia="Times New Roman" w:cs="Arial"/>
                <w:spacing w:val="-4"/>
                <w:u w:val="single"/>
                <w:lang w:val="fr-FR"/>
              </w:rPr>
              <w:t>(à l'exclusion des espèces de l'ordre des Rajiformes</w:t>
            </w:r>
            <w:r w:rsidR="001D429A">
              <w:rPr>
                <w:rFonts w:eastAsia="Times New Roman" w:cs="Arial"/>
                <w:spacing w:val="-4"/>
                <w:u w:val="single"/>
                <w:lang w:val="fr-FR"/>
              </w:rPr>
              <w:t>)</w:t>
            </w:r>
            <w:r w:rsidRPr="004017FE">
              <w:rPr>
                <w:rFonts w:eastAsia="Times New Roman" w:cs="Arial"/>
                <w:spacing w:val="-4"/>
                <w:lang w:val="fr-FR"/>
              </w:rPr>
              <w:t xml:space="preserve"> soient débarqués avec leurs nageoires naturellement attachées</w:t>
            </w:r>
            <w:r w:rsidR="001D429A">
              <w:rPr>
                <w:rFonts w:eastAsia="Times New Roman" w:cs="Arial"/>
                <w:spacing w:val="-4"/>
                <w:lang w:val="fr-FR"/>
              </w:rPr>
              <w:t xml:space="preserve">, </w:t>
            </w:r>
            <w:r w:rsidR="001D429A" w:rsidRPr="001D429A">
              <w:rPr>
                <w:rFonts w:eastAsia="Times New Roman" w:cs="Arial"/>
                <w:spacing w:val="-4"/>
                <w:u w:val="single"/>
                <w:lang w:val="fr-FR"/>
              </w:rPr>
              <w:t>en totalité ou en partie</w:t>
            </w:r>
            <w:r w:rsidRPr="004017FE">
              <w:rPr>
                <w:rFonts w:eastAsia="Times New Roman" w:cs="Arial"/>
                <w:spacing w:val="-4"/>
                <w:lang w:val="fr-FR"/>
              </w:rPr>
              <w:t>, ou d’autres mesures en conformité avec les résolutions de l’Assemblée générale des Nations Unies applicables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line="256" w:lineRule="auto"/>
              <w:ind w:left="441" w:hanging="441"/>
              <w:jc w:val="both"/>
              <w:rPr>
                <w:rFonts w:eastAsia="Calibri" w:cs="Arial"/>
                <w:lang w:val="fr-FR"/>
              </w:rPr>
            </w:pPr>
            <w:r w:rsidRPr="004017FE">
              <w:rPr>
                <w:rFonts w:eastAsia="Times New Roman" w:cs="Arial"/>
                <w:i/>
                <w:strike/>
                <w:lang w:val="fr-FR"/>
              </w:rPr>
              <w:t>3.</w:t>
            </w:r>
            <w:r w:rsidRPr="004017FE">
              <w:rPr>
                <w:rFonts w:eastAsia="Times New Roman" w:cs="Arial"/>
                <w:u w:val="single"/>
                <w:lang w:val="fr-FR"/>
              </w:rPr>
              <w:t>4.</w:t>
            </w:r>
            <w:r w:rsidRPr="004017FE">
              <w:rPr>
                <w:rFonts w:eastAsia="Times New Roman" w:cs="Arial"/>
                <w:i/>
                <w:lang w:val="fr-FR"/>
              </w:rPr>
              <w:t xml:space="preserve"> Prie en outre instamment</w:t>
            </w:r>
            <w:r w:rsidRPr="004017FE">
              <w:rPr>
                <w:rFonts w:eastAsia="Times New Roman" w:cs="Arial"/>
                <w:lang w:val="fr-FR"/>
              </w:rPr>
              <w:t xml:space="preserve"> les Parties, si ce n’est déjà fait, d’élaborer et de mettre en œuvre des plans d’action nationaux pour les requins (Plan-requins), conformément au </w:t>
            </w:r>
            <w:r w:rsidRPr="004017FE">
              <w:rPr>
                <w:rFonts w:eastAsia="Times New Roman" w:cs="Arial"/>
                <w:strike/>
                <w:lang w:val="fr-FR"/>
              </w:rPr>
              <w:t>Plan d’action international pour les requins -</w:t>
            </w:r>
            <w:r w:rsidRPr="004017FE">
              <w:rPr>
                <w:rFonts w:eastAsia="Times New Roman" w:cs="Arial"/>
                <w:lang w:val="fr-FR"/>
              </w:rPr>
              <w:t>PAI-REQUINS de la FAO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Retenu et suppression du nom complet du « PAI-REQUINS »</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line="256" w:lineRule="auto"/>
              <w:ind w:left="497" w:hanging="497"/>
              <w:jc w:val="both"/>
              <w:rPr>
                <w:rFonts w:eastAsia="Calibri" w:cs="Arial"/>
                <w:spacing w:val="-2"/>
                <w:lang w:val="fr-FR"/>
              </w:rPr>
            </w:pPr>
            <w:r w:rsidRPr="004017FE">
              <w:rPr>
                <w:rFonts w:eastAsia="Times New Roman" w:cs="Arial"/>
                <w:strike/>
                <w:lang w:val="fr-FR"/>
              </w:rPr>
              <w:t>4.</w:t>
            </w:r>
            <w:r w:rsidRPr="004017FE">
              <w:rPr>
                <w:rFonts w:eastAsia="Times New Roman" w:cs="Arial"/>
                <w:lang w:val="fr-FR"/>
              </w:rPr>
              <w:t xml:space="preserve"> </w:t>
            </w:r>
            <w:r w:rsidRPr="004017FE">
              <w:rPr>
                <w:rFonts w:eastAsia="Times New Roman" w:cs="Arial"/>
                <w:u w:val="single"/>
                <w:lang w:val="fr-FR"/>
              </w:rPr>
              <w:t>5.</w:t>
            </w:r>
            <w:r w:rsidRPr="004017FE">
              <w:rPr>
                <w:rFonts w:eastAsia="Times New Roman" w:cs="Arial"/>
                <w:i/>
                <w:lang w:val="fr-FR"/>
              </w:rPr>
              <w:t xml:space="preserve"> Prie en outre instamment</w:t>
            </w:r>
            <w:r w:rsidRPr="004017FE">
              <w:rPr>
                <w:rFonts w:eastAsia="Times New Roman" w:cs="Arial"/>
                <w:lang w:val="fr-FR"/>
              </w:rPr>
              <w:t xml:space="preserve"> les Parties à la CMS de respecter les mesures de conservation et de gestion existantes, en particulier celles des ORGP, le cas échéant, notamment la conformité avec les obligations de collecte et de soumission de données pour permettre des évaluations fiables des stocks par les comités scientifiques de ces organismes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suppression de la forme longue de l’acronyme « ORGP » déjà explicité ci-dessus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line="256" w:lineRule="auto"/>
              <w:ind w:left="399" w:hanging="399"/>
              <w:jc w:val="both"/>
              <w:rPr>
                <w:rFonts w:eastAsia="Calibri" w:cs="Arial"/>
                <w:lang w:val="fr-FR"/>
              </w:rPr>
            </w:pPr>
            <w:r w:rsidRPr="004017FE">
              <w:rPr>
                <w:rFonts w:eastAsia="Times New Roman" w:cs="Arial"/>
                <w:strike/>
                <w:lang w:val="fr-FR"/>
              </w:rPr>
              <w:t>5.</w:t>
            </w:r>
            <w:r w:rsidRPr="004017FE">
              <w:rPr>
                <w:rFonts w:eastAsia="Times New Roman" w:cs="Arial"/>
                <w:u w:val="single"/>
                <w:lang w:val="fr-FR"/>
              </w:rPr>
              <w:t>6.</w:t>
            </w:r>
            <w:r w:rsidRPr="004017FE">
              <w:rPr>
                <w:rFonts w:eastAsia="Times New Roman" w:cs="Arial"/>
                <w:i/>
                <w:lang w:val="fr-FR"/>
              </w:rPr>
              <w:t xml:space="preserve"> Prie en outre instamment</w:t>
            </w:r>
            <w:r w:rsidRPr="004017FE">
              <w:rPr>
                <w:rFonts w:eastAsia="Times New Roman" w:cs="Arial"/>
                <w:lang w:val="fr-FR"/>
              </w:rPr>
              <w:t xml:space="preserve"> les Parties d’élaborer et mettre en œuvre des lignes directrices et des procédures pour la mise en œuvre des dispositions de la CITES réglementant le commerce des produits dérivés </w:t>
            </w:r>
            <w:r w:rsidRPr="004017FE">
              <w:rPr>
                <w:rFonts w:eastAsia="Times New Roman" w:cs="Arial"/>
                <w:strike/>
                <w:lang w:val="fr-FR"/>
              </w:rPr>
              <w:t>de requins</w:t>
            </w:r>
            <w:r w:rsidRPr="004017FE">
              <w:rPr>
                <w:rFonts w:eastAsia="Times New Roman" w:cs="Arial"/>
                <w:lang w:val="fr-FR"/>
              </w:rPr>
              <w:t xml:space="preserve"> </w:t>
            </w:r>
            <w:r w:rsidRPr="004017FE">
              <w:rPr>
                <w:rFonts w:eastAsia="Times New Roman" w:cs="Arial"/>
                <w:u w:val="single"/>
                <w:lang w:val="fr-FR"/>
              </w:rPr>
              <w:t xml:space="preserve">d’espèces chondrichtyennes </w:t>
            </w:r>
            <w:r w:rsidRPr="004017FE">
              <w:rPr>
                <w:rFonts w:eastAsia="Times New Roman" w:cs="Arial"/>
                <w:lang w:val="fr-FR"/>
              </w:rPr>
              <w:t>provenant d’espèces inscrites aux Annexes de la Convention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332"/>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497" w:hanging="497"/>
              <w:jc w:val="both"/>
              <w:rPr>
                <w:rFonts w:eastAsia="Calibri" w:cs="Arial"/>
                <w:lang w:val="fr-FR"/>
              </w:rPr>
            </w:pPr>
            <w:r w:rsidRPr="004017FE">
              <w:rPr>
                <w:rFonts w:eastAsia="Times New Roman" w:cs="Arial"/>
                <w:strike/>
                <w:lang w:val="fr-FR"/>
              </w:rPr>
              <w:t>6.</w:t>
            </w:r>
            <w:r w:rsidRPr="004017FE">
              <w:rPr>
                <w:rFonts w:eastAsia="Times New Roman" w:cs="Arial"/>
                <w:u w:val="single"/>
                <w:lang w:val="fr-FR"/>
              </w:rPr>
              <w:t>7.</w:t>
            </w:r>
            <w:r w:rsidRPr="004017FE">
              <w:rPr>
                <w:rFonts w:eastAsia="Times New Roman" w:cs="Arial"/>
                <w:i/>
                <w:lang w:val="fr-FR"/>
              </w:rPr>
              <w:t xml:space="preserve"> Encourage</w:t>
            </w:r>
            <w:r w:rsidRPr="004017FE">
              <w:rPr>
                <w:rFonts w:eastAsia="Times New Roman" w:cs="Arial"/>
                <w:lang w:val="fr-FR"/>
              </w:rPr>
              <w:t xml:space="preserve"> les Parties à identifier leurs besoins en matière de formation et de renforcement des capacités dans les domaines de la recherche, de la collecte de données spécifiques aux espèces et de la surveillance, et de faciliter les initiatives visant à améliorer les capacités et les compétences institutionnelles en matière de techniques d’identification, de gestion et de conservation des </w:t>
            </w:r>
            <w:r w:rsidRPr="004017FE">
              <w:rPr>
                <w:rFonts w:eastAsia="Times New Roman" w:cs="Arial"/>
                <w:strike/>
                <w:lang w:val="fr-FR"/>
              </w:rPr>
              <w:t>requins et des raies</w:t>
            </w:r>
            <w:r w:rsidRPr="004017FE">
              <w:rPr>
                <w:rFonts w:eastAsia="Times New Roman" w:cs="Arial"/>
                <w:lang w:val="fr-FR"/>
              </w:rPr>
              <w:t xml:space="preserve"> </w:t>
            </w:r>
            <w:r w:rsidRPr="004017FE">
              <w:rPr>
                <w:rFonts w:eastAsia="Times New Roman" w:cs="Arial"/>
                <w:u w:val="single"/>
                <w:lang w:val="fr-FR"/>
              </w:rPr>
              <w:t>espèces chondrichtyennes</w:t>
            </w:r>
            <w:r w:rsidRPr="004017FE">
              <w:rPr>
                <w:rFonts w:eastAsia="Times New Roman" w:cs="Arial"/>
                <w:lang w:val="fr-FR"/>
              </w:rPr>
              <w:t>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469" w:hanging="469"/>
              <w:jc w:val="both"/>
              <w:rPr>
                <w:rFonts w:eastAsia="Calibri" w:cs="Arial"/>
                <w:lang w:val="fr-FR"/>
              </w:rPr>
            </w:pPr>
            <w:r w:rsidRPr="004017FE">
              <w:rPr>
                <w:rFonts w:eastAsia="Times New Roman" w:cs="Arial"/>
                <w:strike/>
                <w:lang w:val="fr-FR"/>
              </w:rPr>
              <w:t>7.</w:t>
            </w:r>
            <w:r w:rsidRPr="004017FE">
              <w:rPr>
                <w:rFonts w:eastAsia="Times New Roman" w:cs="Arial"/>
                <w:u w:val="single"/>
                <w:lang w:val="fr-FR"/>
              </w:rPr>
              <w:t>8.</w:t>
            </w:r>
            <w:r w:rsidRPr="004017FE">
              <w:rPr>
                <w:rFonts w:eastAsia="Times New Roman" w:cs="Arial"/>
                <w:i/>
                <w:lang w:val="fr-FR"/>
              </w:rPr>
              <w:t xml:space="preserve"> Demande</w:t>
            </w:r>
            <w:r w:rsidRPr="004017FE">
              <w:rPr>
                <w:rFonts w:eastAsia="Times New Roman" w:cs="Arial"/>
                <w:lang w:val="fr-FR"/>
              </w:rPr>
              <w:t xml:space="preserve"> aux Parties d’améliorer la connaissance sur la biologie et l’écologie des populations </w:t>
            </w:r>
            <w:r w:rsidRPr="004017FE">
              <w:rPr>
                <w:rFonts w:eastAsia="Times New Roman" w:cs="Arial"/>
                <w:strike/>
                <w:lang w:val="fr-FR"/>
              </w:rPr>
              <w:t>d’élasmobranches migrateurs</w:t>
            </w:r>
            <w:r w:rsidRPr="004017FE">
              <w:rPr>
                <w:rFonts w:eastAsia="Times New Roman" w:cs="Arial"/>
                <w:lang w:val="fr-FR"/>
              </w:rPr>
              <w:t xml:space="preserve"> </w:t>
            </w:r>
            <w:r w:rsidRPr="004017FE">
              <w:rPr>
                <w:rFonts w:eastAsia="Times New Roman" w:cs="Arial"/>
                <w:u w:val="single"/>
                <w:lang w:val="fr-FR"/>
              </w:rPr>
              <w:t>d’espèces chondrichtyennes migratrices</w:t>
            </w:r>
            <w:r w:rsidRPr="004017FE">
              <w:rPr>
                <w:rFonts w:eastAsia="Times New Roman" w:cs="Arial"/>
                <w:lang w:val="fr-FR"/>
              </w:rPr>
              <w:t>, d’identifier des façons de rendre les engins de pêche plus sélectifs, de soutenir des mesures de conservation efficaces par le biais de la recherche, de la surveillance et de l’échange d’information, et d’encourager les évaluations et la recherche sur les populations, notamment dans le cadre des ORGP et de leurs organismes scientifiques, le cas échéant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483" w:hanging="455"/>
              <w:jc w:val="both"/>
              <w:rPr>
                <w:rFonts w:eastAsia="Calibri" w:cs="Arial"/>
                <w:lang w:val="fr-FR"/>
              </w:rPr>
            </w:pPr>
            <w:r w:rsidRPr="004017FE">
              <w:rPr>
                <w:rFonts w:eastAsia="Times New Roman" w:cs="Arial"/>
                <w:strike/>
                <w:lang w:val="fr-FR"/>
              </w:rPr>
              <w:lastRenderedPageBreak/>
              <w:t>8.</w:t>
            </w:r>
            <w:r w:rsidRPr="004017FE">
              <w:rPr>
                <w:rFonts w:eastAsia="Times New Roman" w:cs="Arial"/>
                <w:u w:val="single"/>
                <w:lang w:val="fr-FR"/>
              </w:rPr>
              <w:t>9.</w:t>
            </w:r>
            <w:r w:rsidRPr="004017FE">
              <w:rPr>
                <w:rFonts w:eastAsia="Times New Roman" w:cs="Arial"/>
                <w:i/>
                <w:lang w:val="fr-FR"/>
              </w:rPr>
              <w:t xml:space="preserve"> Encourage</w:t>
            </w:r>
            <w:r w:rsidRPr="004017FE">
              <w:rPr>
                <w:rFonts w:eastAsia="Times New Roman" w:cs="Arial"/>
                <w:lang w:val="fr-FR"/>
              </w:rPr>
              <w:t xml:space="preserve"> les Parties à établir des priorités dans les programmes de surveillance et de documentation de la pêche visant directement les </w:t>
            </w:r>
            <w:r w:rsidRPr="004017FE">
              <w:rPr>
                <w:rFonts w:eastAsia="Times New Roman" w:cs="Arial"/>
                <w:strike/>
                <w:lang w:val="fr-FR"/>
              </w:rPr>
              <w:t>requins et les raies</w:t>
            </w:r>
            <w:r w:rsidRPr="004017FE">
              <w:rPr>
                <w:rFonts w:eastAsia="Times New Roman" w:cs="Arial"/>
                <w:lang w:val="fr-FR"/>
              </w:rPr>
              <w:t xml:space="preserve"> </w:t>
            </w:r>
            <w:r w:rsidRPr="004017FE">
              <w:rPr>
                <w:rFonts w:eastAsia="Times New Roman" w:cs="Arial"/>
                <w:u w:val="single"/>
                <w:lang w:val="fr-FR"/>
              </w:rPr>
              <w:t xml:space="preserve">espèces chondrichtyennes </w:t>
            </w:r>
            <w:r w:rsidRPr="004017FE">
              <w:rPr>
                <w:rFonts w:eastAsia="Times New Roman" w:cs="Arial"/>
                <w:lang w:val="fr-FR"/>
              </w:rPr>
              <w:t xml:space="preserve">et de la pêche qui comprend des captures accidentelles importantes </w:t>
            </w:r>
            <w:r w:rsidRPr="004017FE">
              <w:rPr>
                <w:rFonts w:eastAsia="Times New Roman" w:cs="Arial"/>
                <w:strike/>
                <w:lang w:val="fr-FR"/>
              </w:rPr>
              <w:t>de requins et de raies</w:t>
            </w:r>
            <w:r w:rsidRPr="004017FE">
              <w:rPr>
                <w:rFonts w:eastAsia="Times New Roman" w:cs="Arial"/>
                <w:lang w:val="fr-FR"/>
              </w:rPr>
              <w:t xml:space="preserve"> </w:t>
            </w:r>
            <w:r w:rsidRPr="004017FE">
              <w:rPr>
                <w:rFonts w:eastAsia="Times New Roman" w:cs="Arial"/>
                <w:u w:val="single"/>
                <w:lang w:val="fr-FR"/>
              </w:rPr>
              <w:t>d’espèces chondrichtyennes</w:t>
            </w:r>
            <w:r w:rsidRPr="004017FE">
              <w:rPr>
                <w:rFonts w:eastAsia="Times New Roman" w:cs="Arial"/>
                <w:lang w:val="fr-FR"/>
              </w:rPr>
              <w:t xml:space="preserve">, pouvant inclure des systèmes de surveillance des navires, des inspections de </w:t>
            </w:r>
            <w:r w:rsidRPr="004017FE">
              <w:rPr>
                <w:rFonts w:eastAsia="Times New Roman" w:cs="Arial"/>
                <w:u w:val="single"/>
                <w:lang w:val="fr-FR"/>
              </w:rPr>
              <w:t>ports</w:t>
            </w:r>
            <w:r w:rsidRPr="004017FE">
              <w:rPr>
                <w:rFonts w:eastAsia="Times New Roman" w:cs="Arial"/>
                <w:lang w:val="fr-FR"/>
              </w:rPr>
              <w:t xml:space="preserve">, et des programmes d’observateurs à bord ou de surveillance </w:t>
            </w:r>
            <w:r w:rsidRPr="004017FE">
              <w:rPr>
                <w:rFonts w:eastAsia="Times New Roman" w:cs="Arial"/>
                <w:u w:val="single"/>
                <w:lang w:val="fr-FR"/>
              </w:rPr>
              <w:t>électronique </w:t>
            </w:r>
            <w:r w:rsidRPr="004017FE">
              <w:rPr>
                <w:rFonts w:eastAsia="Times New Roman" w:cs="Arial"/>
                <w:lang w:val="fr-FR"/>
              </w:rPr>
              <w:t>;</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être plus précis et pour refléter le fait que la résolution se réfère à toutes les espèces chondrichtyennes</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553" w:hanging="553"/>
              <w:jc w:val="both"/>
              <w:rPr>
                <w:rFonts w:eastAsia="Calibri" w:cs="Arial"/>
                <w:lang w:val="fr-FR"/>
              </w:rPr>
            </w:pPr>
            <w:r w:rsidRPr="004017FE">
              <w:rPr>
                <w:rFonts w:eastAsia="Times New Roman" w:cs="Arial"/>
                <w:strike/>
                <w:lang w:val="fr-FR"/>
              </w:rPr>
              <w:t>9.</w:t>
            </w:r>
            <w:r w:rsidRPr="004017FE">
              <w:rPr>
                <w:rFonts w:eastAsia="Times New Roman" w:cs="Arial"/>
                <w:lang w:val="fr-FR"/>
              </w:rPr>
              <w:t>10.</w:t>
            </w:r>
            <w:r w:rsidRPr="004017FE">
              <w:rPr>
                <w:rFonts w:eastAsia="Times New Roman" w:cs="Arial"/>
                <w:i/>
                <w:lang w:val="fr-FR"/>
              </w:rPr>
              <w:t xml:space="preserve"> Encourage en outre </w:t>
            </w:r>
            <w:r w:rsidRPr="004017FE">
              <w:rPr>
                <w:rFonts w:eastAsia="Times New Roman" w:cs="Arial"/>
                <w:lang w:val="fr-FR"/>
              </w:rPr>
              <w:t xml:space="preserve">les Parties, le cas échéant, à promouvoir la mise en place d’objectifs de conservation basés sur la science pour les </w:t>
            </w:r>
            <w:r w:rsidRPr="004017FE">
              <w:rPr>
                <w:rFonts w:eastAsia="Times New Roman" w:cs="Arial"/>
                <w:u w:val="single"/>
                <w:lang w:val="fr-FR"/>
              </w:rPr>
              <w:t xml:space="preserve">espèces chondrichtyennes migratrices </w:t>
            </w:r>
            <w:r w:rsidRPr="004017FE">
              <w:rPr>
                <w:rFonts w:eastAsia="Times New Roman" w:cs="Arial"/>
                <w:strike/>
                <w:lang w:val="fr-FR"/>
              </w:rPr>
              <w:t>requins et les raies migrateurs</w:t>
            </w:r>
            <w:r w:rsidRPr="004017FE">
              <w:rPr>
                <w:rFonts w:eastAsia="Times New Roman" w:cs="Arial"/>
                <w:lang w:val="fr-FR"/>
              </w:rPr>
              <w:t>, ainsi que des indicateurs pour évaluer les progrès accomplis dans la réalisation de ces objectifs, y compris au sein des ORGP, le cas échéant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17F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679" w:hanging="693"/>
              <w:jc w:val="both"/>
              <w:rPr>
                <w:rFonts w:eastAsia="Calibri" w:cs="Arial"/>
                <w:lang w:val="fr-FR"/>
              </w:rPr>
            </w:pPr>
            <w:r w:rsidRPr="004017FE">
              <w:rPr>
                <w:rFonts w:eastAsia="Times New Roman" w:cs="Arial"/>
                <w:strike/>
                <w:lang w:val="fr-FR"/>
              </w:rPr>
              <w:t>10.</w:t>
            </w:r>
            <w:r w:rsidRPr="004017FE">
              <w:rPr>
                <w:rFonts w:eastAsia="Times New Roman" w:cs="Arial"/>
                <w:u w:val="single"/>
                <w:lang w:val="fr-FR"/>
              </w:rPr>
              <w:t>11.</w:t>
            </w:r>
            <w:r w:rsidRPr="004017FE">
              <w:rPr>
                <w:rFonts w:eastAsia="Times New Roman" w:cs="Arial"/>
                <w:lang w:val="fr-FR"/>
              </w:rPr>
              <w:t xml:space="preserve"> </w:t>
            </w:r>
            <w:r w:rsidRPr="004017FE">
              <w:rPr>
                <w:rFonts w:eastAsia="Times New Roman" w:cs="Arial"/>
                <w:i/>
                <w:lang w:val="fr-FR"/>
              </w:rPr>
              <w:t>Demande</w:t>
            </w:r>
            <w:r w:rsidRPr="004017FE">
              <w:rPr>
                <w:rFonts w:eastAsia="Times New Roman" w:cs="Arial"/>
                <w:lang w:val="fr-FR"/>
              </w:rPr>
              <w:t xml:space="preserve"> aux Parties d’identifier et de préserver les habitats critiques et les stades vulnérables du cycle de vie, ainsi que les voies de migration, en vue de contribuer au développement et à la mise en œuvre de mesures de conservation et de gestion durable efficaces, fondées sur les meilleures connaissances scientifiques disponibles et sur l’approche de précaution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rPr>
            </w:pPr>
            <w:proofErr w:type="spellStart"/>
            <w:r w:rsidRPr="004017FE">
              <w:rPr>
                <w:rFonts w:eastAsia="Times New Roman" w:cs="Arial"/>
              </w:rPr>
              <w:t>Résolution</w:t>
            </w:r>
            <w:proofErr w:type="spellEnd"/>
            <w:r w:rsidRPr="004017FE">
              <w:rPr>
                <w:rFonts w:eastAsia="Times New Roman" w:cs="Arial"/>
              </w:rPr>
              <w:t> 11.20</w:t>
            </w:r>
          </w:p>
          <w:p w:rsidR="004017FE" w:rsidRPr="004017FE" w:rsidRDefault="004017FE" w:rsidP="004017FE">
            <w:pPr>
              <w:spacing w:line="256" w:lineRule="auto"/>
              <w:contextualSpacing/>
              <w:rPr>
                <w:rFonts w:eastAsia="Calibri" w:cs="Arial"/>
              </w:rPr>
            </w:pPr>
          </w:p>
          <w:p w:rsidR="004017FE" w:rsidRPr="004017FE" w:rsidRDefault="004017FE" w:rsidP="004017FE">
            <w:pPr>
              <w:spacing w:line="256" w:lineRule="auto"/>
              <w:contextualSpacing/>
              <w:rPr>
                <w:rFonts w:eastAsia="Calibri" w:cs="Arial"/>
              </w:rPr>
            </w:pPr>
            <w:proofErr w:type="spellStart"/>
            <w:r w:rsidRPr="004017FE">
              <w:rPr>
                <w:rFonts w:eastAsia="Times New Roman" w:cs="Arial"/>
              </w:rPr>
              <w:t>Maintenu</w:t>
            </w:r>
            <w:proofErr w:type="spellEnd"/>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665" w:hanging="665"/>
              <w:jc w:val="both"/>
              <w:rPr>
                <w:rFonts w:eastAsia="Calibri" w:cs="Arial"/>
                <w:lang w:val="fr-FR"/>
              </w:rPr>
            </w:pPr>
            <w:r w:rsidRPr="004017FE">
              <w:rPr>
                <w:rFonts w:eastAsia="Times New Roman" w:cs="Arial"/>
                <w:strike/>
                <w:lang w:val="fr-FR"/>
              </w:rPr>
              <w:t>11</w:t>
            </w:r>
            <w:r w:rsidRPr="004017FE">
              <w:rPr>
                <w:rFonts w:eastAsia="Times New Roman" w:cs="Arial"/>
                <w:lang w:val="fr-FR"/>
              </w:rPr>
              <w:t>.</w:t>
            </w:r>
            <w:r w:rsidRPr="004017FE">
              <w:rPr>
                <w:rFonts w:eastAsia="Times New Roman" w:cs="Arial"/>
                <w:u w:val="single"/>
                <w:lang w:val="fr-FR"/>
              </w:rPr>
              <w:t>12.</w:t>
            </w:r>
            <w:r w:rsidRPr="004017FE">
              <w:rPr>
                <w:rFonts w:eastAsia="Times New Roman" w:cs="Arial"/>
                <w:i/>
                <w:lang w:val="fr-FR"/>
              </w:rPr>
              <w:t xml:space="preserve"> Encourage </w:t>
            </w:r>
            <w:r w:rsidRPr="004017FE">
              <w:rPr>
                <w:rFonts w:eastAsia="Times New Roman" w:cs="Arial"/>
                <w:lang w:val="fr-FR"/>
              </w:rPr>
              <w:t xml:space="preserve">les Parties, les ORGP et autres organismes concernés à minimiser l’impact de la pêche dans les couloirs de migration et dans d’autres habitats jugés critiques pour la récupération et la viabilité des populations </w:t>
            </w:r>
            <w:r w:rsidRPr="004017FE">
              <w:rPr>
                <w:rFonts w:eastAsia="Times New Roman" w:cs="Arial"/>
                <w:strike/>
                <w:lang w:val="fr-FR"/>
              </w:rPr>
              <w:t xml:space="preserve">de requins et de </w:t>
            </w:r>
            <w:proofErr w:type="spellStart"/>
            <w:r w:rsidRPr="004017FE">
              <w:rPr>
                <w:rFonts w:eastAsia="Times New Roman" w:cs="Arial"/>
                <w:strike/>
                <w:lang w:val="fr-FR"/>
              </w:rPr>
              <w:t>raies</w:t>
            </w:r>
            <w:r w:rsidRPr="004017FE">
              <w:rPr>
                <w:rFonts w:eastAsia="Times New Roman" w:cs="Arial"/>
                <w:u w:val="single"/>
                <w:lang w:val="fr-FR"/>
              </w:rPr>
              <w:t>d’espèces</w:t>
            </w:r>
            <w:proofErr w:type="spellEnd"/>
            <w:r w:rsidRPr="004017FE">
              <w:rPr>
                <w:rFonts w:eastAsia="Times New Roman" w:cs="Arial"/>
                <w:u w:val="single"/>
                <w:lang w:val="fr-FR"/>
              </w:rPr>
              <w:t xml:space="preserve"> chondrichtyennes</w:t>
            </w:r>
            <w:r w:rsidRPr="004017FE">
              <w:rPr>
                <w:rFonts w:eastAsia="Times New Roman" w:cs="Arial"/>
                <w:lang w:val="fr-FR"/>
              </w:rPr>
              <w:t>, y compris celles qui chevauchent plusieurs juridictions nationales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5D5E" w:rsidTr="004017FE">
        <w:trPr>
          <w:trHeight w:val="332"/>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693" w:hanging="693"/>
              <w:jc w:val="both"/>
              <w:rPr>
                <w:rFonts w:eastAsia="Calibri" w:cs="Arial"/>
                <w:lang w:val="fr-FR"/>
              </w:rPr>
            </w:pPr>
            <w:r w:rsidRPr="004017FE">
              <w:rPr>
                <w:rFonts w:eastAsia="Times New Roman" w:cs="Arial"/>
                <w:strike/>
                <w:lang w:val="fr-FR"/>
              </w:rPr>
              <w:t>12.</w:t>
            </w:r>
            <w:r w:rsidRPr="004017FE">
              <w:rPr>
                <w:rFonts w:eastAsia="Times New Roman" w:cs="Arial"/>
                <w:u w:val="single"/>
                <w:lang w:val="fr-FR"/>
              </w:rPr>
              <w:t>13.</w:t>
            </w:r>
            <w:r w:rsidRPr="004017FE">
              <w:rPr>
                <w:rFonts w:eastAsia="Times New Roman" w:cs="Arial"/>
                <w:i/>
                <w:lang w:val="fr-FR"/>
              </w:rPr>
              <w:t xml:space="preserve"> Invite </w:t>
            </w:r>
            <w:r w:rsidRPr="004017FE">
              <w:rPr>
                <w:rFonts w:eastAsia="Times New Roman" w:cs="Arial"/>
                <w:lang w:val="fr-FR"/>
              </w:rPr>
              <w:t xml:space="preserve">les Parties, les États de l’aire de répartition, </w:t>
            </w:r>
            <w:r w:rsidRPr="004017FE">
              <w:rPr>
                <w:rFonts w:eastAsia="Times New Roman" w:cs="Arial"/>
                <w:strike/>
                <w:lang w:val="fr-FR"/>
              </w:rPr>
              <w:t>et les partenaires coopérants</w:t>
            </w:r>
            <w:r w:rsidRPr="004017FE">
              <w:rPr>
                <w:rFonts w:eastAsia="Times New Roman" w:cs="Arial"/>
                <w:lang w:val="fr-FR"/>
              </w:rPr>
              <w:t xml:space="preserve"> </w:t>
            </w:r>
            <w:r w:rsidRPr="004017FE">
              <w:rPr>
                <w:rFonts w:eastAsia="Times New Roman" w:cs="Arial"/>
                <w:u w:val="single"/>
                <w:lang w:val="fr-FR"/>
              </w:rPr>
              <w:t>les autres États, les organisations intergouvernementales et non gouvernementales, et d’autres entités et organes pertinents</w:t>
            </w:r>
            <w:r w:rsidRPr="004017FE">
              <w:rPr>
                <w:rFonts w:eastAsia="Times New Roman" w:cs="Arial"/>
                <w:u w:val="single"/>
                <w:shd w:val="clear" w:color="auto" w:fill="FFFFFF"/>
                <w:lang w:val="fr-FR"/>
              </w:rPr>
              <w:t xml:space="preserve"> </w:t>
            </w:r>
            <w:r w:rsidRPr="004017FE">
              <w:rPr>
                <w:rFonts w:eastAsia="Times New Roman" w:cs="Arial"/>
                <w:lang w:val="fr-FR"/>
              </w:rPr>
              <w:t xml:space="preserve">à signer le </w:t>
            </w:r>
            <w:proofErr w:type="spellStart"/>
            <w:r w:rsidRPr="004017FE">
              <w:rPr>
                <w:rFonts w:eastAsia="Times New Roman" w:cs="Arial"/>
                <w:lang w:val="fr-FR"/>
              </w:rPr>
              <w:t>MdE</w:t>
            </w:r>
            <w:proofErr w:type="spellEnd"/>
            <w:r w:rsidRPr="004017FE">
              <w:rPr>
                <w:rFonts w:eastAsia="Times New Roman" w:cs="Arial"/>
                <w:lang w:val="fr-FR"/>
              </w:rPr>
              <w:t xml:space="preserve"> sur les requins</w:t>
            </w:r>
            <w:r w:rsidRPr="004017FE">
              <w:rPr>
                <w:rFonts w:eastAsia="Times New Roman" w:cs="Arial"/>
                <w:u w:val="single"/>
                <w:lang w:val="fr-FR"/>
              </w:rPr>
              <w:t xml:space="preserve"> en tant que signataires ou partenaires coopérants </w:t>
            </w:r>
            <w:r w:rsidRPr="004017FE">
              <w:rPr>
                <w:rFonts w:eastAsia="Times New Roman" w:cs="Arial"/>
                <w:lang w:val="fr-FR"/>
              </w:rPr>
              <w:t xml:space="preserve">et à prendre des mesures en matière de conservation et de recherche, afin d’empêcher l’exploitation non durable des </w:t>
            </w:r>
            <w:r w:rsidRPr="004017FE">
              <w:rPr>
                <w:rFonts w:eastAsia="Times New Roman" w:cs="Arial"/>
                <w:strike/>
                <w:lang w:val="fr-FR"/>
              </w:rPr>
              <w:t>requins et des raies</w:t>
            </w:r>
            <w:r w:rsidRPr="004017FE">
              <w:rPr>
                <w:rFonts w:eastAsia="Times New Roman" w:cs="Arial"/>
                <w:lang w:val="fr-FR"/>
              </w:rPr>
              <w:t xml:space="preserve"> </w:t>
            </w:r>
            <w:r w:rsidRPr="004017FE">
              <w:rPr>
                <w:rFonts w:eastAsia="Times New Roman" w:cs="Arial"/>
                <w:u w:val="single"/>
                <w:lang w:val="fr-FR"/>
              </w:rPr>
              <w:t>espèces chondrichtyennes </w:t>
            </w:r>
            <w:r w:rsidRPr="004017FE">
              <w:rPr>
                <w:rFonts w:eastAsia="Times New Roman" w:cs="Arial"/>
                <w:lang w:val="fr-FR"/>
              </w:rPr>
              <w:t>;</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 xml:space="preserve">Maintenu et amendé pour refléter le fait que les autres États, les organisations intergouvernementales et non gouvernementales, et les autres organes pertinents deviennent des partenaires coopérants seulement après avoir signé le </w:t>
            </w:r>
            <w:proofErr w:type="spellStart"/>
            <w:r w:rsidRPr="004017FE">
              <w:rPr>
                <w:rFonts w:eastAsia="Times New Roman" w:cs="Arial"/>
                <w:lang w:val="fr-FR"/>
              </w:rPr>
              <w:t>MdE</w:t>
            </w:r>
            <w:proofErr w:type="spellEnd"/>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keepNext/>
              <w:widowControl w:val="0"/>
              <w:autoSpaceDE w:val="0"/>
              <w:autoSpaceDN w:val="0"/>
              <w:adjustRightInd w:val="0"/>
              <w:spacing w:after="0" w:line="256" w:lineRule="auto"/>
              <w:ind w:left="693" w:hanging="728"/>
              <w:jc w:val="both"/>
              <w:rPr>
                <w:rFonts w:eastAsia="Calibri" w:cs="Arial"/>
                <w:lang w:val="fr-FR"/>
              </w:rPr>
            </w:pPr>
            <w:r w:rsidRPr="004017FE">
              <w:rPr>
                <w:rFonts w:eastAsia="Times New Roman" w:cs="Arial"/>
                <w:strike/>
                <w:lang w:val="fr-FR"/>
              </w:rPr>
              <w:lastRenderedPageBreak/>
              <w:t>13.</w:t>
            </w:r>
            <w:r w:rsidRPr="004017FE">
              <w:rPr>
                <w:rFonts w:eastAsia="Times New Roman" w:cs="Arial"/>
                <w:u w:val="single"/>
                <w:lang w:val="fr-FR"/>
              </w:rPr>
              <w:t>14.</w:t>
            </w:r>
            <w:r w:rsidRPr="004017FE">
              <w:rPr>
                <w:rFonts w:eastAsia="Times New Roman" w:cs="Arial"/>
                <w:i/>
                <w:lang w:val="fr-FR"/>
              </w:rPr>
              <w:t xml:space="preserve"> Demande </w:t>
            </w:r>
            <w:r w:rsidRPr="004017FE">
              <w:rPr>
                <w:rFonts w:eastAsia="Times New Roman" w:cs="Arial"/>
                <w:lang w:val="fr-FR"/>
              </w:rPr>
              <w:t xml:space="preserve">au Secrétariat de continuer à assurer la liaison avec la FAO, les ORGP, la CITES, la société civile et d’autres parties prenantes concernées </w:t>
            </w:r>
            <w:r w:rsidRPr="004017FE">
              <w:rPr>
                <w:rFonts w:eastAsia="Times New Roman" w:cs="Arial"/>
                <w:u w:val="single"/>
                <w:lang w:val="fr-FR"/>
              </w:rPr>
              <w:t>et d’explorer de nouvelles pistes de collaboration</w:t>
            </w:r>
            <w:r w:rsidRPr="004017FE">
              <w:rPr>
                <w:rFonts w:eastAsia="Times New Roman" w:cs="Arial"/>
                <w:lang w:val="fr-FR"/>
              </w:rPr>
              <w:t xml:space="preserve"> afin de promouvoir des actions coordonnées </w:t>
            </w:r>
            <w:r w:rsidRPr="004017FE">
              <w:rPr>
                <w:rFonts w:eastAsia="Times New Roman" w:cs="Arial"/>
                <w:u w:val="single"/>
                <w:lang w:val="fr-FR"/>
              </w:rPr>
              <w:t xml:space="preserve">qui permettront d’améliorer la protection, la conservation et la gestion des espèces chondrichtyennes </w:t>
            </w:r>
            <w:r w:rsidRPr="004017FE">
              <w:rPr>
                <w:rFonts w:eastAsia="Times New Roman" w:cs="Arial"/>
                <w:strike/>
                <w:lang w:val="fr-FR"/>
              </w:rPr>
              <w:t>pour assurer la conservation et l’exploitation durable des requins et des raies</w:t>
            </w:r>
            <w:r w:rsidRPr="004017FE">
              <w:rPr>
                <w:rFonts w:eastAsia="Times New Roman" w:cs="Arial"/>
                <w:lang w:val="fr-FR"/>
              </w:rPr>
              <w:t> ;</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inclure le contenu du paragraphe 3 de la Résolution 8.16 (Rev.COP12)</w:t>
            </w:r>
          </w:p>
        </w:tc>
      </w:tr>
      <w:tr w:rsidR="004017FE" w:rsidRPr="00405D5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widowControl w:val="0"/>
              <w:autoSpaceDE w:val="0"/>
              <w:autoSpaceDN w:val="0"/>
              <w:adjustRightInd w:val="0"/>
              <w:spacing w:after="0" w:line="256" w:lineRule="auto"/>
              <w:ind w:left="612" w:hanging="646"/>
              <w:jc w:val="both"/>
              <w:rPr>
                <w:rFonts w:eastAsia="Calibri" w:cs="Arial"/>
                <w:lang w:val="fr-FR"/>
              </w:rPr>
            </w:pPr>
            <w:r w:rsidRPr="004017FE">
              <w:rPr>
                <w:rFonts w:eastAsia="Times New Roman" w:cs="Arial"/>
                <w:strike/>
                <w:lang w:val="fr-FR"/>
              </w:rPr>
              <w:t>14.</w:t>
            </w:r>
            <w:r w:rsidRPr="004017FE">
              <w:rPr>
                <w:rFonts w:eastAsia="Times New Roman" w:cs="Arial"/>
                <w:u w:val="single"/>
                <w:lang w:val="fr-FR"/>
              </w:rPr>
              <w:t>15.</w:t>
            </w:r>
            <w:r w:rsidRPr="004017FE">
              <w:rPr>
                <w:rFonts w:eastAsia="Times New Roman" w:cs="Arial"/>
                <w:i/>
                <w:lang w:val="fr-FR"/>
              </w:rPr>
              <w:t xml:space="preserve"> Encourage</w:t>
            </w:r>
            <w:r w:rsidRPr="004017FE">
              <w:rPr>
                <w:rFonts w:eastAsia="Times New Roman" w:cs="Arial"/>
                <w:lang w:val="fr-FR"/>
              </w:rPr>
              <w:t xml:space="preserve"> les Parties à porter à l’attention de la FAO, des ORGP et d’autres organismes concernés les objectifs de la CMS et du </w:t>
            </w:r>
            <w:proofErr w:type="spellStart"/>
            <w:r w:rsidRPr="004017FE">
              <w:rPr>
                <w:rFonts w:eastAsia="Times New Roman" w:cs="Arial"/>
                <w:lang w:val="fr-FR"/>
              </w:rPr>
              <w:t>MdE</w:t>
            </w:r>
            <w:proofErr w:type="spellEnd"/>
            <w:r w:rsidRPr="004017FE">
              <w:rPr>
                <w:rFonts w:eastAsia="Times New Roman" w:cs="Arial"/>
                <w:lang w:val="fr-FR"/>
              </w:rPr>
              <w:t xml:space="preserve"> requins de la CMS en ce qui concerne la conservation des </w:t>
            </w:r>
            <w:r w:rsidRPr="004017FE">
              <w:rPr>
                <w:rFonts w:eastAsia="Times New Roman" w:cs="Arial"/>
                <w:u w:val="single"/>
                <w:lang w:val="fr-FR"/>
              </w:rPr>
              <w:t xml:space="preserve">espèces chondrichtyennes </w:t>
            </w:r>
            <w:r w:rsidRPr="004017FE">
              <w:rPr>
                <w:rFonts w:eastAsia="Times New Roman" w:cs="Arial"/>
                <w:strike/>
                <w:lang w:val="fr-FR"/>
              </w:rPr>
              <w:t>requins et des raies</w:t>
            </w:r>
            <w:r w:rsidRPr="004017FE">
              <w:rPr>
                <w:rFonts w:eastAsia="Times New Roman" w:cs="Arial"/>
                <w:lang w:val="fr-FR"/>
              </w:rPr>
              <w:t xml:space="preserve"> avec pour objectif d’assurer la coopération, la complémentarité et d’améliorer l’efficacité des instruments et organismes internationaux partageant des objectifs similaires en matière de conservation et de gestion des </w:t>
            </w:r>
            <w:r w:rsidRPr="004017FE">
              <w:rPr>
                <w:rFonts w:eastAsia="Times New Roman" w:cs="Arial"/>
                <w:strike/>
                <w:lang w:val="fr-FR"/>
              </w:rPr>
              <w:t>élasmobranches</w:t>
            </w:r>
            <w:r w:rsidRPr="004017FE">
              <w:rPr>
                <w:rFonts w:eastAsia="Times New Roman" w:cs="Arial"/>
                <w:lang w:val="fr-FR"/>
              </w:rPr>
              <w:t xml:space="preserve"> </w:t>
            </w:r>
            <w:r w:rsidRPr="004017FE">
              <w:rPr>
                <w:rFonts w:eastAsia="Times New Roman" w:cs="Arial"/>
                <w:u w:val="single"/>
                <w:lang w:val="fr-FR"/>
              </w:rPr>
              <w:t>espèces chondrichtyennes </w:t>
            </w:r>
            <w:r w:rsidRPr="004017FE">
              <w:rPr>
                <w:rFonts w:eastAsia="Times New Roman" w:cs="Arial"/>
                <w:lang w:val="fr-FR"/>
              </w:rPr>
              <w:t>;</w:t>
            </w:r>
          </w:p>
        </w:tc>
        <w:tc>
          <w:tcPr>
            <w:tcW w:w="3121"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Résolution 11.20</w:t>
            </w:r>
          </w:p>
          <w:p w:rsidR="004017FE" w:rsidRPr="004017FE" w:rsidRDefault="004017FE" w:rsidP="004017FE">
            <w:pPr>
              <w:spacing w:line="256" w:lineRule="auto"/>
              <w:contextualSpacing/>
              <w:rPr>
                <w:rFonts w:eastAsia="Calibri" w:cs="Arial"/>
                <w:lang w:val="fr-FR"/>
              </w:rPr>
            </w:pPr>
          </w:p>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Maintenu et amendé pour refléter le fait que la résolution se réfère à toutes les espèces chondrichtyennes</w:t>
            </w:r>
          </w:p>
        </w:tc>
      </w:tr>
      <w:tr w:rsidR="004017FE" w:rsidRPr="004017F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numPr>
                <w:ilvl w:val="0"/>
                <w:numId w:val="13"/>
              </w:numPr>
              <w:autoSpaceDN w:val="0"/>
              <w:spacing w:after="0" w:line="256" w:lineRule="auto"/>
              <w:ind w:left="609" w:hanging="609"/>
              <w:contextualSpacing/>
              <w:jc w:val="both"/>
              <w:rPr>
                <w:rFonts w:eastAsia="Times New Roman" w:cs="Arial"/>
                <w:u w:val="single"/>
                <w:lang w:val="fr-FR"/>
              </w:rPr>
            </w:pPr>
            <w:r w:rsidRPr="004017FE">
              <w:rPr>
                <w:rFonts w:eastAsia="Times New Roman" w:cs="Arial"/>
                <w:i/>
                <w:u w:val="single"/>
                <w:lang w:val="fr-FR"/>
              </w:rPr>
              <w:t xml:space="preserve">Prie </w:t>
            </w:r>
            <w:r w:rsidR="00CE2BE4">
              <w:rPr>
                <w:rFonts w:eastAsia="Times New Roman" w:cs="Arial"/>
                <w:i/>
                <w:u w:val="single"/>
                <w:lang w:val="fr-FR"/>
              </w:rPr>
              <w:t xml:space="preserve">en outre </w:t>
            </w:r>
            <w:r w:rsidRPr="004017FE">
              <w:rPr>
                <w:rFonts w:eastAsia="Times New Roman" w:cs="Arial"/>
                <w:i/>
                <w:u w:val="single"/>
                <w:lang w:val="fr-FR"/>
              </w:rPr>
              <w:t>instamment</w:t>
            </w:r>
            <w:r w:rsidRPr="004017FE">
              <w:rPr>
                <w:rFonts w:eastAsia="Times New Roman" w:cs="Arial"/>
                <w:u w:val="single"/>
                <w:lang w:val="fr-FR"/>
              </w:rPr>
              <w:t xml:space="preserve"> les Parties</w:t>
            </w:r>
            <w:r w:rsidR="00CE2BE4" w:rsidRPr="00CE2BE4">
              <w:rPr>
                <w:rFonts w:eastAsia="Times New Roman" w:cs="Arial"/>
                <w:u w:val="single"/>
                <w:lang w:val="fr-FR"/>
              </w:rPr>
              <w:t xml:space="preserve"> </w:t>
            </w:r>
            <w:r w:rsidR="00CE2BE4">
              <w:rPr>
                <w:rFonts w:eastAsia="Times New Roman" w:cs="Arial"/>
                <w:u w:val="single"/>
                <w:lang w:val="fr-FR"/>
              </w:rPr>
              <w:t>d’</w:t>
            </w:r>
            <w:r w:rsidR="00CE2BE4" w:rsidRPr="00CE2BE4">
              <w:rPr>
                <w:rFonts w:eastAsia="Times New Roman" w:cs="Arial"/>
                <w:u w:val="single"/>
                <w:lang w:val="fr-FR"/>
              </w:rPr>
              <w:t xml:space="preserve">adopter et </w:t>
            </w:r>
            <w:r w:rsidR="00CE2BE4">
              <w:rPr>
                <w:rFonts w:eastAsia="Times New Roman" w:cs="Arial"/>
                <w:u w:val="single"/>
                <w:lang w:val="fr-FR"/>
              </w:rPr>
              <w:t>d’</w:t>
            </w:r>
            <w:r w:rsidR="00CE2BE4" w:rsidRPr="00CE2BE4">
              <w:rPr>
                <w:rFonts w:eastAsia="Times New Roman" w:cs="Arial"/>
                <w:u w:val="single"/>
                <w:lang w:val="fr-FR"/>
              </w:rPr>
              <w:t xml:space="preserve">appliquer une législation nationale interdisant la prise </w:t>
            </w:r>
            <w:proofErr w:type="gramStart"/>
            <w:r w:rsidR="00CE2BE4" w:rsidRPr="00CE2BE4">
              <w:rPr>
                <w:rFonts w:eastAsia="Times New Roman" w:cs="Arial"/>
                <w:u w:val="single"/>
                <w:lang w:val="fr-FR"/>
              </w:rPr>
              <w:t xml:space="preserve">d'espèces  </w:t>
            </w:r>
            <w:r w:rsidR="00CE2BE4">
              <w:rPr>
                <w:rFonts w:eastAsia="Times New Roman" w:cs="Arial"/>
                <w:u w:val="single"/>
                <w:lang w:val="fr-FR"/>
              </w:rPr>
              <w:t>c</w:t>
            </w:r>
            <w:r w:rsidR="00CE2BE4" w:rsidRPr="00CE2BE4">
              <w:rPr>
                <w:rFonts w:eastAsia="Times New Roman" w:cs="Arial"/>
                <w:u w:val="single"/>
                <w:lang w:val="fr-FR"/>
              </w:rPr>
              <w:t>hondrichtyen</w:t>
            </w:r>
            <w:r w:rsidR="00CE2BE4">
              <w:rPr>
                <w:rFonts w:eastAsia="Times New Roman" w:cs="Arial"/>
                <w:u w:val="single"/>
                <w:lang w:val="fr-FR"/>
              </w:rPr>
              <w:t>ne</w:t>
            </w:r>
            <w:r w:rsidR="00CE2BE4" w:rsidRPr="00CE2BE4">
              <w:rPr>
                <w:rFonts w:eastAsia="Times New Roman" w:cs="Arial"/>
                <w:u w:val="single"/>
                <w:lang w:val="fr-FR"/>
              </w:rPr>
              <w:t>s</w:t>
            </w:r>
            <w:proofErr w:type="gramEnd"/>
            <w:r w:rsidR="00CE2BE4" w:rsidRPr="00CE2BE4">
              <w:rPr>
                <w:rFonts w:eastAsia="Times New Roman" w:cs="Arial"/>
                <w:u w:val="single"/>
                <w:lang w:val="fr-FR"/>
              </w:rPr>
              <w:t xml:space="preserve"> inscrites à l'Annexe I ; et</w:t>
            </w:r>
            <w:r w:rsidRPr="004017FE">
              <w:rPr>
                <w:rFonts w:eastAsia="Times New Roman" w:cs="Arial"/>
                <w:u w:val="single"/>
                <w:lang w:val="fr-FR"/>
              </w:rPr>
              <w:t>;</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rPr>
                <w:rFonts w:eastAsia="Calibri" w:cs="Arial"/>
              </w:rPr>
            </w:pPr>
            <w:r w:rsidRPr="004017FE">
              <w:rPr>
                <w:rFonts w:eastAsia="Times New Roman" w:cs="Arial"/>
              </w:rPr>
              <w:t xml:space="preserve">Nouveau </w:t>
            </w:r>
            <w:proofErr w:type="spellStart"/>
            <w:r w:rsidRPr="004017FE">
              <w:rPr>
                <w:rFonts w:eastAsia="Times New Roman" w:cs="Arial"/>
              </w:rPr>
              <w:t>paragraphe</w:t>
            </w:r>
            <w:proofErr w:type="spellEnd"/>
          </w:p>
        </w:tc>
      </w:tr>
      <w:tr w:rsidR="004017FE" w:rsidRPr="004017FE" w:rsidTr="004017FE">
        <w:trPr>
          <w:trHeight w:val="566"/>
        </w:trPr>
        <w:tc>
          <w:tcPr>
            <w:tcW w:w="6660"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jc w:val="both"/>
              <w:rPr>
                <w:rFonts w:eastAsia="Calibri" w:cs="Arial"/>
              </w:rPr>
            </w:pPr>
            <w:r w:rsidRPr="004017FE">
              <w:rPr>
                <w:rFonts w:eastAsia="Times New Roman" w:cs="Arial"/>
                <w:b/>
                <w:u w:val="single"/>
              </w:rPr>
              <w:t>Dispositions finales</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rPr>
                <w:rFonts w:eastAsia="Calibri" w:cs="Arial"/>
              </w:rPr>
            </w:pPr>
            <w:proofErr w:type="spellStart"/>
            <w:r w:rsidRPr="004017FE">
              <w:rPr>
                <w:rFonts w:eastAsia="Times New Roman" w:cs="Arial"/>
              </w:rPr>
              <w:t>Nouvel</w:t>
            </w:r>
            <w:proofErr w:type="spellEnd"/>
            <w:r w:rsidRPr="004017FE">
              <w:rPr>
                <w:rFonts w:eastAsia="Times New Roman" w:cs="Arial"/>
              </w:rPr>
              <w:t xml:space="preserve"> en-tête</w:t>
            </w:r>
          </w:p>
        </w:tc>
      </w:tr>
      <w:tr w:rsidR="004017FE" w:rsidRPr="00405D5E" w:rsidTr="004017FE">
        <w:trPr>
          <w:trHeight w:val="1695"/>
        </w:trPr>
        <w:tc>
          <w:tcPr>
            <w:tcW w:w="6660" w:type="dxa"/>
            <w:tcBorders>
              <w:top w:val="single" w:sz="4" w:space="0" w:color="auto"/>
              <w:left w:val="single" w:sz="4" w:space="0" w:color="auto"/>
              <w:bottom w:val="single" w:sz="4" w:space="0" w:color="auto"/>
              <w:right w:val="single" w:sz="4" w:space="0" w:color="auto"/>
            </w:tcBorders>
          </w:tcPr>
          <w:p w:rsidR="004017FE" w:rsidRPr="004017FE" w:rsidRDefault="004017FE" w:rsidP="004017FE">
            <w:pPr>
              <w:numPr>
                <w:ilvl w:val="0"/>
                <w:numId w:val="13"/>
              </w:numPr>
              <w:autoSpaceDN w:val="0"/>
              <w:spacing w:after="0" w:line="256" w:lineRule="auto"/>
              <w:ind w:left="609" w:hanging="609"/>
              <w:contextualSpacing/>
              <w:jc w:val="both"/>
              <w:rPr>
                <w:rFonts w:eastAsia="Calibri" w:cs="Arial"/>
                <w:u w:val="single"/>
              </w:rPr>
            </w:pPr>
            <w:proofErr w:type="spellStart"/>
            <w:r w:rsidRPr="004017FE">
              <w:rPr>
                <w:rFonts w:eastAsia="Times New Roman" w:cs="Arial"/>
                <w:u w:val="single"/>
              </w:rPr>
              <w:t>Abroge</w:t>
            </w:r>
            <w:proofErr w:type="spellEnd"/>
          </w:p>
          <w:p w:rsidR="004017FE" w:rsidRPr="004017FE" w:rsidRDefault="004017FE" w:rsidP="004017FE">
            <w:pPr>
              <w:spacing w:line="256" w:lineRule="auto"/>
              <w:contextualSpacing/>
              <w:jc w:val="both"/>
              <w:rPr>
                <w:rFonts w:eastAsia="Calibri" w:cs="Arial"/>
                <w:u w:val="single"/>
              </w:rPr>
            </w:pPr>
          </w:p>
          <w:p w:rsidR="004017FE" w:rsidRPr="004017FE" w:rsidRDefault="004017FE" w:rsidP="004017FE">
            <w:pPr>
              <w:numPr>
                <w:ilvl w:val="0"/>
                <w:numId w:val="14"/>
              </w:numPr>
              <w:spacing w:after="0" w:line="256" w:lineRule="auto"/>
              <w:contextualSpacing/>
              <w:jc w:val="both"/>
              <w:rPr>
                <w:rFonts w:eastAsia="Calibri" w:cs="Arial"/>
                <w:u w:val="single"/>
                <w:lang w:val="fr-FR"/>
              </w:rPr>
            </w:pPr>
            <w:r w:rsidRPr="004017FE">
              <w:rPr>
                <w:rFonts w:eastAsia="Times New Roman" w:cs="Arial"/>
                <w:u w:val="single"/>
                <w:lang w:val="fr-FR"/>
              </w:rPr>
              <w:t>la Résolution 8.16 (</w:t>
            </w:r>
            <w:proofErr w:type="spellStart"/>
            <w:r w:rsidRPr="004017FE">
              <w:rPr>
                <w:rFonts w:eastAsia="Times New Roman" w:cs="Arial"/>
                <w:u w:val="single"/>
                <w:lang w:val="fr-FR"/>
              </w:rPr>
              <w:t>Rev</w:t>
            </w:r>
            <w:proofErr w:type="spellEnd"/>
            <w:r w:rsidRPr="004017FE">
              <w:rPr>
                <w:rFonts w:eastAsia="Times New Roman" w:cs="Arial"/>
                <w:u w:val="single"/>
                <w:lang w:val="fr-FR"/>
              </w:rPr>
              <w:t xml:space="preserve">. COP12) </w:t>
            </w:r>
            <w:r w:rsidRPr="004017FE">
              <w:rPr>
                <w:rFonts w:eastAsia="Times New Roman" w:cs="Arial"/>
                <w:i/>
                <w:u w:val="single"/>
                <w:lang w:val="fr-FR"/>
              </w:rPr>
              <w:t>Les requins migrateurs </w:t>
            </w:r>
            <w:r w:rsidRPr="004017FE">
              <w:rPr>
                <w:rFonts w:eastAsia="Times New Roman" w:cs="Arial"/>
                <w:u w:val="single"/>
                <w:lang w:val="fr-FR"/>
              </w:rPr>
              <w:t>;</w:t>
            </w:r>
          </w:p>
          <w:p w:rsidR="004017FE" w:rsidRPr="004017FE" w:rsidRDefault="004017FE" w:rsidP="004017FE">
            <w:pPr>
              <w:spacing w:after="0" w:line="256" w:lineRule="auto"/>
              <w:ind w:left="720"/>
              <w:contextualSpacing/>
              <w:jc w:val="both"/>
              <w:rPr>
                <w:rFonts w:eastAsia="Calibri" w:cs="Arial"/>
                <w:u w:val="single"/>
                <w:lang w:val="fr-FR"/>
              </w:rPr>
            </w:pPr>
          </w:p>
          <w:p w:rsidR="004017FE" w:rsidRPr="004017FE" w:rsidRDefault="004017FE" w:rsidP="004017FE">
            <w:pPr>
              <w:numPr>
                <w:ilvl w:val="0"/>
                <w:numId w:val="14"/>
              </w:numPr>
              <w:spacing w:after="0" w:line="256" w:lineRule="auto"/>
              <w:contextualSpacing/>
              <w:jc w:val="both"/>
              <w:rPr>
                <w:rFonts w:eastAsia="Calibri" w:cs="Arial"/>
                <w:lang w:val="fr-FR"/>
              </w:rPr>
            </w:pPr>
            <w:r w:rsidRPr="004017FE">
              <w:rPr>
                <w:rFonts w:eastAsia="Times New Roman" w:cs="Arial"/>
                <w:u w:val="single"/>
                <w:lang w:val="fr-FR"/>
              </w:rPr>
              <w:t>la Résolution 11.20</w:t>
            </w:r>
            <w:r w:rsidRPr="004017FE">
              <w:rPr>
                <w:rFonts w:eastAsia="Times New Roman" w:cs="Arial"/>
                <w:i/>
                <w:u w:val="single"/>
                <w:lang w:val="fr-FR"/>
              </w:rPr>
              <w:t xml:space="preserve"> La conservation des requins et des raies migrateurs</w:t>
            </w:r>
            <w:r w:rsidRPr="004017FE">
              <w:rPr>
                <w:rFonts w:eastAsia="Times New Roman" w:cs="Arial"/>
                <w:u w:val="single"/>
                <w:lang w:val="fr-FR"/>
              </w:rPr>
              <w:t>.</w:t>
            </w:r>
            <w:r w:rsidRPr="004017FE">
              <w:rPr>
                <w:rFonts w:eastAsia="Times New Roman" w:cs="Arial"/>
                <w:lang w:val="fr-FR"/>
              </w:rPr>
              <w:t xml:space="preserve"> </w:t>
            </w:r>
          </w:p>
        </w:tc>
        <w:tc>
          <w:tcPr>
            <w:tcW w:w="3121" w:type="dxa"/>
            <w:tcBorders>
              <w:top w:val="single" w:sz="4" w:space="0" w:color="auto"/>
              <w:left w:val="single" w:sz="4" w:space="0" w:color="auto"/>
              <w:bottom w:val="single" w:sz="4" w:space="0" w:color="auto"/>
              <w:right w:val="single" w:sz="4" w:space="0" w:color="auto"/>
            </w:tcBorders>
            <w:hideMark/>
          </w:tcPr>
          <w:p w:rsidR="004017FE" w:rsidRPr="004017FE" w:rsidRDefault="004017FE" w:rsidP="004017FE">
            <w:pPr>
              <w:spacing w:line="256" w:lineRule="auto"/>
              <w:contextualSpacing/>
              <w:rPr>
                <w:rFonts w:eastAsia="Calibri" w:cs="Arial"/>
                <w:lang w:val="fr-FR"/>
              </w:rPr>
            </w:pPr>
            <w:r w:rsidRPr="004017FE">
              <w:rPr>
                <w:rFonts w:eastAsia="Times New Roman" w:cs="Arial"/>
                <w:lang w:val="fr-FR"/>
              </w:rPr>
              <w:t>Nouveau texte pour refléter le regroupement</w:t>
            </w:r>
          </w:p>
        </w:tc>
      </w:tr>
    </w:tbl>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Calibri" w:cs="Arial"/>
          <w:caps/>
          <w:lang w:val="fr-FR"/>
        </w:rPr>
        <w:sectPr w:rsidR="004017FE" w:rsidSect="00D71837">
          <w:headerReference w:type="even" r:id="rId14"/>
          <w:head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4017FE" w:rsidRDefault="004017FE" w:rsidP="004017FE">
      <w:pPr>
        <w:spacing w:line="256" w:lineRule="auto"/>
        <w:contextualSpacing/>
        <w:jc w:val="right"/>
        <w:outlineLvl w:val="0"/>
        <w:rPr>
          <w:rFonts w:cs="Arial"/>
          <w:b/>
          <w:lang w:val="fr-FR"/>
        </w:rPr>
      </w:pPr>
      <w:r>
        <w:rPr>
          <w:rFonts w:cs="Arial"/>
          <w:b/>
          <w:lang w:val="fr-FR"/>
        </w:rPr>
        <w:lastRenderedPageBreak/>
        <w:t>ANNEXE 2</w:t>
      </w:r>
    </w:p>
    <w:p w:rsidR="004017FE" w:rsidRDefault="004017FE" w:rsidP="004017FE">
      <w:pPr>
        <w:spacing w:line="256" w:lineRule="auto"/>
        <w:contextualSpacing/>
        <w:jc w:val="right"/>
        <w:outlineLvl w:val="0"/>
        <w:rPr>
          <w:rFonts w:eastAsia="Calibri" w:cs="Arial"/>
          <w:b/>
          <w:lang w:val="fr-FR"/>
        </w:rPr>
      </w:pPr>
    </w:p>
    <w:p w:rsidR="004017FE" w:rsidRDefault="004017FE" w:rsidP="004017FE">
      <w:pPr>
        <w:spacing w:line="256" w:lineRule="auto"/>
        <w:contextualSpacing/>
        <w:jc w:val="center"/>
        <w:outlineLvl w:val="0"/>
        <w:rPr>
          <w:rFonts w:eastAsia="Calibri" w:cs="Arial"/>
          <w:lang w:val="fr-FR"/>
        </w:rPr>
      </w:pPr>
      <w:r>
        <w:rPr>
          <w:rFonts w:cs="Arial"/>
          <w:lang w:val="fr-FR"/>
        </w:rPr>
        <w:t>PROJET DE RÉSOLUTION</w:t>
      </w:r>
    </w:p>
    <w:p w:rsidR="004017FE" w:rsidRDefault="004017FE" w:rsidP="004017FE">
      <w:pPr>
        <w:spacing w:line="256" w:lineRule="auto"/>
        <w:contextualSpacing/>
        <w:jc w:val="center"/>
        <w:outlineLvl w:val="0"/>
        <w:rPr>
          <w:rFonts w:eastAsia="Calibri" w:cs="Arial"/>
          <w:b/>
          <w:lang w:val="fr-FR"/>
        </w:rPr>
      </w:pPr>
    </w:p>
    <w:p w:rsidR="004017FE" w:rsidRDefault="004017FE" w:rsidP="004017FE">
      <w:pPr>
        <w:spacing w:line="256" w:lineRule="auto"/>
        <w:contextualSpacing/>
        <w:jc w:val="center"/>
        <w:outlineLvl w:val="0"/>
        <w:rPr>
          <w:rFonts w:eastAsia="Calibri" w:cs="Arial"/>
          <w:b/>
          <w:lang w:val="fr-FR"/>
        </w:rPr>
      </w:pPr>
      <w:r>
        <w:rPr>
          <w:rFonts w:cs="Arial"/>
          <w:b/>
          <w:lang w:val="fr-FR"/>
        </w:rPr>
        <w:t>ESPÈCES CHONDRICHTYENNES</w:t>
      </w:r>
      <w:r>
        <w:rPr>
          <w:rFonts w:eastAsia="Calibri" w:cs="Arial"/>
          <w:b/>
          <w:lang w:val="fr-FR"/>
        </w:rPr>
        <w:br/>
      </w:r>
      <w:r>
        <w:rPr>
          <w:rFonts w:cs="Arial"/>
          <w:b/>
          <w:lang w:val="fr-FR"/>
        </w:rPr>
        <w:t>(REQUINS, RAIES, POCHETEAUX ET CHIMÈRES)</w:t>
      </w:r>
    </w:p>
    <w:p w:rsidR="004017FE" w:rsidRDefault="004017FE" w:rsidP="00CE2BE4">
      <w:pPr>
        <w:spacing w:after="0" w:line="240" w:lineRule="auto"/>
        <w:ind w:firstLine="720"/>
        <w:rPr>
          <w:rFonts w:eastAsia="Calibri" w:cs="Arial"/>
          <w:i/>
          <w:lang w:val="fr-FR"/>
        </w:rPr>
      </w:pPr>
    </w:p>
    <w:p w:rsidR="004017FE" w:rsidRDefault="004017FE" w:rsidP="00CE2BE4">
      <w:pPr>
        <w:spacing w:after="0" w:line="240" w:lineRule="auto"/>
        <w:jc w:val="both"/>
        <w:rPr>
          <w:rFonts w:eastAsia="Times New Roman" w:cs="Arial"/>
          <w:lang w:val="fr-FR"/>
        </w:rPr>
      </w:pPr>
      <w:r>
        <w:rPr>
          <w:rFonts w:cs="Arial"/>
          <w:i/>
          <w:lang w:val="fr-FR"/>
        </w:rPr>
        <w:t xml:space="preserve">Rappelant </w:t>
      </w:r>
      <w:r>
        <w:rPr>
          <w:rFonts w:cs="Arial"/>
          <w:lang w:val="fr-FR"/>
        </w:rPr>
        <w:t>les précédentes décisions pertinentes de la Conférence des Parties, notamment la résolution 8.6 (Rev.COP12) et la résolution 11.20 sur les requins et les raies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Reconnaissant</w:t>
      </w:r>
      <w:r>
        <w:rPr>
          <w:rFonts w:cs="Arial"/>
          <w:lang w:val="fr-FR"/>
        </w:rPr>
        <w:t xml:space="preserve"> les obligations de la communauté internationale en matière de conservation, de protection et de gestion des requins migrateurs, comme cela est souligné, entre autres, par la Convention sur la diversité biologique (CDB), la Convention sur la conservation des espèces migratrices (CMS), la Convention sur le commerce international des espèces de faune et de flore sauvages menacées d’extinction (CITES), la Convention des Nations Unies sur le droit de la mer, l’Accord aux fins d’application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 Plan d’action international pour la conservation et la gestion des requins (PAI-REQUINS) de l’Organisation des Nations Unies pour l’alimentation et l’agriculture (FAO), et de son Comité des pêches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Reconnaissant</w:t>
      </w:r>
      <w:r>
        <w:rPr>
          <w:rFonts w:cs="Arial"/>
          <w:lang w:val="fr-FR"/>
        </w:rPr>
        <w:t xml:space="preserve"> que conformément à la CMS, les États de l’aire de répartition doivent prendre des mesures de conservation, de protection et de gestion des espèces migratrices et s’efforcer de conclure des Accords en vue de promouvoir la conservation et la gestion des espèces migratrices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Notant</w:t>
      </w:r>
      <w:r>
        <w:rPr>
          <w:rFonts w:cs="Arial"/>
          <w:lang w:val="fr-FR"/>
        </w:rPr>
        <w:t xml:space="preserve"> que plusieurs espèces chondrichtyennes sont déjà inscrites aux Annexes I et II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Notant</w:t>
      </w:r>
      <w:r>
        <w:rPr>
          <w:rFonts w:cs="Arial"/>
          <w:lang w:val="fr-FR"/>
        </w:rPr>
        <w:t xml:space="preserve"> l’importance de la coopération entre les États de l’aire de répartition dans la recherche future, la sensibilisation, le suivi du commerce et la réduction des prises accessoires d’espèces chondrichtyennes migratrices, et le fait que ces activités pourraient considérablement améliorer les résultats obtenus en matière de conservation des espèces chondrichtyennes migratrices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Consciente</w:t>
      </w:r>
      <w:r>
        <w:rPr>
          <w:rFonts w:cs="Arial"/>
          <w:lang w:val="fr-FR"/>
        </w:rPr>
        <w:t xml:space="preserve"> du rôle c</w:t>
      </w:r>
      <w:r w:rsidR="00CE2BE4">
        <w:rPr>
          <w:rFonts w:cs="Arial"/>
          <w:lang w:val="fr-FR"/>
        </w:rPr>
        <w:t>r</w:t>
      </w:r>
      <w:r>
        <w:rPr>
          <w:rFonts w:cs="Arial"/>
          <w:lang w:val="fr-FR"/>
        </w:rPr>
        <w:t xml:space="preserve">ucial joué par les requins et les raies migrateurs dans les écosystèmes marins et les économies locales, et </w:t>
      </w:r>
      <w:r>
        <w:rPr>
          <w:rFonts w:cs="Arial"/>
          <w:i/>
          <w:lang w:val="fr-FR"/>
        </w:rPr>
        <w:t>préoccupée</w:t>
      </w:r>
      <w:r>
        <w:rPr>
          <w:rFonts w:cs="Arial"/>
          <w:lang w:val="fr-FR"/>
        </w:rPr>
        <w:t xml:space="preserve"> par la mortalité importante de ces espèces, en particulier celles qui sont inscrites aux Annexes I et II de la CMS, résultant de toute une gamme d’incidences et de menaces, y compris la destruction de leur habitat, les pêches ciblées, la pêche illégale, non déclarée et non réglementée (INN), et en tant que prises accessoires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Prenant note</w:t>
      </w:r>
      <w:r>
        <w:rPr>
          <w:rFonts w:cs="Arial"/>
          <w:lang w:val="fr-FR"/>
        </w:rPr>
        <w:t xml:space="preserve"> de l’évaluation de l’UICN en 2014 sur l’état de conservation des espèces chondrichtyennes, qui estime qu’un quart de toutes les espèces examinées sont menacées d’extinction, et que seulement un tiers est classé comme étant une préoccupation mineure en termes de conservation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Calibri" w:cs="Arial"/>
          <w:lang w:val="fr-FR"/>
        </w:rPr>
      </w:pPr>
      <w:r>
        <w:rPr>
          <w:rFonts w:cs="Arial"/>
          <w:i/>
          <w:lang w:val="fr-FR"/>
        </w:rPr>
        <w:t>Constatant</w:t>
      </w:r>
      <w:r>
        <w:rPr>
          <w:rFonts w:cs="Arial"/>
          <w:lang w:val="fr-FR"/>
        </w:rPr>
        <w:t xml:space="preserve"> que l’UICN a averti que les raies sont généralement plus menacées et moins protégées que les requins, et que tous les </w:t>
      </w:r>
      <w:proofErr w:type="spellStart"/>
      <w:r>
        <w:rPr>
          <w:rFonts w:cs="Arial"/>
          <w:lang w:val="fr-FR"/>
        </w:rPr>
        <w:t>mobulidées</w:t>
      </w:r>
      <w:proofErr w:type="spellEnd"/>
      <w:r>
        <w:rPr>
          <w:rFonts w:cs="Arial"/>
          <w:lang w:val="fr-FR"/>
        </w:rPr>
        <w:t xml:space="preserve">, </w:t>
      </w:r>
      <w:proofErr w:type="spellStart"/>
      <w:r>
        <w:rPr>
          <w:rFonts w:cs="Arial"/>
          <w:lang w:val="fr-FR"/>
        </w:rPr>
        <w:t>poissons-scies</w:t>
      </w:r>
      <w:proofErr w:type="spellEnd"/>
      <w:r>
        <w:rPr>
          <w:rFonts w:cs="Arial"/>
          <w:lang w:val="fr-FR"/>
        </w:rPr>
        <w:t>, et l’ensemble de la population méditerranéenne de poissons-guitares sont inscrits aux Annexes I et II de la CMS ;</w:t>
      </w:r>
    </w:p>
    <w:p w:rsidR="004017FE" w:rsidRDefault="004017FE" w:rsidP="00CE2BE4">
      <w:pPr>
        <w:spacing w:after="0" w:line="240" w:lineRule="auto"/>
        <w:jc w:val="both"/>
        <w:rPr>
          <w:rFonts w:eastAsia="Times New Roman" w:cs="Arial"/>
          <w:i/>
          <w:lang w:val="fr-FR"/>
        </w:rPr>
      </w:pPr>
    </w:p>
    <w:p w:rsidR="004017FE" w:rsidRDefault="004017FE" w:rsidP="00CE2BE4">
      <w:pPr>
        <w:spacing w:after="0" w:line="240" w:lineRule="auto"/>
        <w:jc w:val="both"/>
        <w:rPr>
          <w:rFonts w:cs="Arial"/>
          <w:lang w:val="fr-FR"/>
        </w:rPr>
      </w:pPr>
      <w:r>
        <w:rPr>
          <w:rFonts w:cs="Arial"/>
          <w:i/>
          <w:lang w:val="fr-FR"/>
        </w:rPr>
        <w:t xml:space="preserve">Constatant avec préoccupation </w:t>
      </w:r>
      <w:r>
        <w:rPr>
          <w:rFonts w:cs="Arial"/>
          <w:lang w:val="fr-FR"/>
        </w:rPr>
        <w:t>que la surpêche est le principal facteur du déclin significatif des espèces chondrichtyennes partout dans le monde, menaçant de nombreuses populations ainsi que la stabilité des écosystèmes marins, la pêche durable, l’écotourisme axé sur les requins et les raies, et la sécurité alimentaire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Consciente</w:t>
      </w:r>
      <w:r>
        <w:rPr>
          <w:rFonts w:cs="Arial"/>
          <w:lang w:val="fr-FR"/>
        </w:rPr>
        <w:t xml:space="preserve"> du fait que l’enlèvement des ailerons de requins, la pratique de l’enlèvement et la rétention des ailerons de requins (et de certaines raies) et le rejet en mer du reste de la carcasse, sont associés à une mortalité non viable et à un gaspillage inacceptable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Consciente également</w:t>
      </w:r>
      <w:r>
        <w:rPr>
          <w:rFonts w:cs="Arial"/>
          <w:lang w:val="fr-FR"/>
        </w:rPr>
        <w:t xml:space="preserve"> du fait que la demande </w:t>
      </w:r>
      <w:r w:rsidR="00CE2BE4">
        <w:rPr>
          <w:rFonts w:cs="Arial"/>
          <w:lang w:val="fr-FR"/>
        </w:rPr>
        <w:t xml:space="preserve">de produits d’espèces chondrichtyennes (par </w:t>
      </w:r>
      <w:proofErr w:type="spellStart"/>
      <w:r w:rsidR="00CE2BE4">
        <w:rPr>
          <w:rFonts w:cs="Arial"/>
          <w:lang w:val="fr-FR"/>
        </w:rPr>
        <w:t>exmeple</w:t>
      </w:r>
      <w:proofErr w:type="spellEnd"/>
      <w:r w:rsidR="00CE2BE4">
        <w:rPr>
          <w:rFonts w:cs="Arial"/>
          <w:lang w:val="fr-FR"/>
        </w:rPr>
        <w:t xml:space="preserve"> </w:t>
      </w:r>
      <w:r>
        <w:rPr>
          <w:rFonts w:cs="Arial"/>
          <w:lang w:val="fr-FR"/>
        </w:rPr>
        <w:t>ailerons de requins et de certaines raies</w:t>
      </w:r>
      <w:r w:rsidR="00CE2BE4">
        <w:rPr>
          <w:rFonts w:cs="Arial"/>
          <w:lang w:val="fr-FR"/>
        </w:rPr>
        <w:t xml:space="preserve"> et </w:t>
      </w:r>
      <w:r w:rsidR="00034AA0">
        <w:rPr>
          <w:rFonts w:cs="Arial"/>
          <w:lang w:val="fr-FR"/>
        </w:rPr>
        <w:t xml:space="preserve">plaques branchiales </w:t>
      </w:r>
      <w:proofErr w:type="spellStart"/>
      <w:r w:rsidR="00034AA0">
        <w:rPr>
          <w:rFonts w:cs="Arial"/>
          <w:lang w:val="fr-FR"/>
        </w:rPr>
        <w:t>mobulides</w:t>
      </w:r>
      <w:proofErr w:type="spellEnd"/>
      <w:r>
        <w:rPr>
          <w:rFonts w:cs="Arial"/>
          <w:lang w:val="fr-FR"/>
        </w:rPr>
        <w:t>) peut alimenter les pratiques non durables et la surexploitation de ces espèces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cs="Arial"/>
          <w:lang w:val="fr-FR"/>
        </w:rPr>
      </w:pPr>
      <w:r>
        <w:rPr>
          <w:rFonts w:cs="Arial"/>
          <w:i/>
          <w:lang w:val="fr-FR"/>
        </w:rPr>
        <w:t>Rappelant</w:t>
      </w:r>
      <w:r>
        <w:rPr>
          <w:rFonts w:cs="Arial"/>
          <w:lang w:val="fr-FR"/>
        </w:rPr>
        <w:t xml:space="preserve"> l’Accord des Nations Unies sur les stocks de poissons, visant à assurer la conservation et l’exploitation durable des stocks de poissons chevauchants et des stocks de poissons grands migrateurs ;</w:t>
      </w:r>
    </w:p>
    <w:p w:rsidR="00034AA0" w:rsidRDefault="00034AA0"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Rappelant encore</w:t>
      </w:r>
      <w:r>
        <w:rPr>
          <w:rFonts w:cs="Arial"/>
          <w:lang w:val="fr-FR"/>
        </w:rPr>
        <w:t xml:space="preserve"> que l’Assemblée générale des Nations Unies a adopté par consensus des résolutions sur la pêche durable chaque année depuis 2007, exhortant les États à prendre des mesures immédiates et concertées pour améliorer la mise en œuvre et le respect des mesures de réglementation ou d’organisation de la gestion des pêches régionales (ORGP) existantes qui réglementent la pêche au requin et les captures accidentelles de requins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Soulignant</w:t>
      </w:r>
      <w:r>
        <w:rPr>
          <w:rFonts w:cs="Arial"/>
          <w:lang w:val="fr-FR"/>
        </w:rPr>
        <w:t xml:space="preserve"> l’importance des mesures qui interdisent ou restreignent la pêche menée uniquement à des fins de récolte des ailerons de requins, et, le cas échéant, la nécessité d’envisager de prendre d’autres mesures, selon qu’il convient, telles que des mesures exigeant que tous les requins soient débarqués avec leurs ailerons naturellement attachés au corps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Consciente</w:t>
      </w:r>
      <w:r>
        <w:rPr>
          <w:rFonts w:cs="Arial"/>
          <w:lang w:val="fr-FR"/>
        </w:rPr>
        <w:t xml:space="preserve"> du fait que, malgré les recherches scientifiques et la surveillance passées et présentes, les connaissances sur la biologie, l’écologie et la dynamique des populations de nombreuses espèces chondrichtyennes sont insuffisantes, et qu’il est nécessaire d’encourager une plus grande coopération entre les pays qui pratiquent la pêche dans les domaines de la recherche, de la surveillance, de l’application des lois et du respect des lois, afin d’appliquer efficacement les mesures de conservation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Constatant</w:t>
      </w:r>
      <w:r>
        <w:rPr>
          <w:rFonts w:cs="Arial"/>
          <w:lang w:val="fr-FR"/>
        </w:rPr>
        <w:t xml:space="preserve"> que plusieurs ORGP ont adopté des mesures de conservation et de gestion scientifiques, applicables à tous les navires de pêche opérant dans les zones de compétence des ORGP, visant à éradiquer l’enlèvement des ailerons et assurant la protection et la gestion durable d’espèces chondrichtyennes spécifiques pêchées volontairement et/ou comme prises accessoires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Constatant en outre</w:t>
      </w:r>
      <w:r>
        <w:rPr>
          <w:rFonts w:cs="Arial"/>
          <w:lang w:val="fr-FR"/>
        </w:rPr>
        <w:t xml:space="preserve"> que la CITES inscrit plusieurs espèces qui sont également inscrites aux Annexes de la CMS, y compris toutes les espèces de </w:t>
      </w:r>
      <w:proofErr w:type="spellStart"/>
      <w:r>
        <w:rPr>
          <w:rFonts w:cs="Arial"/>
          <w:lang w:val="fr-FR"/>
        </w:rPr>
        <w:t>poissons-scies</w:t>
      </w:r>
      <w:proofErr w:type="spellEnd"/>
      <w:r>
        <w:rPr>
          <w:rFonts w:cs="Arial"/>
          <w:lang w:val="fr-FR"/>
        </w:rPr>
        <w:t>, inscrites à l’Annexe I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Soulignant</w:t>
      </w:r>
      <w:r>
        <w:rPr>
          <w:rFonts w:cs="Arial"/>
          <w:lang w:val="fr-FR"/>
        </w:rPr>
        <w:t xml:space="preserve"> l’importance du Plan d’action international pour la conservation et la gestion des requins, qui a été adopté par la FAO en 1999, pour donner des orientations sur l’élaboration de telles mesures, et </w:t>
      </w:r>
      <w:r>
        <w:rPr>
          <w:rFonts w:cs="Arial"/>
          <w:i/>
          <w:lang w:val="fr-FR"/>
        </w:rPr>
        <w:t>se félicitant</w:t>
      </w:r>
      <w:r>
        <w:rPr>
          <w:rFonts w:cs="Arial"/>
          <w:lang w:val="fr-FR"/>
        </w:rPr>
        <w:t xml:space="preserve"> du fait que la majorité des principaux pays qui pratiquent la pêche identifiés par la FAO a adopté des plans d’action nationaux pour les requins (Plan-requins)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lang w:val="fr-FR"/>
        </w:rPr>
      </w:pPr>
      <w:r>
        <w:rPr>
          <w:rFonts w:cs="Arial"/>
          <w:i/>
          <w:lang w:val="fr-FR"/>
        </w:rPr>
        <w:t>Soulignant en outre</w:t>
      </w:r>
      <w:r>
        <w:rPr>
          <w:rFonts w:cs="Arial"/>
          <w:lang w:val="fr-FR"/>
        </w:rPr>
        <w:t xml:space="preserve"> le rôle important des ORGP dans la mise en place de mesures de conservation et de gestion pour les espèces chondrichtyennes, dont beaucoup sont contraignantes pour tous les navires de pêche opérant dans les zones de compétence des ORGP, fondées sur les meilleures données disponibles et des conseils scientifiques fournis par leurs comités scientifiques ;</w:t>
      </w:r>
    </w:p>
    <w:p w:rsidR="004017FE" w:rsidRDefault="004017FE" w:rsidP="00CE2BE4">
      <w:pPr>
        <w:spacing w:after="0" w:line="240" w:lineRule="auto"/>
        <w:jc w:val="both"/>
        <w:rPr>
          <w:rFonts w:eastAsia="Calibri" w:cs="Arial"/>
          <w:lang w:val="fr-FR"/>
        </w:rPr>
      </w:pPr>
    </w:p>
    <w:p w:rsidR="004017FE" w:rsidRDefault="004017FE" w:rsidP="00CE2BE4">
      <w:pPr>
        <w:spacing w:after="0" w:line="240" w:lineRule="auto"/>
        <w:jc w:val="both"/>
        <w:rPr>
          <w:rFonts w:eastAsia="Times New Roman" w:cs="Arial"/>
          <w:i/>
          <w:lang w:val="fr-FR"/>
        </w:rPr>
      </w:pPr>
      <w:r>
        <w:rPr>
          <w:rFonts w:cs="Arial"/>
          <w:i/>
          <w:lang w:val="fr-FR"/>
        </w:rPr>
        <w:t>Rappelant</w:t>
      </w:r>
      <w:r>
        <w:rPr>
          <w:rFonts w:cs="Arial"/>
          <w:lang w:val="fr-FR"/>
        </w:rPr>
        <w:t xml:space="preserve"> les obligations énoncées dans l’article III (5) de la Convention, qui interdit le prélèvement d’espèces inscrites à l’Annexe I et dans la résolution 12.22 sur </w:t>
      </w:r>
      <w:r>
        <w:rPr>
          <w:rFonts w:cs="Arial"/>
          <w:i/>
          <w:lang w:val="fr-FR"/>
        </w:rPr>
        <w:t>les prises accessoires</w:t>
      </w:r>
      <w:r>
        <w:rPr>
          <w:rFonts w:cs="Arial"/>
          <w:lang w:val="fr-FR"/>
        </w:rPr>
        <w:t>, qui demande à toutes les Parties,</w:t>
      </w:r>
      <w:r>
        <w:rPr>
          <w:rFonts w:cs="Arial"/>
          <w:i/>
          <w:lang w:val="fr-FR"/>
        </w:rPr>
        <w:t xml:space="preserve"> « compte tenu de la gravité de la situation, de continuer à appliquer et à renforcer les mesures applicables aux activités de pêche sous leur contrôle [...], pour réduire autant que possible la mortalité accidentelle des espèces migratrices inscrites aux Annexes I et II » ;</w:t>
      </w:r>
    </w:p>
    <w:p w:rsidR="004017FE" w:rsidRDefault="004017FE" w:rsidP="00CE2BE4">
      <w:pPr>
        <w:spacing w:after="0" w:line="240" w:lineRule="auto"/>
        <w:jc w:val="both"/>
        <w:rPr>
          <w:rFonts w:eastAsia="Calibri" w:cs="Arial"/>
          <w:i/>
          <w:lang w:val="fr-FR"/>
        </w:rPr>
      </w:pPr>
    </w:p>
    <w:p w:rsidR="004017FE" w:rsidRDefault="004017FE" w:rsidP="00CE2BE4">
      <w:pPr>
        <w:spacing w:after="0" w:line="240" w:lineRule="auto"/>
        <w:jc w:val="both"/>
        <w:rPr>
          <w:rFonts w:eastAsia="Times New Roman" w:cs="Arial"/>
          <w:i/>
          <w:lang w:val="fr-FR"/>
        </w:rPr>
      </w:pPr>
      <w:r>
        <w:rPr>
          <w:rFonts w:cs="Arial"/>
          <w:i/>
          <w:lang w:val="fr-FR"/>
        </w:rPr>
        <w:t xml:space="preserve">Rappelant la Résolution 12.12 </w:t>
      </w:r>
      <w:r w:rsidRPr="00034AA0">
        <w:rPr>
          <w:rFonts w:cs="Arial"/>
          <w:lang w:val="fr-FR"/>
        </w:rPr>
        <w:t>sur les</w:t>
      </w:r>
      <w:r>
        <w:rPr>
          <w:rFonts w:cs="Arial"/>
          <w:i/>
          <w:lang w:val="fr-FR"/>
        </w:rPr>
        <w:t xml:space="preserve"> prises accessoires</w:t>
      </w:r>
      <w:r>
        <w:rPr>
          <w:rFonts w:cs="Arial"/>
          <w:lang w:val="fr-FR"/>
        </w:rPr>
        <w:t>, qui demande aux Parties</w:t>
      </w:r>
      <w:r>
        <w:rPr>
          <w:rFonts w:cs="Arial"/>
          <w:i/>
          <w:lang w:val="fr-FR"/>
        </w:rPr>
        <w:t xml:space="preserve"> « à améliorer leurs rapports d’information et de données sur les prises accessoires dans leurs rapports nationaux pour la CMS ou à travers leurs rapports faits aux Accords affiliés à la CMS, [...] » ; et</w:t>
      </w:r>
    </w:p>
    <w:p w:rsidR="004017FE" w:rsidRDefault="004017FE" w:rsidP="004017FE">
      <w:pPr>
        <w:jc w:val="both"/>
        <w:rPr>
          <w:rFonts w:eastAsia="Calibri" w:cs="Arial"/>
          <w:i/>
          <w:lang w:val="fr-FR"/>
        </w:rPr>
      </w:pPr>
      <w:r>
        <w:rPr>
          <w:rFonts w:eastAsia="Calibri" w:cs="Arial"/>
          <w:i/>
          <w:lang w:val="fr-FR"/>
        </w:rPr>
        <w:br w:type="page"/>
      </w:r>
    </w:p>
    <w:p w:rsidR="004017FE" w:rsidRDefault="004017FE" w:rsidP="004017FE">
      <w:pPr>
        <w:jc w:val="both"/>
        <w:rPr>
          <w:rFonts w:eastAsia="Calibri" w:cs="Arial"/>
          <w:lang w:val="fr-FR"/>
        </w:rPr>
      </w:pPr>
      <w:r>
        <w:rPr>
          <w:rFonts w:cs="Arial"/>
          <w:i/>
          <w:lang w:val="fr-FR"/>
        </w:rPr>
        <w:lastRenderedPageBreak/>
        <w:t>Rappelant</w:t>
      </w:r>
      <w:r>
        <w:rPr>
          <w:rFonts w:cs="Arial"/>
          <w:lang w:val="fr-FR"/>
        </w:rPr>
        <w:t xml:space="preserve"> l’adoption du Mémorandum d’entente de la CMS sur la conservation des requins migrateurs (</w:t>
      </w:r>
      <w:proofErr w:type="spellStart"/>
      <w:r>
        <w:rPr>
          <w:rFonts w:cs="Arial"/>
          <w:lang w:val="fr-FR"/>
        </w:rPr>
        <w:t>MdE</w:t>
      </w:r>
      <w:proofErr w:type="spellEnd"/>
      <w:r>
        <w:rPr>
          <w:rFonts w:cs="Arial"/>
          <w:lang w:val="fr-FR"/>
        </w:rPr>
        <w:t xml:space="preserve"> sur les requins) en 2010, visant à atteindre et à maintenir un état de conservation favorable pour les requins migrateurs, sur la base des meilleures informations scientifiques disponibles et en tenant compte des caractéristiques socio-économiques et d’autres valeurs représentées par ces espèces, et la première Réunion des Signataires en 2012, où le Plan de conservation pour les requins migrateurs a été adopté ;</w:t>
      </w:r>
    </w:p>
    <w:p w:rsidR="004017FE" w:rsidRDefault="004017FE" w:rsidP="004017FE">
      <w:pPr>
        <w:jc w:val="both"/>
        <w:rPr>
          <w:rFonts w:eastAsia="Calibri" w:cs="Arial"/>
          <w:lang w:val="fr-FR"/>
        </w:rPr>
      </w:pPr>
    </w:p>
    <w:p w:rsidR="004017FE" w:rsidRDefault="004017FE" w:rsidP="004017FE">
      <w:pPr>
        <w:jc w:val="center"/>
        <w:rPr>
          <w:rFonts w:eastAsia="Times New Roman" w:cs="Arial"/>
          <w:lang w:val="fr-FR"/>
        </w:rPr>
      </w:pPr>
      <w:r>
        <w:rPr>
          <w:rFonts w:cs="Arial"/>
          <w:lang w:val="fr-FR"/>
        </w:rPr>
        <w:t>La Conférence des Parties à la Convention sur la conservation des espèces migratrices appartenant à la faune sauvage</w:t>
      </w:r>
    </w:p>
    <w:p w:rsidR="004017FE" w:rsidRDefault="004017FE" w:rsidP="004017FE">
      <w:pPr>
        <w:jc w:val="center"/>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 xml:space="preserve">Prie </w:t>
      </w:r>
      <w:r>
        <w:rPr>
          <w:rFonts w:cs="Arial"/>
          <w:lang w:val="fr-FR"/>
        </w:rPr>
        <w:t>toutes les Parties de renforcer les mesures de protection des espèces chondrichtyennes migratrices contre les activités qui font peser sur ces espèces des menaces, notamment la destruction de leurs habitats, la pêche INN et les prises accessoires ;</w:t>
      </w:r>
    </w:p>
    <w:p w:rsidR="004017FE" w:rsidRDefault="004017FE" w:rsidP="00034AA0">
      <w:pPr>
        <w:ind w:left="567" w:hanging="567"/>
        <w:contextualSpacing/>
        <w:jc w:val="both"/>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Prie instamment</w:t>
      </w:r>
      <w:r>
        <w:rPr>
          <w:rFonts w:cs="Arial"/>
          <w:lang w:val="fr-FR"/>
        </w:rPr>
        <w:t xml:space="preserve"> les Parties de faire en sorte que toute la pêche et le commerce des espèces chondrichtyennes soient écologiquement durables, et qu’un manque de données scientifiques n’empêche pas de prendre des mesures de conservation ou de gestion de la pêche pour atteindre cet objectif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Prie en outre instamment</w:t>
      </w:r>
      <w:r>
        <w:rPr>
          <w:rFonts w:cs="Arial"/>
          <w:lang w:val="fr-FR"/>
        </w:rPr>
        <w:t xml:space="preserve"> les Parties de prendre des mesures pour éliminer l’enlèvement des ailerons si ce n’est déjà fait, y compris des mesures de mise en œuvre telles que l’interdiction du prélèvement des ailerons en mer et le rejet de la carcasse à la mer, exigeant que les espèces chondrichtyennes </w:t>
      </w:r>
      <w:r w:rsidR="00034AA0">
        <w:rPr>
          <w:rFonts w:cs="Arial"/>
          <w:lang w:val="fr-FR"/>
        </w:rPr>
        <w:t>(</w:t>
      </w:r>
      <w:r w:rsidR="00034AA0" w:rsidRPr="00034AA0">
        <w:rPr>
          <w:rFonts w:cs="Arial"/>
          <w:lang w:val="fr-FR"/>
        </w:rPr>
        <w:t>à l'exclusion des espèces de l'ordre des Rajiformes</w:t>
      </w:r>
      <w:r w:rsidR="00034AA0">
        <w:rPr>
          <w:rFonts w:cs="Arial"/>
          <w:lang w:val="fr-FR"/>
        </w:rPr>
        <w:t>)</w:t>
      </w:r>
      <w:r w:rsidR="00034AA0" w:rsidRPr="00034AA0">
        <w:rPr>
          <w:rFonts w:cs="Arial"/>
          <w:lang w:val="fr-FR"/>
        </w:rPr>
        <w:t xml:space="preserve"> </w:t>
      </w:r>
      <w:r>
        <w:rPr>
          <w:rFonts w:cs="Arial"/>
          <w:lang w:val="fr-FR"/>
        </w:rPr>
        <w:t>soient débarquées avec leurs nageoires naturellement attachées</w:t>
      </w:r>
      <w:r w:rsidR="00034AA0">
        <w:rPr>
          <w:rFonts w:cs="Arial"/>
          <w:lang w:val="fr-FR"/>
        </w:rPr>
        <w:t>, en totalité ou en partie</w:t>
      </w:r>
      <w:r>
        <w:rPr>
          <w:rFonts w:cs="Arial"/>
          <w:lang w:val="fr-FR"/>
        </w:rPr>
        <w:t>, ou d’autres mesures en conformité avec les résolutions de l’Assemblée générale des Nations Unies applicables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Prie en outre instamment</w:t>
      </w:r>
      <w:r>
        <w:rPr>
          <w:rFonts w:cs="Arial"/>
          <w:lang w:val="fr-FR"/>
        </w:rPr>
        <w:t xml:space="preserve"> les Parties, si ce n’est déjà fait, d’élaborer et de mettre en œuvre des plans d’action nationaux pour les requins (Plan-requins), conformément au PAI-REQUINS de la FAO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Prie en outre instamment</w:t>
      </w:r>
      <w:r>
        <w:rPr>
          <w:rFonts w:cs="Arial"/>
          <w:lang w:val="fr-FR"/>
        </w:rPr>
        <w:t xml:space="preserve"> les Parties à la CMS de respecter les mesures de conservation et de gestion existantes, en particulier celles des ORGP, le cas échéant, notamment la conformité avec les obligations de collecte et de soumission de données pour permettre des évaluations fiables des stocks par les comités scientifiques de ces organismes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Prie en outre instamment</w:t>
      </w:r>
      <w:r>
        <w:rPr>
          <w:rFonts w:cs="Arial"/>
          <w:lang w:val="fr-FR"/>
        </w:rPr>
        <w:t xml:space="preserve"> les Parties d’élaborer et mettre en œuvre des lignes directrices et des procédures pour la mise en œuvre des dispositions de la CITES réglementant le commerce des produits dérivés d’espèces chondrichtyennes provenant d’espèces inscrites aux Annexes de la Convention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Encourage</w:t>
      </w:r>
      <w:r>
        <w:rPr>
          <w:rFonts w:cs="Arial"/>
          <w:lang w:val="fr-FR"/>
        </w:rPr>
        <w:t xml:space="preserve"> les Parties à identifier leurs besoins en matière de formation et de renforcement des capacités dans les domaines de la recherche, de la collecte de données spécifiques aux espèces et de la surveillance, et de faciliter les initiatives visant à améliorer les capacités et les compétences institutionnelles en matière de techniques d’identification, de gestion et de conservation des espèces chondrichtyennes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Demande</w:t>
      </w:r>
      <w:r>
        <w:rPr>
          <w:rFonts w:cs="Arial"/>
          <w:lang w:val="fr-FR"/>
        </w:rPr>
        <w:t xml:space="preserve"> aux Parties d’améliorer la connaissance sur la biologie et l’écologie des populations d’espèces chondrichtyennes migratrices, d’identifier des façons de rendre les engins de pêche plus sélectifs, de soutenir des mesures de conservation efficaces par le biais de la recherche, de la surveillance et de l’échange d’information, et d’encourager les évaluations et la recherche </w:t>
      </w:r>
      <w:r>
        <w:rPr>
          <w:rFonts w:cs="Arial"/>
          <w:lang w:val="fr-FR"/>
        </w:rPr>
        <w:lastRenderedPageBreak/>
        <w:t>sur les populations, notamment dans le cadre des ORGP et de leurs organismes scientifiques, le cas échéant ;</w:t>
      </w:r>
    </w:p>
    <w:p w:rsidR="004017FE" w:rsidRDefault="004017FE" w:rsidP="004017FE">
      <w:pPr>
        <w:ind w:left="720"/>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Encourage</w:t>
      </w:r>
      <w:r>
        <w:rPr>
          <w:rFonts w:cs="Arial"/>
          <w:lang w:val="fr-FR"/>
        </w:rPr>
        <w:t xml:space="preserve"> les Parties à établir des priorités dans les programmes de surveillance et de documentation de la pêche visant directement les espèces chondrichtyennes et de la pêche qui comprend des captures accidentelles importantes d’espèces chondrichtyennes, pouvant inclure des systèmes de surveillance des navires, des inspections de ports, et des programmes d’observateurs à bord ou de surveillance électronique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 xml:space="preserve">Encourage en outre </w:t>
      </w:r>
      <w:r>
        <w:rPr>
          <w:rFonts w:cs="Arial"/>
          <w:lang w:val="fr-FR"/>
        </w:rPr>
        <w:t>les Parties, le cas échéant, à promouvoir la mise en place d’objectifs de conservation basés sur la science pour les espèces chondrichtyennes migratrices, ainsi que des indicateurs pour évaluer les progrès accomplis dans la réalisation de ces objectifs, y compris au sein des ORGP, le cas échéant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Demande</w:t>
      </w:r>
      <w:r>
        <w:rPr>
          <w:rFonts w:cs="Arial"/>
          <w:lang w:val="fr-FR"/>
        </w:rPr>
        <w:t xml:space="preserve"> aux Parties d’identifier et de préserver les habitats critiques et les stades vulnérables du cycle de vie, ainsi que les voies de migration, en vue de contribuer au développement et à la mise en œuvre de mesures de conservation et de gestion durable efficaces, fondées sur les meilleures connaissances scientifiques disponibles et sur l’approche de précaution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 xml:space="preserve">Encourage </w:t>
      </w:r>
      <w:r>
        <w:rPr>
          <w:rFonts w:cs="Arial"/>
          <w:lang w:val="fr-FR"/>
        </w:rPr>
        <w:t>les Parties, les ORGP et autres organismes concernés à minimiser l’impact de la pêche dans les couloirs de migration et dans d’autres habitats jugés critiques pour la récupération et la viabilité des populations d’espèces chondrichtyennes, y compris celles qui chevauchent plusieurs juridictions nationales ;</w:t>
      </w:r>
    </w:p>
    <w:p w:rsidR="004017FE" w:rsidRDefault="004017FE" w:rsidP="00034AA0">
      <w:pPr>
        <w:ind w:left="567" w:hanging="567"/>
        <w:contextualSpacing/>
        <w:rPr>
          <w:rFonts w:eastAsia="Calibri" w:cs="Arial"/>
          <w:i/>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 xml:space="preserve">Invite </w:t>
      </w:r>
      <w:r>
        <w:rPr>
          <w:rFonts w:cs="Arial"/>
          <w:lang w:val="fr-FR"/>
        </w:rPr>
        <w:t xml:space="preserve">les Parties, les États de l’aire de répartition, les autres États, les organisations intergouvernementales et non gouvernementales, et d’autres entités et organes pertinents à signer le </w:t>
      </w:r>
      <w:proofErr w:type="spellStart"/>
      <w:r>
        <w:rPr>
          <w:rFonts w:cs="Arial"/>
          <w:lang w:val="fr-FR"/>
        </w:rPr>
        <w:t>MdE</w:t>
      </w:r>
      <w:proofErr w:type="spellEnd"/>
      <w:r>
        <w:rPr>
          <w:rFonts w:cs="Arial"/>
          <w:lang w:val="fr-FR"/>
        </w:rPr>
        <w:t xml:space="preserve"> sur les requins en tant que signataires ou partenaires coopérants et à prendre des mesures en matière de conservation et de recherche, afin d’empêcher l’exploitation non durable des espèces chondrichtyennes ;</w:t>
      </w:r>
    </w:p>
    <w:p w:rsidR="004017FE" w:rsidRDefault="004017FE" w:rsidP="00034AA0">
      <w:pPr>
        <w:ind w:left="567" w:hanging="567"/>
        <w:contextualSpacing/>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 xml:space="preserve">Demande </w:t>
      </w:r>
      <w:r>
        <w:rPr>
          <w:rFonts w:cs="Arial"/>
          <w:lang w:val="fr-FR"/>
        </w:rPr>
        <w:t>au Secrétariat de continuer à assurer la liaison avec la FAO, les ORGP, la CITES, la société civile et d’autres parties prenantes concernées et d’explorer de nouvelles pistes de collaboration afin de promouvoir des actions coordonnées qui permettront d’améliorer la protection, la conservation et la gestion des espèces chondrichtyennes ;</w:t>
      </w:r>
    </w:p>
    <w:p w:rsidR="004017FE" w:rsidRDefault="004017FE" w:rsidP="00034AA0">
      <w:pPr>
        <w:ind w:left="567" w:hanging="567"/>
        <w:contextualSpacing/>
        <w:jc w:val="both"/>
        <w:rPr>
          <w:rFonts w:eastAsia="Calibri" w:cs="Arial"/>
          <w:lang w:val="fr-FR"/>
        </w:rPr>
      </w:pPr>
    </w:p>
    <w:p w:rsidR="004017FE" w:rsidRDefault="004017FE" w:rsidP="00034AA0">
      <w:pPr>
        <w:numPr>
          <w:ilvl w:val="0"/>
          <w:numId w:val="15"/>
        </w:numPr>
        <w:spacing w:after="0" w:line="240" w:lineRule="auto"/>
        <w:ind w:left="567" w:hanging="567"/>
        <w:contextualSpacing/>
        <w:jc w:val="both"/>
        <w:rPr>
          <w:rFonts w:eastAsia="Calibri" w:cs="Arial"/>
          <w:lang w:val="fr-FR"/>
        </w:rPr>
      </w:pPr>
      <w:r>
        <w:rPr>
          <w:rFonts w:cs="Arial"/>
          <w:i/>
          <w:lang w:val="fr-FR"/>
        </w:rPr>
        <w:t>Encourage</w:t>
      </w:r>
      <w:r>
        <w:rPr>
          <w:rFonts w:cs="Arial"/>
          <w:lang w:val="fr-FR"/>
        </w:rPr>
        <w:t xml:space="preserve"> les Parties à porter à l’attention de la FAO, des ORGP et d’autres organismes concernés les objectifs de la CMS et du </w:t>
      </w:r>
      <w:proofErr w:type="spellStart"/>
      <w:r>
        <w:rPr>
          <w:rFonts w:cs="Arial"/>
          <w:lang w:val="fr-FR"/>
        </w:rPr>
        <w:t>MdE</w:t>
      </w:r>
      <w:proofErr w:type="spellEnd"/>
      <w:r>
        <w:rPr>
          <w:rFonts w:cs="Arial"/>
          <w:lang w:val="fr-FR"/>
        </w:rPr>
        <w:t xml:space="preserve"> requins de la CMS en ce qui concerne la conservation des espèces chondrichtyennes avec pour objectif d’assurer la coopération, la complémentarité et d’améliorer l’efficacité des instruments et organismes internationaux partageant des objectifs similaires en matière de conservation et de gestion des espèces chondrichtyennes ;</w:t>
      </w:r>
    </w:p>
    <w:p w:rsidR="004017FE" w:rsidRDefault="004017FE" w:rsidP="00034AA0">
      <w:pPr>
        <w:ind w:left="567" w:hanging="567"/>
        <w:contextualSpacing/>
        <w:jc w:val="both"/>
        <w:rPr>
          <w:rFonts w:eastAsia="Calibri" w:cs="Arial"/>
          <w:lang w:val="fr-FR"/>
        </w:rPr>
      </w:pPr>
    </w:p>
    <w:p w:rsidR="004017FE" w:rsidRPr="007839CD" w:rsidRDefault="004017FE" w:rsidP="0067508D">
      <w:pPr>
        <w:numPr>
          <w:ilvl w:val="0"/>
          <w:numId w:val="15"/>
        </w:numPr>
        <w:spacing w:after="0" w:line="240" w:lineRule="auto"/>
        <w:ind w:left="567" w:hanging="567"/>
        <w:contextualSpacing/>
        <w:jc w:val="both"/>
        <w:rPr>
          <w:rFonts w:eastAsia="Times New Roman" w:cs="Arial"/>
          <w:i/>
          <w:iCs/>
          <w:lang w:val="fr-FR"/>
        </w:rPr>
      </w:pPr>
      <w:r w:rsidRPr="007839CD">
        <w:rPr>
          <w:rFonts w:cs="Arial"/>
          <w:i/>
          <w:lang w:val="fr-FR"/>
        </w:rPr>
        <w:t>Prie instamment</w:t>
      </w:r>
      <w:r w:rsidRPr="007839CD">
        <w:rPr>
          <w:rFonts w:cs="Arial"/>
          <w:lang w:val="fr-FR"/>
        </w:rPr>
        <w:t xml:space="preserve"> </w:t>
      </w:r>
      <w:r w:rsidR="007839CD" w:rsidRPr="007839CD">
        <w:rPr>
          <w:rFonts w:eastAsia="Times New Roman" w:cs="Arial"/>
          <w:lang w:val="fr-FR"/>
        </w:rPr>
        <w:t>les Parties d’adopter et d’appliquer une législation nationale interdisant la prise d'espèces chondrichtyennes inscrites à l'Annexe I ; et</w:t>
      </w:r>
    </w:p>
    <w:p w:rsidR="004017FE" w:rsidRDefault="004017FE" w:rsidP="007839CD">
      <w:pPr>
        <w:spacing w:after="0" w:line="240" w:lineRule="auto"/>
        <w:jc w:val="both"/>
        <w:rPr>
          <w:rFonts w:eastAsia="Calibri" w:cs="Arial"/>
          <w:b/>
          <w:lang w:val="fr-FR"/>
        </w:rPr>
      </w:pPr>
    </w:p>
    <w:p w:rsidR="004017FE" w:rsidRDefault="004017FE" w:rsidP="007839CD">
      <w:pPr>
        <w:spacing w:after="0" w:line="240" w:lineRule="auto"/>
        <w:jc w:val="both"/>
        <w:rPr>
          <w:rFonts w:eastAsia="Times New Roman" w:cs="Arial"/>
          <w:b/>
          <w:lang w:val="en-GB"/>
        </w:rPr>
      </w:pPr>
      <w:r>
        <w:rPr>
          <w:rFonts w:cs="Arial"/>
          <w:b/>
        </w:rPr>
        <w:t>Dispositions finales</w:t>
      </w:r>
    </w:p>
    <w:p w:rsidR="004017FE" w:rsidRDefault="004017FE" w:rsidP="007839CD">
      <w:pPr>
        <w:spacing w:after="0" w:line="240" w:lineRule="auto"/>
        <w:jc w:val="both"/>
        <w:rPr>
          <w:rFonts w:eastAsia="Calibri" w:cs="Arial"/>
          <w:b/>
        </w:rPr>
      </w:pPr>
    </w:p>
    <w:p w:rsidR="004017FE" w:rsidRDefault="004017FE" w:rsidP="007839CD">
      <w:pPr>
        <w:numPr>
          <w:ilvl w:val="0"/>
          <w:numId w:val="15"/>
        </w:numPr>
        <w:spacing w:after="0" w:line="240" w:lineRule="auto"/>
        <w:ind w:hanging="720"/>
        <w:contextualSpacing/>
        <w:jc w:val="both"/>
        <w:rPr>
          <w:rFonts w:eastAsia="Calibri" w:cs="Arial"/>
        </w:rPr>
      </w:pPr>
      <w:proofErr w:type="spellStart"/>
      <w:r>
        <w:rPr>
          <w:rFonts w:cs="Arial"/>
          <w:i/>
        </w:rPr>
        <w:t>Abroge</w:t>
      </w:r>
      <w:proofErr w:type="spellEnd"/>
    </w:p>
    <w:p w:rsidR="004017FE" w:rsidRDefault="004017FE" w:rsidP="007839CD">
      <w:pPr>
        <w:spacing w:after="0" w:line="240" w:lineRule="auto"/>
        <w:jc w:val="both"/>
        <w:rPr>
          <w:rFonts w:eastAsia="Calibri" w:cs="Arial"/>
        </w:rPr>
      </w:pPr>
    </w:p>
    <w:p w:rsidR="004017FE" w:rsidRDefault="004017FE" w:rsidP="007839CD">
      <w:pPr>
        <w:pStyle w:val="ListParagraph"/>
        <w:numPr>
          <w:ilvl w:val="0"/>
          <w:numId w:val="16"/>
        </w:numPr>
        <w:spacing w:after="0" w:line="240" w:lineRule="auto"/>
        <w:jc w:val="both"/>
        <w:rPr>
          <w:rFonts w:eastAsia="Times New Roman" w:cs="Arial"/>
          <w:lang w:val="fr-FR"/>
        </w:rPr>
      </w:pPr>
      <w:r>
        <w:rPr>
          <w:rFonts w:cs="Arial"/>
          <w:lang w:val="fr-FR"/>
        </w:rPr>
        <w:t>la Résolution 8.16 (</w:t>
      </w:r>
      <w:proofErr w:type="spellStart"/>
      <w:r>
        <w:rPr>
          <w:rFonts w:cs="Arial"/>
          <w:lang w:val="fr-FR"/>
        </w:rPr>
        <w:t>Rev</w:t>
      </w:r>
      <w:proofErr w:type="spellEnd"/>
      <w:r>
        <w:rPr>
          <w:rFonts w:cs="Arial"/>
          <w:lang w:val="fr-FR"/>
        </w:rPr>
        <w:t xml:space="preserve">. COP12) </w:t>
      </w:r>
      <w:r>
        <w:rPr>
          <w:rFonts w:cs="Arial"/>
          <w:i/>
          <w:lang w:val="fr-FR"/>
        </w:rPr>
        <w:t>Les requins migrateurs </w:t>
      </w:r>
      <w:r>
        <w:rPr>
          <w:rFonts w:cs="Arial"/>
          <w:lang w:val="fr-FR"/>
        </w:rPr>
        <w:t>;</w:t>
      </w:r>
    </w:p>
    <w:p w:rsidR="004017FE" w:rsidRDefault="004017FE" w:rsidP="007839CD">
      <w:pPr>
        <w:pStyle w:val="ListParagraph"/>
        <w:spacing w:after="0" w:line="240" w:lineRule="auto"/>
        <w:ind w:left="1440"/>
        <w:jc w:val="both"/>
        <w:rPr>
          <w:rFonts w:eastAsia="Calibri" w:cs="Arial"/>
          <w:lang w:val="fr-FR"/>
        </w:rPr>
      </w:pPr>
    </w:p>
    <w:p w:rsidR="004017FE" w:rsidRDefault="004017FE" w:rsidP="007839CD">
      <w:pPr>
        <w:pStyle w:val="ListParagraph"/>
        <w:numPr>
          <w:ilvl w:val="0"/>
          <w:numId w:val="16"/>
        </w:numPr>
        <w:spacing w:after="0" w:line="240" w:lineRule="auto"/>
        <w:jc w:val="both"/>
        <w:rPr>
          <w:rFonts w:eastAsia="Times New Roman" w:cs="Arial"/>
          <w:i/>
          <w:lang w:val="fr-FR"/>
        </w:rPr>
      </w:pPr>
      <w:r>
        <w:rPr>
          <w:rFonts w:cs="Arial"/>
          <w:lang w:val="fr-FR"/>
        </w:rPr>
        <w:t>la Résolution 11.20</w:t>
      </w:r>
      <w:r>
        <w:rPr>
          <w:rFonts w:cs="Arial"/>
          <w:i/>
          <w:lang w:val="fr-FR"/>
        </w:rPr>
        <w:t xml:space="preserve"> La conservation des requins et des raies migrateurs.</w:t>
      </w:r>
    </w:p>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Calibri" w:cs="Arial"/>
          <w:caps/>
          <w:lang w:val="fr-FR"/>
        </w:rPr>
      </w:pPr>
    </w:p>
    <w:p w:rsidR="004017FE" w:rsidRDefault="004017FE" w:rsidP="004017FE">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Calibri" w:cs="Arial"/>
          <w:caps/>
          <w:lang w:val="fr-FR"/>
        </w:rPr>
        <w:sectPr w:rsidR="004017FE" w:rsidSect="00D71837">
          <w:headerReference w:type="even" r:id="rId18"/>
          <w:headerReference w:type="default" r:id="rId19"/>
          <w:headerReference w:type="first" r:id="rId20"/>
          <w:pgSz w:w="11906" w:h="16838" w:code="9"/>
          <w:pgMar w:top="1134" w:right="1134" w:bottom="1134" w:left="1134" w:header="720" w:footer="720" w:gutter="0"/>
          <w:cols w:space="720"/>
          <w:titlePg/>
          <w:docGrid w:linePitch="360"/>
        </w:sectPr>
      </w:pPr>
    </w:p>
    <w:p w:rsidR="004017FE" w:rsidRDefault="004017FE" w:rsidP="007839CD">
      <w:pPr>
        <w:spacing w:after="0" w:line="240" w:lineRule="auto"/>
        <w:jc w:val="right"/>
        <w:rPr>
          <w:rFonts w:eastAsia="Calibri" w:cs="Arial"/>
          <w:b/>
          <w:lang w:val="fr-FR"/>
        </w:rPr>
      </w:pPr>
      <w:r>
        <w:rPr>
          <w:rFonts w:cs="Arial"/>
          <w:b/>
          <w:lang w:val="fr-FR"/>
        </w:rPr>
        <w:lastRenderedPageBreak/>
        <w:t>ANNEXE 3</w:t>
      </w:r>
    </w:p>
    <w:p w:rsidR="004017FE" w:rsidRDefault="004017FE" w:rsidP="007839CD">
      <w:pPr>
        <w:spacing w:after="0" w:line="240" w:lineRule="auto"/>
        <w:ind w:left="1080"/>
        <w:jc w:val="right"/>
        <w:rPr>
          <w:rFonts w:eastAsia="Calibri" w:cs="Arial"/>
          <w:b/>
          <w:lang w:val="fr-FR"/>
        </w:rPr>
      </w:pPr>
    </w:p>
    <w:p w:rsidR="004017FE" w:rsidRDefault="004017FE" w:rsidP="007839CD">
      <w:pPr>
        <w:spacing w:after="0" w:line="240" w:lineRule="auto"/>
        <w:jc w:val="center"/>
        <w:rPr>
          <w:rFonts w:eastAsia="Calibri" w:cs="Arial"/>
          <w:b/>
          <w:lang w:val="fr-FR"/>
        </w:rPr>
      </w:pPr>
      <w:r>
        <w:rPr>
          <w:rFonts w:cs="Arial"/>
          <w:lang w:val="fr-FR"/>
        </w:rPr>
        <w:t>PROJET DE DÉCISIONS</w:t>
      </w:r>
    </w:p>
    <w:p w:rsidR="004017FE" w:rsidRDefault="004017FE" w:rsidP="007839CD">
      <w:pPr>
        <w:spacing w:after="0" w:line="240" w:lineRule="auto"/>
        <w:jc w:val="both"/>
        <w:rPr>
          <w:rFonts w:eastAsia="Calibri" w:cs="Arial"/>
          <w:b/>
          <w:i/>
          <w:lang w:val="fr-FR"/>
        </w:rPr>
      </w:pPr>
    </w:p>
    <w:p w:rsidR="004017FE" w:rsidRDefault="004017FE" w:rsidP="007839CD">
      <w:pPr>
        <w:spacing w:after="0" w:line="240" w:lineRule="auto"/>
        <w:jc w:val="center"/>
        <w:outlineLvl w:val="0"/>
        <w:rPr>
          <w:rFonts w:eastAsia="Calibri" w:cs="Arial"/>
          <w:b/>
          <w:lang w:val="fr-FR"/>
        </w:rPr>
      </w:pPr>
      <w:bookmarkStart w:id="1" w:name="_Hlk18338361"/>
      <w:r>
        <w:rPr>
          <w:rFonts w:cs="Arial"/>
          <w:b/>
          <w:lang w:val="fr-FR"/>
        </w:rPr>
        <w:t>ESPÈCES CHONDRICHTYENNES</w:t>
      </w:r>
      <w:bookmarkEnd w:id="1"/>
      <w:r>
        <w:rPr>
          <w:rFonts w:eastAsia="Calibri" w:cs="Arial"/>
          <w:b/>
          <w:lang w:val="fr-FR"/>
        </w:rPr>
        <w:br/>
      </w:r>
      <w:r>
        <w:rPr>
          <w:rFonts w:cs="Arial"/>
          <w:b/>
          <w:lang w:val="fr-FR"/>
        </w:rPr>
        <w:t>(REQUINS, RAIES, POCHETEAUX ET CHIMÈRES)</w:t>
      </w:r>
    </w:p>
    <w:p w:rsidR="004017FE" w:rsidRDefault="004017FE" w:rsidP="007839CD">
      <w:pPr>
        <w:spacing w:after="0" w:line="240" w:lineRule="auto"/>
        <w:jc w:val="both"/>
        <w:rPr>
          <w:rFonts w:eastAsia="Calibri" w:cs="Arial"/>
          <w:b/>
          <w:i/>
          <w:lang w:val="fr-FR"/>
        </w:rPr>
      </w:pPr>
    </w:p>
    <w:p w:rsidR="004017FE" w:rsidRDefault="004017FE" w:rsidP="007839CD">
      <w:pPr>
        <w:spacing w:after="0" w:line="240" w:lineRule="auto"/>
        <w:jc w:val="both"/>
        <w:rPr>
          <w:rFonts w:eastAsia="Calibri" w:cs="Arial"/>
          <w:b/>
          <w:i/>
          <w:lang w:val="fr-FR"/>
        </w:rPr>
      </w:pPr>
    </w:p>
    <w:p w:rsidR="004017FE" w:rsidRDefault="004017FE" w:rsidP="007839CD">
      <w:pPr>
        <w:spacing w:after="0" w:line="240" w:lineRule="auto"/>
        <w:jc w:val="both"/>
        <w:rPr>
          <w:rFonts w:eastAsia="Times New Roman" w:cs="Arial"/>
          <w:b/>
          <w:lang w:val="fr-FR"/>
        </w:rPr>
      </w:pPr>
      <w:r>
        <w:rPr>
          <w:rFonts w:cs="Arial"/>
          <w:b/>
          <w:lang w:val="fr-FR"/>
        </w:rPr>
        <w:t>Adressée aux Parties :</w:t>
      </w:r>
    </w:p>
    <w:p w:rsidR="004017FE" w:rsidRDefault="004017FE" w:rsidP="007839CD">
      <w:pPr>
        <w:spacing w:after="0" w:line="240" w:lineRule="auto"/>
        <w:jc w:val="both"/>
        <w:rPr>
          <w:rFonts w:eastAsia="Calibri" w:cs="Arial"/>
          <w:b/>
          <w:lang w:val="fr-FR"/>
        </w:rPr>
      </w:pPr>
    </w:p>
    <w:p w:rsidR="004017FE" w:rsidRDefault="004017FE" w:rsidP="007839CD">
      <w:pPr>
        <w:spacing w:after="0" w:line="240" w:lineRule="auto"/>
        <w:jc w:val="both"/>
        <w:rPr>
          <w:rFonts w:eastAsia="Times New Roman" w:cs="Arial"/>
          <w:lang w:val="fr-FR"/>
        </w:rPr>
      </w:pPr>
      <w:r>
        <w:rPr>
          <w:rFonts w:cs="Arial"/>
          <w:lang w:val="fr-FR"/>
        </w:rPr>
        <w:t>13.AA</w:t>
      </w:r>
      <w:r w:rsidR="007839CD" w:rsidRPr="00FD0471">
        <w:rPr>
          <w:rStyle w:val="FootnoteReference"/>
          <w:rFonts w:cs="Arial"/>
          <w:lang w:val="en-GB"/>
        </w:rPr>
        <w:footnoteReference w:id="2"/>
      </w:r>
      <w:r w:rsidR="00FD0471">
        <w:rPr>
          <w:rFonts w:eastAsia="Times New Roman" w:cs="Arial"/>
          <w:lang w:val="fr-FR"/>
        </w:rPr>
        <w:tab/>
      </w:r>
      <w:r>
        <w:rPr>
          <w:rFonts w:cs="Arial"/>
          <w:lang w:val="fr-FR"/>
        </w:rPr>
        <w:t>Les Parties sont priées de:</w:t>
      </w:r>
    </w:p>
    <w:p w:rsidR="004017FE" w:rsidRDefault="004017FE" w:rsidP="007839CD">
      <w:pPr>
        <w:spacing w:after="0" w:line="240" w:lineRule="auto"/>
        <w:jc w:val="both"/>
        <w:rPr>
          <w:rFonts w:eastAsia="Calibri" w:cs="Arial"/>
          <w:lang w:val="fr-FR"/>
        </w:rPr>
      </w:pPr>
    </w:p>
    <w:p w:rsidR="004017FE" w:rsidRDefault="007839CD" w:rsidP="00FD0471">
      <w:pPr>
        <w:numPr>
          <w:ilvl w:val="0"/>
          <w:numId w:val="17"/>
        </w:numPr>
        <w:spacing w:after="0" w:line="240" w:lineRule="auto"/>
        <w:ind w:left="1418" w:hanging="567"/>
        <w:contextualSpacing/>
        <w:jc w:val="both"/>
        <w:rPr>
          <w:rFonts w:eastAsia="Calibri" w:cs="Arial"/>
          <w:lang w:val="fr-FR"/>
        </w:rPr>
      </w:pPr>
      <w:r>
        <w:rPr>
          <w:rFonts w:cs="Arial"/>
          <w:lang w:val="fr-FR"/>
        </w:rPr>
        <w:t>r</w:t>
      </w:r>
      <w:r w:rsidR="004017FE">
        <w:rPr>
          <w:rFonts w:cs="Arial"/>
          <w:lang w:val="fr-FR"/>
        </w:rPr>
        <w:t>evo</w:t>
      </w:r>
      <w:r>
        <w:rPr>
          <w:rFonts w:cs="Arial"/>
          <w:lang w:val="fr-FR"/>
        </w:rPr>
        <w:t>ir</w:t>
      </w:r>
      <w:r w:rsidR="004017FE">
        <w:rPr>
          <w:rFonts w:cs="Arial"/>
          <w:lang w:val="fr-FR"/>
        </w:rPr>
        <w:t xml:space="preserve"> leur législation existante et promulgu</w:t>
      </w:r>
      <w:r>
        <w:rPr>
          <w:rFonts w:cs="Arial"/>
          <w:lang w:val="fr-FR"/>
        </w:rPr>
        <w:t>er</w:t>
      </w:r>
      <w:r w:rsidR="004017FE">
        <w:rPr>
          <w:rFonts w:cs="Arial"/>
          <w:lang w:val="fr-FR"/>
        </w:rPr>
        <w:t xml:space="preserve"> de nouvelles lois, selon qu’il convient, en vue d’appliquer l’interdiction de la capture des espèces chondrichtyennes inscrites à l’Annexe I, </w:t>
      </w:r>
    </w:p>
    <w:p w:rsidR="004017FE" w:rsidRDefault="004017FE" w:rsidP="00FD0471">
      <w:pPr>
        <w:spacing w:after="0" w:line="240" w:lineRule="auto"/>
        <w:ind w:left="1418" w:hanging="567"/>
        <w:contextualSpacing/>
        <w:jc w:val="both"/>
        <w:rPr>
          <w:rFonts w:eastAsia="Calibri" w:cs="Arial"/>
          <w:lang w:val="fr-FR"/>
        </w:rPr>
      </w:pPr>
    </w:p>
    <w:p w:rsidR="004017FE" w:rsidRDefault="007839CD" w:rsidP="00FD0471">
      <w:pPr>
        <w:numPr>
          <w:ilvl w:val="0"/>
          <w:numId w:val="17"/>
        </w:numPr>
        <w:spacing w:after="0" w:line="240" w:lineRule="auto"/>
        <w:ind w:left="1418" w:hanging="567"/>
        <w:contextualSpacing/>
        <w:jc w:val="both"/>
        <w:rPr>
          <w:rFonts w:eastAsia="Calibri" w:cs="Arial"/>
          <w:lang w:val="fr-FR"/>
        </w:rPr>
      </w:pPr>
      <w:r>
        <w:rPr>
          <w:rFonts w:cs="Arial"/>
          <w:lang w:val="fr-FR"/>
        </w:rPr>
        <w:t>i</w:t>
      </w:r>
      <w:r w:rsidR="004017FE">
        <w:rPr>
          <w:rFonts w:cs="Arial"/>
          <w:lang w:val="fr-FR"/>
        </w:rPr>
        <w:t>nforme</w:t>
      </w:r>
      <w:r>
        <w:rPr>
          <w:rFonts w:cs="Arial"/>
          <w:lang w:val="fr-FR"/>
        </w:rPr>
        <w:t>r</w:t>
      </w:r>
      <w:r w:rsidR="004017FE">
        <w:rPr>
          <w:rFonts w:cs="Arial"/>
          <w:lang w:val="fr-FR"/>
        </w:rPr>
        <w:t xml:space="preserve"> le Secrétariat, selon qu’il convient, des besoins en matière d’appui aux fins de l’examen et/ou de l’élaboration de nouvelles lois concernant ce qui précède.</w:t>
      </w:r>
    </w:p>
    <w:p w:rsidR="004017FE" w:rsidRDefault="004017FE" w:rsidP="007839CD">
      <w:pPr>
        <w:spacing w:after="0" w:line="240" w:lineRule="auto"/>
        <w:jc w:val="both"/>
        <w:rPr>
          <w:rFonts w:eastAsia="Calibri" w:cs="Arial"/>
          <w:b/>
          <w:lang w:val="fr-FR"/>
        </w:rPr>
      </w:pPr>
    </w:p>
    <w:p w:rsidR="004017FE" w:rsidRDefault="004017FE" w:rsidP="007839CD">
      <w:pPr>
        <w:spacing w:after="0" w:line="240" w:lineRule="auto"/>
        <w:jc w:val="both"/>
        <w:rPr>
          <w:rFonts w:eastAsia="Times New Roman" w:cs="Arial"/>
          <w:b/>
          <w:lang w:val="fr-FR"/>
        </w:rPr>
      </w:pPr>
      <w:r>
        <w:rPr>
          <w:rFonts w:cs="Arial"/>
          <w:b/>
          <w:lang w:val="fr-FR"/>
        </w:rPr>
        <w:t>Adressée au Conseil scientifique :</w:t>
      </w:r>
    </w:p>
    <w:p w:rsidR="004017FE" w:rsidRPr="004017FE" w:rsidRDefault="004017FE" w:rsidP="007839CD">
      <w:pPr>
        <w:spacing w:after="0" w:line="240" w:lineRule="auto"/>
        <w:jc w:val="both"/>
        <w:rPr>
          <w:rFonts w:eastAsia="Calibri" w:cs="Arial"/>
          <w:lang w:val="fr-FR"/>
        </w:rPr>
      </w:pPr>
    </w:p>
    <w:p w:rsidR="00FD0471" w:rsidRPr="004017FE" w:rsidRDefault="004017FE" w:rsidP="00FD0471">
      <w:pPr>
        <w:spacing w:after="0" w:line="240" w:lineRule="auto"/>
        <w:jc w:val="both"/>
        <w:rPr>
          <w:rFonts w:eastAsia="Times New Roman" w:cs="Arial"/>
          <w:lang w:val="fr-FR"/>
        </w:rPr>
      </w:pPr>
      <w:r>
        <w:rPr>
          <w:rFonts w:cs="Arial"/>
        </w:rPr>
        <w:t>13.BB</w:t>
      </w:r>
      <w:r w:rsidR="00FD0471">
        <w:rPr>
          <w:rFonts w:cs="Arial"/>
          <w:lang w:val="fr-FR"/>
        </w:rPr>
        <w:tab/>
      </w:r>
      <w:r w:rsidR="00FD0471" w:rsidRPr="004017FE">
        <w:rPr>
          <w:rFonts w:cs="Arial"/>
          <w:lang w:val="fr-FR"/>
        </w:rPr>
        <w:t>Le Conseil scientifique :</w:t>
      </w:r>
    </w:p>
    <w:p w:rsidR="004017FE" w:rsidRDefault="004017FE" w:rsidP="007839CD">
      <w:pPr>
        <w:spacing w:after="0" w:line="240" w:lineRule="auto"/>
        <w:jc w:val="both"/>
        <w:rPr>
          <w:rFonts w:eastAsia="Calibri" w:cs="Arial"/>
        </w:rPr>
      </w:pPr>
    </w:p>
    <w:p w:rsidR="004017FE" w:rsidRDefault="00FD0471" w:rsidP="00FD0471">
      <w:pPr>
        <w:numPr>
          <w:ilvl w:val="0"/>
          <w:numId w:val="18"/>
        </w:numPr>
        <w:spacing w:after="0" w:line="240" w:lineRule="auto"/>
        <w:ind w:left="1418" w:hanging="567"/>
        <w:contextualSpacing/>
        <w:jc w:val="both"/>
        <w:rPr>
          <w:rFonts w:eastAsia="Calibri" w:cs="Arial"/>
          <w:lang w:val="fr-FR"/>
        </w:rPr>
      </w:pPr>
      <w:r w:rsidRPr="00FD0471">
        <w:rPr>
          <w:rFonts w:cs="Arial"/>
          <w:lang w:val="fr-FR"/>
        </w:rPr>
        <w:t xml:space="preserve">Examine une synthèse des rapports nationaux, qui sera préparée par le Secrétariat, afin d'examiner les informations fournies </w:t>
      </w:r>
      <w:r w:rsidR="004017FE">
        <w:rPr>
          <w:rFonts w:cs="Arial"/>
          <w:lang w:val="fr-FR"/>
        </w:rPr>
        <w:t>sur les prises accessoires d’espèces chondrichtyennes inscrites à l’Annexe I et fournit des conseils aux Parties sur les mesures à prendre pour ramener les prises accessoires à des niveaux durables.</w:t>
      </w:r>
    </w:p>
    <w:p w:rsidR="004017FE" w:rsidRDefault="004017FE" w:rsidP="007839CD">
      <w:pPr>
        <w:spacing w:after="0" w:line="240" w:lineRule="auto"/>
        <w:jc w:val="both"/>
        <w:rPr>
          <w:rFonts w:eastAsia="Calibri" w:cs="Arial"/>
          <w:b/>
          <w:i/>
          <w:lang w:val="fr-FR"/>
        </w:rPr>
      </w:pPr>
    </w:p>
    <w:p w:rsidR="004017FE" w:rsidRDefault="004017FE" w:rsidP="007839CD">
      <w:pPr>
        <w:spacing w:after="0" w:line="240" w:lineRule="auto"/>
        <w:jc w:val="both"/>
        <w:rPr>
          <w:rFonts w:eastAsia="Times New Roman" w:cs="Arial"/>
          <w:b/>
          <w:lang w:val="fr-FR"/>
        </w:rPr>
      </w:pPr>
      <w:r>
        <w:rPr>
          <w:rFonts w:cs="Arial"/>
          <w:b/>
          <w:lang w:val="fr-FR"/>
        </w:rPr>
        <w:t>Adressée au Secrétariat :</w:t>
      </w:r>
    </w:p>
    <w:p w:rsidR="004017FE" w:rsidRDefault="004017FE" w:rsidP="007839CD">
      <w:pPr>
        <w:spacing w:after="0" w:line="240" w:lineRule="auto"/>
        <w:jc w:val="both"/>
        <w:rPr>
          <w:rFonts w:eastAsia="Calibri" w:cs="Arial"/>
          <w:b/>
          <w:lang w:val="fr-FR"/>
        </w:rPr>
      </w:pPr>
    </w:p>
    <w:p w:rsidR="004017FE" w:rsidRPr="004017FE" w:rsidRDefault="004017FE" w:rsidP="007839CD">
      <w:pPr>
        <w:spacing w:after="0" w:line="240" w:lineRule="auto"/>
        <w:jc w:val="both"/>
        <w:rPr>
          <w:rFonts w:eastAsia="Times New Roman" w:cs="Arial"/>
          <w:lang w:val="fr-FR"/>
        </w:rPr>
      </w:pPr>
      <w:r>
        <w:rPr>
          <w:rFonts w:cs="Arial"/>
          <w:lang w:val="fr-FR"/>
        </w:rPr>
        <w:t>13.CC</w:t>
      </w:r>
      <w:r>
        <w:rPr>
          <w:rFonts w:cs="Arial"/>
          <w:lang w:val="fr-FR"/>
        </w:rPr>
        <w:tab/>
      </w:r>
      <w:r w:rsidRPr="004017FE">
        <w:rPr>
          <w:rFonts w:cs="Arial"/>
          <w:lang w:val="fr-FR"/>
        </w:rPr>
        <w:t>Le Secrétariat :</w:t>
      </w:r>
    </w:p>
    <w:p w:rsidR="004017FE" w:rsidRPr="004017FE" w:rsidRDefault="004017FE" w:rsidP="007839CD">
      <w:pPr>
        <w:spacing w:after="0" w:line="240" w:lineRule="auto"/>
        <w:jc w:val="both"/>
        <w:rPr>
          <w:rFonts w:eastAsia="Calibri" w:cs="Arial"/>
          <w:lang w:val="fr-FR"/>
        </w:rPr>
      </w:pPr>
    </w:p>
    <w:p w:rsidR="00FD0471" w:rsidRDefault="00FD0471" w:rsidP="00FD0471">
      <w:pPr>
        <w:numPr>
          <w:ilvl w:val="0"/>
          <w:numId w:val="19"/>
        </w:numPr>
        <w:spacing w:after="0" w:line="240" w:lineRule="auto"/>
        <w:ind w:left="1418" w:hanging="567"/>
        <w:contextualSpacing/>
        <w:jc w:val="both"/>
        <w:rPr>
          <w:rFonts w:eastAsia="Calibri" w:cs="Arial"/>
          <w:lang w:val="fr-FR"/>
        </w:rPr>
      </w:pPr>
      <w:r w:rsidRPr="00FD0471">
        <w:rPr>
          <w:rFonts w:eastAsia="Calibri" w:cs="Arial"/>
          <w:lang w:val="fr-FR"/>
        </w:rPr>
        <w:t>Produi</w:t>
      </w:r>
      <w:r>
        <w:rPr>
          <w:rFonts w:eastAsia="Calibri" w:cs="Arial"/>
          <w:lang w:val="fr-FR"/>
        </w:rPr>
        <w:t>t</w:t>
      </w:r>
      <w:r w:rsidRPr="00FD0471">
        <w:rPr>
          <w:rFonts w:eastAsia="Calibri" w:cs="Arial"/>
          <w:lang w:val="fr-FR"/>
        </w:rPr>
        <w:t xml:space="preserve"> une synthèse des informations sur les prises accidentelles d'espèces </w:t>
      </w:r>
      <w:r>
        <w:rPr>
          <w:rFonts w:eastAsia="Calibri" w:cs="Arial"/>
          <w:lang w:val="fr-FR"/>
        </w:rPr>
        <w:t>c</w:t>
      </w:r>
      <w:r w:rsidRPr="00FD0471">
        <w:rPr>
          <w:rFonts w:eastAsia="Calibri" w:cs="Arial"/>
          <w:lang w:val="fr-FR"/>
        </w:rPr>
        <w:t>hondrichtyen</w:t>
      </w:r>
      <w:r>
        <w:rPr>
          <w:rFonts w:eastAsia="Calibri" w:cs="Arial"/>
          <w:lang w:val="fr-FR"/>
        </w:rPr>
        <w:t>ne</w:t>
      </w:r>
      <w:r w:rsidRPr="00FD0471">
        <w:rPr>
          <w:rFonts w:eastAsia="Calibri" w:cs="Arial"/>
          <w:lang w:val="fr-FR"/>
        </w:rPr>
        <w:t>s inscrites à l'Annexe I dans les rapports nationaux fournis par les Parties pour présentation au ScC-SC5</w:t>
      </w:r>
      <w:r>
        <w:rPr>
          <w:rFonts w:eastAsia="Calibri" w:cs="Arial"/>
          <w:lang w:val="fr-FR"/>
        </w:rPr>
        <w:t> ;</w:t>
      </w:r>
    </w:p>
    <w:p w:rsidR="00FD0471" w:rsidRPr="00FD0471" w:rsidRDefault="00FD0471" w:rsidP="00FD0471">
      <w:pPr>
        <w:spacing w:after="0" w:line="240" w:lineRule="auto"/>
        <w:ind w:left="1418" w:hanging="567"/>
        <w:contextualSpacing/>
        <w:jc w:val="both"/>
        <w:rPr>
          <w:rFonts w:eastAsia="Calibri" w:cs="Arial"/>
          <w:lang w:val="fr-FR"/>
        </w:rPr>
      </w:pPr>
    </w:p>
    <w:p w:rsidR="004017FE" w:rsidRPr="00FD0471" w:rsidRDefault="004017FE" w:rsidP="00FD0471">
      <w:pPr>
        <w:numPr>
          <w:ilvl w:val="0"/>
          <w:numId w:val="21"/>
        </w:numPr>
        <w:spacing w:after="0" w:line="240" w:lineRule="auto"/>
        <w:ind w:left="1418" w:hanging="567"/>
        <w:contextualSpacing/>
        <w:jc w:val="both"/>
        <w:rPr>
          <w:rFonts w:eastAsia="Calibri" w:cs="Arial"/>
          <w:lang w:val="fr-FR"/>
        </w:rPr>
      </w:pPr>
      <w:r>
        <w:rPr>
          <w:rFonts w:cs="Arial"/>
          <w:lang w:val="fr-FR"/>
        </w:rPr>
        <w:t>Sous réserve de la disponibilité des ressources et dans le contexte du programme législatif national </w:t>
      </w:r>
      <w:r w:rsidR="00FD0471" w:rsidRPr="002B23B4">
        <w:rPr>
          <w:rStyle w:val="FootnoteReference"/>
          <w:rFonts w:cs="Arial"/>
          <w:lang w:val="en-GB"/>
        </w:rPr>
        <w:footnoteReference w:id="3"/>
      </w:r>
    </w:p>
    <w:p w:rsidR="004017FE" w:rsidRDefault="004017FE" w:rsidP="007839CD">
      <w:pPr>
        <w:spacing w:after="0" w:line="240" w:lineRule="auto"/>
        <w:ind w:left="720"/>
        <w:contextualSpacing/>
        <w:jc w:val="both"/>
        <w:rPr>
          <w:rFonts w:eastAsia="Calibri" w:cs="Arial"/>
          <w:lang w:val="fr-FR"/>
        </w:rPr>
      </w:pPr>
    </w:p>
    <w:p w:rsidR="004017FE" w:rsidRDefault="004017FE" w:rsidP="00FD0471">
      <w:pPr>
        <w:numPr>
          <w:ilvl w:val="0"/>
          <w:numId w:val="20"/>
        </w:numPr>
        <w:spacing w:after="0" w:line="240" w:lineRule="auto"/>
        <w:ind w:left="1985" w:hanging="425"/>
        <w:contextualSpacing/>
        <w:jc w:val="both"/>
        <w:rPr>
          <w:rFonts w:eastAsia="Calibri" w:cs="Arial"/>
          <w:lang w:val="fr-FR"/>
        </w:rPr>
      </w:pPr>
      <w:r>
        <w:rPr>
          <w:rFonts w:cs="Arial"/>
          <w:lang w:val="fr-FR"/>
        </w:rPr>
        <w:t>Prépare des directives en matière de législation et des lois types ;</w:t>
      </w:r>
    </w:p>
    <w:p w:rsidR="004017FE" w:rsidRDefault="004017FE" w:rsidP="00FD0471">
      <w:pPr>
        <w:spacing w:after="0" w:line="240" w:lineRule="auto"/>
        <w:ind w:left="1985" w:hanging="425"/>
        <w:contextualSpacing/>
        <w:jc w:val="both"/>
        <w:rPr>
          <w:rFonts w:eastAsia="Calibri" w:cs="Arial"/>
          <w:lang w:val="fr-FR"/>
        </w:rPr>
      </w:pPr>
    </w:p>
    <w:p w:rsidR="004017FE" w:rsidRDefault="004017FE" w:rsidP="00FD0471">
      <w:pPr>
        <w:numPr>
          <w:ilvl w:val="0"/>
          <w:numId w:val="20"/>
        </w:numPr>
        <w:spacing w:after="0" w:line="240" w:lineRule="auto"/>
        <w:ind w:left="1985" w:hanging="425"/>
        <w:contextualSpacing/>
        <w:jc w:val="both"/>
        <w:rPr>
          <w:rFonts w:eastAsia="Calibri" w:cs="Arial"/>
          <w:lang w:val="fr-FR"/>
        </w:rPr>
      </w:pPr>
      <w:r>
        <w:rPr>
          <w:rFonts w:cs="Arial"/>
          <w:lang w:val="fr-FR"/>
        </w:rPr>
        <w:t>Fournit un appui technique pour aider les Parties à élaborer une législation nationale adéquate</w:t>
      </w:r>
    </w:p>
    <w:p w:rsidR="004017FE" w:rsidRDefault="004017FE" w:rsidP="007839CD">
      <w:pPr>
        <w:spacing w:after="0" w:line="240" w:lineRule="auto"/>
        <w:ind w:left="720"/>
        <w:contextualSpacing/>
        <w:rPr>
          <w:rFonts w:eastAsia="Calibri" w:cs="Arial"/>
          <w:lang w:val="fr-FR"/>
        </w:rPr>
      </w:pPr>
    </w:p>
    <w:p w:rsidR="004017FE" w:rsidRDefault="004017FE" w:rsidP="00FD0471">
      <w:pPr>
        <w:spacing w:after="0" w:line="240" w:lineRule="auto"/>
        <w:ind w:left="1418"/>
        <w:jc w:val="both"/>
        <w:rPr>
          <w:rFonts w:eastAsia="Calibri" w:cs="Arial"/>
          <w:lang w:val="fr-FR"/>
        </w:rPr>
      </w:pPr>
      <w:r>
        <w:rPr>
          <w:rFonts w:cs="Arial"/>
          <w:lang w:val="fr-FR"/>
        </w:rPr>
        <w:t>afin d’appuyer la mise en œuvre de l’article III (5) de la Convention concernant l’interdiction de prélever des espèces chondrichtyennes inscrites à l’Annexe I</w:t>
      </w:r>
      <w:r w:rsidR="00FD0471">
        <w:rPr>
          <w:rFonts w:cs="Arial"/>
          <w:lang w:val="fr-FR"/>
        </w:rPr>
        <w:t>.</w:t>
      </w:r>
    </w:p>
    <w:p w:rsidR="004017FE" w:rsidRPr="004017FE" w:rsidRDefault="004017FE" w:rsidP="007839CD">
      <w:pPr>
        <w:pBdr>
          <w:top w:val="single" w:sz="6" w:space="0" w:color="FFFFFF"/>
          <w:left w:val="single" w:sz="6" w:space="0" w:color="FFFFFF"/>
          <w:bottom w:val="single" w:sz="6" w:space="0" w:color="FFFFFF"/>
          <w:right w:val="single" w:sz="6" w:space="0" w:color="FFFFFF"/>
        </w:pBdr>
        <w:spacing w:after="0" w:line="240" w:lineRule="auto"/>
        <w:jc w:val="both"/>
        <w:outlineLvl w:val="1"/>
        <w:rPr>
          <w:rFonts w:eastAsia="Calibri" w:cs="Arial"/>
          <w:caps/>
          <w:lang w:val="fr-FR"/>
        </w:rPr>
      </w:pPr>
    </w:p>
    <w:sectPr w:rsidR="004017FE" w:rsidRPr="004017FE" w:rsidSect="00D71837">
      <w:head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7FE" w:rsidRDefault="004017FE" w:rsidP="00EC2A58">
      <w:pPr>
        <w:spacing w:after="0" w:line="240" w:lineRule="auto"/>
      </w:pPr>
      <w:r>
        <w:separator/>
      </w:r>
    </w:p>
  </w:endnote>
  <w:endnote w:type="continuationSeparator" w:id="0">
    <w:p w:rsidR="004017FE" w:rsidRDefault="004017FE"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4017FE" w:rsidRPr="00EC2A58" w:rsidRDefault="004017F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4017FE" w:rsidRDefault="004017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4017FE" w:rsidRPr="004017FE" w:rsidRDefault="004017FE" w:rsidP="004017F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57091452"/>
      <w:docPartObj>
        <w:docPartGallery w:val="Page Numbers (Bottom of Page)"/>
        <w:docPartUnique/>
      </w:docPartObj>
    </w:sdtPr>
    <w:sdtEndPr>
      <w:rPr>
        <w:noProof/>
      </w:rPr>
    </w:sdtEndPr>
    <w:sdtContent>
      <w:p w:rsidR="005E5A77" w:rsidRPr="005E5A77" w:rsidRDefault="005E5A77" w:rsidP="005E5A77">
        <w:pPr>
          <w:pStyle w:val="Footer"/>
          <w:jc w:val="center"/>
          <w:rPr>
            <w:sz w:val="18"/>
            <w:szCs w:val="18"/>
          </w:rPr>
        </w:pPr>
        <w:r w:rsidRPr="005E5A77">
          <w:rPr>
            <w:sz w:val="18"/>
            <w:szCs w:val="18"/>
          </w:rPr>
          <w:fldChar w:fldCharType="begin"/>
        </w:r>
        <w:r w:rsidRPr="005E5A77">
          <w:rPr>
            <w:sz w:val="18"/>
            <w:szCs w:val="18"/>
          </w:rPr>
          <w:instrText xml:space="preserve"> PAGE   \* MERGEFORMAT </w:instrText>
        </w:r>
        <w:r w:rsidRPr="005E5A77">
          <w:rPr>
            <w:sz w:val="18"/>
            <w:szCs w:val="18"/>
          </w:rPr>
          <w:fldChar w:fldCharType="separate"/>
        </w:r>
        <w:r w:rsidRPr="005E5A77">
          <w:rPr>
            <w:noProof/>
            <w:sz w:val="18"/>
            <w:szCs w:val="18"/>
          </w:rPr>
          <w:t>2</w:t>
        </w:r>
        <w:r w:rsidRPr="005E5A7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7FE" w:rsidRDefault="004017FE" w:rsidP="00EC2A58">
      <w:pPr>
        <w:spacing w:after="0" w:line="240" w:lineRule="auto"/>
      </w:pPr>
      <w:r>
        <w:separator/>
      </w:r>
    </w:p>
  </w:footnote>
  <w:footnote w:type="continuationSeparator" w:id="0">
    <w:p w:rsidR="004017FE" w:rsidRDefault="004017FE" w:rsidP="00EC2A58">
      <w:pPr>
        <w:spacing w:after="0" w:line="240" w:lineRule="auto"/>
      </w:pPr>
      <w:r>
        <w:continuationSeparator/>
      </w:r>
    </w:p>
  </w:footnote>
  <w:footnote w:id="1">
    <w:p w:rsidR="00EE28EB" w:rsidRPr="00405D5E" w:rsidRDefault="00EE28EB" w:rsidP="00EE28EB">
      <w:pPr>
        <w:pStyle w:val="FootnoteText"/>
        <w:rPr>
          <w:sz w:val="18"/>
          <w:szCs w:val="18"/>
          <w:lang w:val="fr-FR"/>
        </w:rPr>
      </w:pPr>
      <w:r w:rsidRPr="00405D5E">
        <w:rPr>
          <w:rStyle w:val="FootnoteReference"/>
          <w:sz w:val="18"/>
          <w:szCs w:val="18"/>
        </w:rPr>
        <w:footnoteRef/>
      </w:r>
      <w:r w:rsidRPr="00405D5E">
        <w:rPr>
          <w:sz w:val="18"/>
          <w:szCs w:val="18"/>
          <w:lang w:val="fr-FR"/>
        </w:rPr>
        <w:t xml:space="preserve"> </w:t>
      </w:r>
      <w:r w:rsidR="00405D5E" w:rsidRPr="00405D5E">
        <w:rPr>
          <w:sz w:val="18"/>
          <w:szCs w:val="18"/>
          <w:lang w:val="fr-FR"/>
        </w:rPr>
        <w:t xml:space="preserve">Les examens par le Conseil scientifique de </w:t>
      </w:r>
      <w:r w:rsidR="00405D5E" w:rsidRPr="00405D5E">
        <w:rPr>
          <w:sz w:val="18"/>
          <w:szCs w:val="18"/>
          <w:lang w:val="fr-FR"/>
        </w:rPr>
        <w:t xml:space="preserve">la </w:t>
      </w:r>
      <w:r w:rsidR="00405D5E" w:rsidRPr="00405D5E">
        <w:rPr>
          <w:sz w:val="18"/>
          <w:szCs w:val="18"/>
          <w:lang w:val="fr-FR"/>
        </w:rPr>
        <w:t xml:space="preserve">Résolution </w:t>
      </w:r>
      <w:r w:rsidR="00405D5E" w:rsidRPr="00405D5E">
        <w:rPr>
          <w:sz w:val="18"/>
          <w:szCs w:val="18"/>
          <w:lang w:val="fr-FR"/>
        </w:rPr>
        <w:t xml:space="preserve">UNEP/CMS/Résolution </w:t>
      </w:r>
      <w:r w:rsidR="00405D5E" w:rsidRPr="00405D5E">
        <w:rPr>
          <w:sz w:val="18"/>
          <w:szCs w:val="18"/>
          <w:lang w:val="fr-FR"/>
        </w:rPr>
        <w:t xml:space="preserve">7.18 (Rév.COP12) </w:t>
      </w:r>
      <w:r w:rsidR="00405D5E" w:rsidRPr="00405D5E">
        <w:rPr>
          <w:sz w:val="18"/>
          <w:szCs w:val="18"/>
          <w:lang w:val="fr-FR"/>
        </w:rPr>
        <w:t xml:space="preserve">Accord </w:t>
      </w:r>
      <w:r w:rsidR="00405D5E" w:rsidRPr="00405D5E">
        <w:rPr>
          <w:sz w:val="18"/>
          <w:szCs w:val="18"/>
          <w:lang w:val="fr-FR"/>
        </w:rPr>
        <w:t xml:space="preserve">sur la conservation du dugong (Dugong dugon) et de la Résolution </w:t>
      </w:r>
      <w:r w:rsidR="00405D5E" w:rsidRPr="00405D5E">
        <w:rPr>
          <w:sz w:val="18"/>
          <w:szCs w:val="18"/>
          <w:lang w:val="fr-FR"/>
        </w:rPr>
        <w:t>UNEP/CMS</w:t>
      </w:r>
      <w:r w:rsidR="00405D5E" w:rsidRPr="00405D5E">
        <w:rPr>
          <w:sz w:val="18"/>
          <w:szCs w:val="18"/>
          <w:lang w:val="fr-FR"/>
        </w:rPr>
        <w:t>/Résolution 6.3 (Rév.COP12) sur la conservation des albatros de l'hémisphère Sud sont traités dans un document séparé.</w:t>
      </w:r>
    </w:p>
  </w:footnote>
  <w:footnote w:id="2">
    <w:p w:rsidR="00FD0471" w:rsidRPr="00FD0471" w:rsidRDefault="007839CD" w:rsidP="00FD0471">
      <w:pPr>
        <w:pStyle w:val="FootnoteText"/>
        <w:jc w:val="both"/>
        <w:rPr>
          <w:lang w:val="fr-FR"/>
        </w:rPr>
      </w:pPr>
      <w:r w:rsidRPr="00FD0471">
        <w:rPr>
          <w:rStyle w:val="FootnoteReference"/>
        </w:rPr>
        <w:footnoteRef/>
      </w:r>
      <w:r w:rsidRPr="00FD0471">
        <w:rPr>
          <w:lang w:val="fr-FR"/>
        </w:rPr>
        <w:t xml:space="preserve"> </w:t>
      </w:r>
      <w:r w:rsidR="00FD0471" w:rsidRPr="00FD0471">
        <w:rPr>
          <w:lang w:val="fr-FR"/>
        </w:rPr>
        <w:t xml:space="preserve">Le Conseil scientifique a recommandé que cette décision soit transférée dans le document </w:t>
      </w:r>
      <w:hyperlink r:id="rId1" w:history="1">
        <w:r w:rsidR="00FD0471" w:rsidRPr="00FD0471">
          <w:rPr>
            <w:rStyle w:val="Hyperlink"/>
            <w:lang w:val="fr-FR"/>
          </w:rPr>
          <w:t>UNEP/CMS/COP13/Doc.22 Mécanisme d'examen et Programme législatif national</w:t>
        </w:r>
      </w:hyperlink>
      <w:r w:rsidR="00FD0471" w:rsidRPr="00FD0471">
        <w:rPr>
          <w:lang w:val="fr-FR"/>
        </w:rPr>
        <w:t>.</w:t>
      </w:r>
    </w:p>
    <w:p w:rsidR="007839CD" w:rsidRPr="00FD0471" w:rsidRDefault="00FD0471" w:rsidP="00FD0471">
      <w:pPr>
        <w:pStyle w:val="FootnoteText"/>
        <w:jc w:val="both"/>
        <w:rPr>
          <w:lang w:val="fr-FR"/>
        </w:rPr>
      </w:pPr>
      <w:r w:rsidRPr="00FD0471">
        <w:rPr>
          <w:lang w:val="fr-FR"/>
        </w:rPr>
        <w:t>Toutefois, ce document avait déjà été publié à l'époque.</w:t>
      </w:r>
    </w:p>
  </w:footnote>
  <w:footnote w:id="3">
    <w:p w:rsidR="00FD0471" w:rsidRPr="00FD0471" w:rsidRDefault="00FD0471" w:rsidP="00FD0471">
      <w:pPr>
        <w:pStyle w:val="FootnoteText"/>
        <w:jc w:val="both"/>
        <w:rPr>
          <w:lang w:val="fr-FR"/>
        </w:rPr>
      </w:pPr>
      <w:r w:rsidRPr="00FD0471">
        <w:rPr>
          <w:rStyle w:val="FootnoteReference"/>
        </w:rPr>
        <w:footnoteRef/>
      </w:r>
      <w:r w:rsidRPr="00FD0471">
        <w:rPr>
          <w:lang w:val="fr-FR"/>
        </w:rPr>
        <w:t xml:space="preserve"> Le Conseil scientifique a recommandé que cette décision soit transférée dans le document </w:t>
      </w:r>
      <w:hyperlink r:id="rId2" w:history="1">
        <w:r w:rsidRPr="00FD0471">
          <w:rPr>
            <w:rStyle w:val="Hyperlink"/>
            <w:lang w:val="fr-FR"/>
          </w:rPr>
          <w:t>UNEP/CMS/COP13/Doc.22 Mécanisme d'examen et Programme législatif national</w:t>
        </w:r>
      </w:hyperlink>
      <w:r w:rsidRPr="00FD0471">
        <w:rPr>
          <w:lang w:val="fr-FR"/>
        </w:rPr>
        <w:t>.</w:t>
      </w:r>
    </w:p>
    <w:p w:rsidR="00FD0471" w:rsidRPr="00FD0471" w:rsidRDefault="00FD0471" w:rsidP="00FD0471">
      <w:pPr>
        <w:pStyle w:val="FootnoteText"/>
        <w:jc w:val="both"/>
        <w:rPr>
          <w:lang w:val="fr-FR"/>
        </w:rPr>
      </w:pPr>
      <w:r w:rsidRPr="00FD0471">
        <w:rPr>
          <w:lang w:val="fr-FR"/>
        </w:rPr>
        <w:t>Toutefois, ce document avait déjà été publié à l'époque</w:t>
      </w:r>
    </w:p>
    <w:p w:rsidR="00FD0471" w:rsidRPr="00FD0471" w:rsidRDefault="00FD0471" w:rsidP="00FD0471">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FE" w:rsidRPr="004017FE" w:rsidRDefault="004017FE" w:rsidP="004017FE">
    <w:pPr>
      <w:pStyle w:val="Header"/>
      <w:pBdr>
        <w:bottom w:val="single" w:sz="4" w:space="1" w:color="auto"/>
      </w:pBdr>
      <w:rPr>
        <w:i/>
        <w:sz w:val="18"/>
        <w:szCs w:val="18"/>
        <w:lang w:val="de-DE"/>
      </w:rPr>
    </w:pPr>
    <w:r w:rsidRPr="004017FE">
      <w:rPr>
        <w:i/>
        <w:sz w:val="18"/>
        <w:szCs w:val="18"/>
        <w:lang w:val="de-DE"/>
      </w:rPr>
      <w:t>UNEP/CMS/COP13/Doc.26.2.7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CD" w:rsidRPr="005E5A77" w:rsidRDefault="007839CD" w:rsidP="005E5A77">
    <w:pPr>
      <w:pStyle w:val="Header"/>
      <w:pBdr>
        <w:bottom w:val="single" w:sz="4" w:space="1" w:color="auto"/>
      </w:pBdr>
      <w:rPr>
        <w:i/>
        <w:sz w:val="18"/>
        <w:szCs w:val="18"/>
        <w:lang w:val="en-GB"/>
      </w:rPr>
    </w:pPr>
    <w:r w:rsidRPr="005E5A77">
      <w:rPr>
        <w:i/>
        <w:sz w:val="18"/>
        <w:szCs w:val="18"/>
        <w:lang w:val="en-GB"/>
      </w:rPr>
      <w:t>UNEP/CMS/COP13/Doc.26.2.7</w:t>
    </w:r>
    <w:r w:rsidRPr="005E5A77">
      <w:rPr>
        <w:i/>
        <w:sz w:val="18"/>
        <w:szCs w:val="18"/>
        <w:lang w:val="en-GB"/>
      </w:rPr>
      <w:t>/</w:t>
    </w:r>
    <w:r>
      <w:rPr>
        <w:i/>
        <w:sz w:val="18"/>
        <w:szCs w:val="18"/>
        <w:lang w:val="en-GB"/>
      </w:rPr>
      <w:t>A</w:t>
    </w:r>
    <w:r w:rsidRPr="005E5A77">
      <w:rPr>
        <w:i/>
        <w:sz w:val="18"/>
        <w:szCs w:val="18"/>
        <w:lang w:val="en-GB"/>
      </w:rPr>
      <w:t>n</w:t>
    </w:r>
    <w:r>
      <w:rPr>
        <w:i/>
        <w:sz w:val="18"/>
        <w:szCs w:val="18"/>
        <w:lang w:val="en-GB"/>
      </w:rPr>
      <w:t>nexe 3</w:t>
    </w:r>
  </w:p>
  <w:p w:rsidR="007839CD" w:rsidRDefault="0078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FE" w:rsidRPr="004017FE" w:rsidRDefault="004017FE" w:rsidP="004017FE">
    <w:pPr>
      <w:pStyle w:val="Header"/>
      <w:pBdr>
        <w:bottom w:val="single" w:sz="4" w:space="1" w:color="auto"/>
      </w:pBdr>
      <w:jc w:val="right"/>
      <w:rPr>
        <w:i/>
        <w:sz w:val="18"/>
        <w:szCs w:val="18"/>
        <w:lang w:val="de-DE"/>
      </w:rPr>
    </w:pPr>
    <w:r w:rsidRPr="004017FE">
      <w:rPr>
        <w:i/>
        <w:sz w:val="18"/>
        <w:szCs w:val="18"/>
        <w:lang w:val="de-DE"/>
      </w:rPr>
      <w:t>UNEP/CMS/COP13/Doc.26.2.7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FE" w:rsidRPr="00EC2A58" w:rsidRDefault="004017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4017FE" w:rsidRDefault="00401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7" w:rsidRPr="004017FE" w:rsidRDefault="005E5A77" w:rsidP="004017FE">
    <w:pPr>
      <w:pStyle w:val="Header"/>
      <w:pBdr>
        <w:bottom w:val="single" w:sz="4" w:space="1" w:color="auto"/>
      </w:pBdr>
      <w:rPr>
        <w:i/>
        <w:sz w:val="18"/>
        <w:szCs w:val="18"/>
        <w:lang w:val="de-DE"/>
      </w:rPr>
    </w:pPr>
    <w:r w:rsidRPr="004017FE">
      <w:rPr>
        <w:i/>
        <w:sz w:val="18"/>
        <w:szCs w:val="18"/>
        <w:lang w:val="de-DE"/>
      </w:rPr>
      <w:t>UNEP/CMS/COP13/Doc.26.2.7</w:t>
    </w:r>
    <w:r>
      <w:rPr>
        <w:i/>
        <w:sz w:val="18"/>
        <w:szCs w:val="18"/>
        <w:lang w:val="de-DE"/>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7" w:rsidRPr="004017FE" w:rsidRDefault="005E5A77" w:rsidP="004017FE">
    <w:pPr>
      <w:pStyle w:val="Header"/>
      <w:pBdr>
        <w:bottom w:val="single" w:sz="4" w:space="1" w:color="auto"/>
      </w:pBdr>
      <w:jc w:val="right"/>
      <w:rPr>
        <w:i/>
        <w:sz w:val="18"/>
        <w:szCs w:val="18"/>
        <w:lang w:val="de-DE"/>
      </w:rPr>
    </w:pPr>
    <w:r w:rsidRPr="004017FE">
      <w:rPr>
        <w:i/>
        <w:sz w:val="18"/>
        <w:szCs w:val="18"/>
        <w:lang w:val="de-DE"/>
      </w:rPr>
      <w:t>UNEP/CMS/COP13/Doc.26.2.7</w:t>
    </w:r>
    <w:r>
      <w:rPr>
        <w:i/>
        <w:sz w:val="18"/>
        <w:szCs w:val="18"/>
        <w:lang w:val="de-DE"/>
      </w:rP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7" w:rsidRPr="005E5A77" w:rsidRDefault="005E5A77" w:rsidP="005E5A77">
    <w:pPr>
      <w:pStyle w:val="Header"/>
      <w:pBdr>
        <w:bottom w:val="single" w:sz="4" w:space="1" w:color="auto"/>
      </w:pBdr>
      <w:rPr>
        <w:i/>
        <w:sz w:val="18"/>
        <w:szCs w:val="18"/>
        <w:lang w:val="en-GB"/>
      </w:rPr>
    </w:pPr>
    <w:r w:rsidRPr="005E5A77">
      <w:rPr>
        <w:i/>
        <w:sz w:val="18"/>
        <w:szCs w:val="18"/>
        <w:lang w:val="en-GB"/>
      </w:rPr>
      <w:t>UNEP/CMS/COP13/Doc.26.2.7</w:t>
    </w:r>
    <w:r w:rsidRPr="005E5A77">
      <w:rPr>
        <w:i/>
        <w:sz w:val="18"/>
        <w:szCs w:val="18"/>
        <w:lang w:val="en-GB"/>
      </w:rPr>
      <w:t>/</w:t>
    </w:r>
    <w:r w:rsidR="00CE2BE4">
      <w:rPr>
        <w:i/>
        <w:sz w:val="18"/>
        <w:szCs w:val="18"/>
        <w:lang w:val="en-GB"/>
      </w:rPr>
      <w:t>A</w:t>
    </w:r>
    <w:r w:rsidRPr="005E5A77">
      <w:rPr>
        <w:i/>
        <w:sz w:val="18"/>
        <w:szCs w:val="18"/>
        <w:lang w:val="en-GB"/>
      </w:rPr>
      <w:t>n</w:t>
    </w:r>
    <w:r>
      <w:rPr>
        <w:i/>
        <w:sz w:val="18"/>
        <w:szCs w:val="18"/>
        <w:lang w:val="en-GB"/>
      </w:rPr>
      <w:t>nexe 1</w:t>
    </w:r>
  </w:p>
  <w:p w:rsidR="004017FE" w:rsidRDefault="004017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CD" w:rsidRPr="004017FE" w:rsidRDefault="007839CD" w:rsidP="004017FE">
    <w:pPr>
      <w:pStyle w:val="Header"/>
      <w:pBdr>
        <w:bottom w:val="single" w:sz="4" w:space="1" w:color="auto"/>
      </w:pBdr>
      <w:rPr>
        <w:i/>
        <w:sz w:val="18"/>
        <w:szCs w:val="18"/>
        <w:lang w:val="de-DE"/>
      </w:rPr>
    </w:pPr>
    <w:r w:rsidRPr="004017FE">
      <w:rPr>
        <w:i/>
        <w:sz w:val="18"/>
        <w:szCs w:val="18"/>
        <w:lang w:val="de-DE"/>
      </w:rPr>
      <w:t>UNEP/CMS/COP13/Doc.26.2.7</w:t>
    </w:r>
    <w:r>
      <w:rPr>
        <w:i/>
        <w:sz w:val="18"/>
        <w:szCs w:val="18"/>
        <w:lang w:val="de-DE"/>
      </w:rPr>
      <w:t>/Annexe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CD" w:rsidRPr="004017FE" w:rsidRDefault="007839CD" w:rsidP="004017FE">
    <w:pPr>
      <w:pStyle w:val="Header"/>
      <w:pBdr>
        <w:bottom w:val="single" w:sz="4" w:space="1" w:color="auto"/>
      </w:pBdr>
      <w:jc w:val="right"/>
      <w:rPr>
        <w:i/>
        <w:sz w:val="18"/>
        <w:szCs w:val="18"/>
        <w:lang w:val="de-DE"/>
      </w:rPr>
    </w:pPr>
    <w:r w:rsidRPr="004017FE">
      <w:rPr>
        <w:i/>
        <w:sz w:val="18"/>
        <w:szCs w:val="18"/>
        <w:lang w:val="de-DE"/>
      </w:rPr>
      <w:t>UNEP/CMS/COP13/Doc.26.2.7</w:t>
    </w:r>
    <w:r>
      <w:rPr>
        <w:i/>
        <w:sz w:val="18"/>
        <w:szCs w:val="18"/>
        <w:lang w:val="de-DE"/>
      </w:rPr>
      <w:t>/Annexe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E4" w:rsidRPr="005E5A77" w:rsidRDefault="00CE2BE4" w:rsidP="005E5A77">
    <w:pPr>
      <w:pStyle w:val="Header"/>
      <w:pBdr>
        <w:bottom w:val="single" w:sz="4" w:space="1" w:color="auto"/>
      </w:pBdr>
      <w:rPr>
        <w:i/>
        <w:sz w:val="18"/>
        <w:szCs w:val="18"/>
        <w:lang w:val="en-GB"/>
      </w:rPr>
    </w:pPr>
    <w:r w:rsidRPr="005E5A77">
      <w:rPr>
        <w:i/>
        <w:sz w:val="18"/>
        <w:szCs w:val="18"/>
        <w:lang w:val="en-GB"/>
      </w:rPr>
      <w:t>UNEP/CMS/COP13/Doc.26.2.7</w:t>
    </w:r>
    <w:r w:rsidRPr="005E5A77">
      <w:rPr>
        <w:i/>
        <w:sz w:val="18"/>
        <w:szCs w:val="18"/>
        <w:lang w:val="en-GB"/>
      </w:rPr>
      <w:t>/</w:t>
    </w:r>
    <w:r>
      <w:rPr>
        <w:i/>
        <w:sz w:val="18"/>
        <w:szCs w:val="18"/>
        <w:lang w:val="en-GB"/>
      </w:rPr>
      <w:t>A</w:t>
    </w:r>
    <w:r w:rsidRPr="005E5A77">
      <w:rPr>
        <w:i/>
        <w:sz w:val="18"/>
        <w:szCs w:val="18"/>
        <w:lang w:val="en-GB"/>
      </w:rPr>
      <w:t>n</w:t>
    </w:r>
    <w:r>
      <w:rPr>
        <w:i/>
        <w:sz w:val="18"/>
        <w:szCs w:val="18"/>
        <w:lang w:val="en-GB"/>
      </w:rPr>
      <w:t>nexe 2</w:t>
    </w:r>
  </w:p>
  <w:p w:rsidR="00CE2BE4" w:rsidRDefault="00CE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9AF"/>
    <w:multiLevelType w:val="multilevel"/>
    <w:tmpl w:val="09D47EE8"/>
    <w:lvl w:ilvl="0">
      <w:start w:val="16"/>
      <w:numFmt w:val="decimal"/>
      <w:lvlText w:val="%1."/>
      <w:lvlJc w:val="left"/>
      <w:pPr>
        <w:ind w:left="720" w:hanging="360"/>
      </w:pPr>
      <w:rPr>
        <w:rFonts w:ascii="Arial" w:hAnsi="Arial" w:cs="Times New Roman" w:hint="default"/>
        <w:sz w:val="22"/>
      </w:rPr>
    </w:lvl>
    <w:lvl w:ilvl="1">
      <w:start w:val="4"/>
      <w:numFmt w:val="decimal"/>
      <w:isLgl/>
      <w:lvlText w:val="%1.%2."/>
      <w:lvlJc w:val="left"/>
      <w:pPr>
        <w:ind w:left="1080" w:hanging="720"/>
      </w:pPr>
      <w:rPr>
        <w:i/>
      </w:rPr>
    </w:lvl>
    <w:lvl w:ilvl="2">
      <w:start w:val="1"/>
      <w:numFmt w:val="decimal"/>
      <w:isLgl/>
      <w:lvlText w:val="%1.%2.%3."/>
      <w:lvlJc w:val="left"/>
      <w:pPr>
        <w:ind w:left="1080" w:hanging="720"/>
      </w:pPr>
      <w:rPr>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rPr>
        <w:i/>
      </w:rPr>
    </w:lvl>
    <w:lvl w:ilvl="5">
      <w:start w:val="1"/>
      <w:numFmt w:val="decimal"/>
      <w:isLgl/>
      <w:lvlText w:val="%1.%2.%3.%4.%5.%6."/>
      <w:lvlJc w:val="left"/>
      <w:pPr>
        <w:ind w:left="1800" w:hanging="1440"/>
      </w:pPr>
      <w:rPr>
        <w:i/>
      </w:rPr>
    </w:lvl>
    <w:lvl w:ilvl="6">
      <w:start w:val="1"/>
      <w:numFmt w:val="decimal"/>
      <w:isLgl/>
      <w:lvlText w:val="%1.%2.%3.%4.%5.%6.%7."/>
      <w:lvlJc w:val="left"/>
      <w:pPr>
        <w:ind w:left="1800" w:hanging="1440"/>
      </w:pPr>
      <w:rPr>
        <w:i/>
      </w:rPr>
    </w:lvl>
    <w:lvl w:ilvl="7">
      <w:start w:val="1"/>
      <w:numFmt w:val="decimal"/>
      <w:isLgl/>
      <w:lvlText w:val="%1.%2.%3.%4.%5.%6.%7.%8."/>
      <w:lvlJc w:val="left"/>
      <w:pPr>
        <w:ind w:left="2160" w:hanging="1800"/>
      </w:pPr>
      <w:rPr>
        <w:i/>
      </w:rPr>
    </w:lvl>
    <w:lvl w:ilvl="8">
      <w:start w:val="1"/>
      <w:numFmt w:val="decimal"/>
      <w:isLgl/>
      <w:lvlText w:val="%1.%2.%3.%4.%5.%6.%7.%8.%9."/>
      <w:lvlJc w:val="left"/>
      <w:pPr>
        <w:ind w:left="2160" w:hanging="1800"/>
      </w:pPr>
      <w:rPr>
        <w:i/>
      </w:rPr>
    </w:lvl>
  </w:abstractNum>
  <w:abstractNum w:abstractNumId="1" w15:restartNumberingAfterBreak="0">
    <w:nsid w:val="21DC28CA"/>
    <w:multiLevelType w:val="hybridMultilevel"/>
    <w:tmpl w:val="A2307962"/>
    <w:lvl w:ilvl="0" w:tplc="1DDAA8A4">
      <w:start w:val="1"/>
      <w:numFmt w:val="decimal"/>
      <w:lvlText w:val="%1."/>
      <w:lvlJc w:val="left"/>
      <w:pPr>
        <w:ind w:left="504" w:hanging="504"/>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4E0436"/>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6312DF5"/>
    <w:multiLevelType w:val="multilevel"/>
    <w:tmpl w:val="0E1EE730"/>
    <w:lvl w:ilvl="0">
      <w:start w:val="1"/>
      <w:numFmt w:val="decimal"/>
      <w:lvlText w:val="%1."/>
      <w:lvlJc w:val="left"/>
      <w:pPr>
        <w:ind w:left="720" w:hanging="360"/>
      </w:pPr>
      <w:rPr>
        <w:rFonts w:ascii="Arial" w:hAnsi="Arial" w:cs="Times New Roman" w:hint="default"/>
        <w:sz w:val="22"/>
        <w:lang w:val="en-US"/>
      </w:rPr>
    </w:lvl>
    <w:lvl w:ilvl="1">
      <w:start w:val="4"/>
      <w:numFmt w:val="decimal"/>
      <w:isLgl/>
      <w:lvlText w:val="%1.%2."/>
      <w:lvlJc w:val="left"/>
      <w:pPr>
        <w:ind w:left="1080" w:hanging="720"/>
      </w:pPr>
      <w:rPr>
        <w:i/>
      </w:rPr>
    </w:lvl>
    <w:lvl w:ilvl="2">
      <w:start w:val="1"/>
      <w:numFmt w:val="decimal"/>
      <w:isLgl/>
      <w:lvlText w:val="%1.%2.%3."/>
      <w:lvlJc w:val="left"/>
      <w:pPr>
        <w:ind w:left="1080" w:hanging="720"/>
      </w:pPr>
      <w:rPr>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rPr>
        <w:i/>
      </w:rPr>
    </w:lvl>
    <w:lvl w:ilvl="5">
      <w:start w:val="1"/>
      <w:numFmt w:val="decimal"/>
      <w:isLgl/>
      <w:lvlText w:val="%1.%2.%3.%4.%5.%6."/>
      <w:lvlJc w:val="left"/>
      <w:pPr>
        <w:ind w:left="1800" w:hanging="1440"/>
      </w:pPr>
      <w:rPr>
        <w:i/>
      </w:rPr>
    </w:lvl>
    <w:lvl w:ilvl="6">
      <w:start w:val="1"/>
      <w:numFmt w:val="decimal"/>
      <w:isLgl/>
      <w:lvlText w:val="%1.%2.%3.%4.%5.%6.%7."/>
      <w:lvlJc w:val="left"/>
      <w:pPr>
        <w:ind w:left="1800" w:hanging="1440"/>
      </w:pPr>
      <w:rPr>
        <w:i/>
      </w:rPr>
    </w:lvl>
    <w:lvl w:ilvl="7">
      <w:start w:val="1"/>
      <w:numFmt w:val="decimal"/>
      <w:isLgl/>
      <w:lvlText w:val="%1.%2.%3.%4.%5.%6.%7.%8."/>
      <w:lvlJc w:val="left"/>
      <w:pPr>
        <w:ind w:left="2160" w:hanging="1800"/>
      </w:pPr>
      <w:rPr>
        <w:i/>
      </w:rPr>
    </w:lvl>
    <w:lvl w:ilvl="8">
      <w:start w:val="1"/>
      <w:numFmt w:val="decimal"/>
      <w:isLgl/>
      <w:lvlText w:val="%1.%2.%3.%4.%5.%6.%7.%8.%9."/>
      <w:lvlJc w:val="left"/>
      <w:pPr>
        <w:ind w:left="2160" w:hanging="1800"/>
      </w:pPr>
      <w:rPr>
        <w:i/>
      </w:rPr>
    </w:lvl>
  </w:abstractNum>
  <w:abstractNum w:abstractNumId="8" w15:restartNumberingAfterBreak="0">
    <w:nsid w:val="3A853DF3"/>
    <w:multiLevelType w:val="hybridMultilevel"/>
    <w:tmpl w:val="391E9034"/>
    <w:lvl w:ilvl="0" w:tplc="0DE0B3E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3D0A752A"/>
    <w:multiLevelType w:val="hybridMultilevel"/>
    <w:tmpl w:val="425C1292"/>
    <w:lvl w:ilvl="0" w:tplc="FFE6D808">
      <w:start w:val="1"/>
      <w:numFmt w:val="decimal"/>
      <w:lvlText w:val="%1."/>
      <w:lvlJc w:val="left"/>
      <w:pPr>
        <w:ind w:left="720"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1E956DB"/>
    <w:multiLevelType w:val="multilevel"/>
    <w:tmpl w:val="AF34CD62"/>
    <w:lvl w:ilvl="0">
      <w:start w:val="1"/>
      <w:numFmt w:val="lowerRoman"/>
      <w:lvlText w:val="%1."/>
      <w:lvlJc w:val="righ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BAD6239"/>
    <w:multiLevelType w:val="hybridMultilevel"/>
    <w:tmpl w:val="29AC2AA4"/>
    <w:lvl w:ilvl="0" w:tplc="2A0C60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35038C7"/>
    <w:multiLevelType w:val="hybridMultilevel"/>
    <w:tmpl w:val="EA544154"/>
    <w:lvl w:ilvl="0" w:tplc="0409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6F113CE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6F560816"/>
    <w:multiLevelType w:val="hybridMultilevel"/>
    <w:tmpl w:val="636A36A0"/>
    <w:lvl w:ilvl="0" w:tplc="DA72FAC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13"/>
  </w:num>
  <w:num w:numId="5">
    <w:abstractNumId w:val="2"/>
  </w:num>
  <w:num w:numId="6">
    <w:abstractNumId w:val="19"/>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34AA0"/>
    <w:rsid w:val="000B03CC"/>
    <w:rsid w:val="000F2EB4"/>
    <w:rsid w:val="0012615F"/>
    <w:rsid w:val="001840E1"/>
    <w:rsid w:val="001D429A"/>
    <w:rsid w:val="0026594E"/>
    <w:rsid w:val="00293B2E"/>
    <w:rsid w:val="004017FE"/>
    <w:rsid w:val="00405D5E"/>
    <w:rsid w:val="004D2819"/>
    <w:rsid w:val="005330F7"/>
    <w:rsid w:val="00563598"/>
    <w:rsid w:val="005E5A77"/>
    <w:rsid w:val="00705C1D"/>
    <w:rsid w:val="007839CD"/>
    <w:rsid w:val="00853DCA"/>
    <w:rsid w:val="00870459"/>
    <w:rsid w:val="00882CD0"/>
    <w:rsid w:val="00896FBB"/>
    <w:rsid w:val="008C067D"/>
    <w:rsid w:val="00A02506"/>
    <w:rsid w:val="00AB773C"/>
    <w:rsid w:val="00AF4450"/>
    <w:rsid w:val="00C771C2"/>
    <w:rsid w:val="00C87CA3"/>
    <w:rsid w:val="00CE2BE4"/>
    <w:rsid w:val="00D67AF1"/>
    <w:rsid w:val="00D71837"/>
    <w:rsid w:val="00E07D92"/>
    <w:rsid w:val="00EC2A58"/>
    <w:rsid w:val="00EE28EB"/>
    <w:rsid w:val="00EF7FC8"/>
    <w:rsid w:val="00FD0471"/>
    <w:rsid w:val="00FE40EB"/>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CD68"/>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unhideWhenUsed/>
    <w:rsid w:val="00EE28EB"/>
    <w:pPr>
      <w:spacing w:after="0" w:line="240" w:lineRule="auto"/>
    </w:pPr>
    <w:rPr>
      <w:sz w:val="20"/>
      <w:szCs w:val="20"/>
    </w:rPr>
  </w:style>
  <w:style w:type="character" w:customStyle="1" w:styleId="FootnoteTextChar">
    <w:name w:val="Footnote Text Char"/>
    <w:basedOn w:val="DefaultParagraphFont"/>
    <w:link w:val="FootnoteText"/>
    <w:uiPriority w:val="99"/>
    <w:rsid w:val="00EE28EB"/>
    <w:rPr>
      <w:sz w:val="20"/>
      <w:szCs w:val="20"/>
    </w:rPr>
  </w:style>
  <w:style w:type="character" w:styleId="FootnoteReference">
    <w:name w:val="footnote reference"/>
    <w:basedOn w:val="DefaultParagraphFont"/>
    <w:uiPriority w:val="99"/>
    <w:semiHidden/>
    <w:unhideWhenUsed/>
    <w:rsid w:val="00EE28EB"/>
    <w:rPr>
      <w:vertAlign w:val="superscript"/>
    </w:rPr>
  </w:style>
  <w:style w:type="character" w:styleId="Hyperlink">
    <w:name w:val="Hyperlink"/>
    <w:basedOn w:val="DefaultParagraphFont"/>
    <w:uiPriority w:val="99"/>
    <w:unhideWhenUsed/>
    <w:rsid w:val="007839CD"/>
    <w:rPr>
      <w:color w:val="0000FF"/>
      <w:u w:val="single"/>
    </w:rPr>
  </w:style>
  <w:style w:type="character" w:styleId="UnresolvedMention">
    <w:name w:val="Unresolved Mention"/>
    <w:basedOn w:val="DefaultParagraphFont"/>
    <w:uiPriority w:val="99"/>
    <w:semiHidden/>
    <w:unhideWhenUsed/>
    <w:rsid w:val="00FD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6435">
      <w:bodyDiv w:val="1"/>
      <w:marLeft w:val="0"/>
      <w:marRight w:val="0"/>
      <w:marTop w:val="0"/>
      <w:marBottom w:val="0"/>
      <w:divBdr>
        <w:top w:val="none" w:sz="0" w:space="0" w:color="auto"/>
        <w:left w:val="none" w:sz="0" w:space="0" w:color="auto"/>
        <w:bottom w:val="none" w:sz="0" w:space="0" w:color="auto"/>
        <w:right w:val="none" w:sz="0" w:space="0" w:color="auto"/>
      </w:divBdr>
    </w:div>
    <w:div w:id="1103770994">
      <w:bodyDiv w:val="1"/>
      <w:marLeft w:val="0"/>
      <w:marRight w:val="0"/>
      <w:marTop w:val="0"/>
      <w:marBottom w:val="0"/>
      <w:divBdr>
        <w:top w:val="none" w:sz="0" w:space="0" w:color="auto"/>
        <w:left w:val="none" w:sz="0" w:space="0" w:color="auto"/>
        <w:bottom w:val="none" w:sz="0" w:space="0" w:color="auto"/>
        <w:right w:val="none" w:sz="0" w:space="0" w:color="auto"/>
      </w:divBdr>
    </w:div>
    <w:div w:id="1145048780">
      <w:bodyDiv w:val="1"/>
      <w:marLeft w:val="0"/>
      <w:marRight w:val="0"/>
      <w:marTop w:val="0"/>
      <w:marBottom w:val="0"/>
      <w:divBdr>
        <w:top w:val="none" w:sz="0" w:space="0" w:color="auto"/>
        <w:left w:val="none" w:sz="0" w:space="0" w:color="auto"/>
        <w:bottom w:val="none" w:sz="0" w:space="0" w:color="auto"/>
        <w:right w:val="none" w:sz="0" w:space="0" w:color="auto"/>
      </w:divBdr>
    </w:div>
    <w:div w:id="1215704079">
      <w:bodyDiv w:val="1"/>
      <w:marLeft w:val="0"/>
      <w:marRight w:val="0"/>
      <w:marTop w:val="0"/>
      <w:marBottom w:val="0"/>
      <w:divBdr>
        <w:top w:val="none" w:sz="0" w:space="0" w:color="auto"/>
        <w:left w:val="none" w:sz="0" w:space="0" w:color="auto"/>
        <w:bottom w:val="none" w:sz="0" w:space="0" w:color="auto"/>
        <w:right w:val="none" w:sz="0" w:space="0" w:color="auto"/>
      </w:divBdr>
    </w:div>
    <w:div w:id="1302340987">
      <w:bodyDiv w:val="1"/>
      <w:marLeft w:val="0"/>
      <w:marRight w:val="0"/>
      <w:marTop w:val="0"/>
      <w:marBottom w:val="0"/>
      <w:divBdr>
        <w:top w:val="none" w:sz="0" w:space="0" w:color="auto"/>
        <w:left w:val="none" w:sz="0" w:space="0" w:color="auto"/>
        <w:bottom w:val="none" w:sz="0" w:space="0" w:color="auto"/>
        <w:right w:val="none" w:sz="0" w:space="0" w:color="auto"/>
      </w:divBdr>
    </w:div>
    <w:div w:id="1355035275">
      <w:bodyDiv w:val="1"/>
      <w:marLeft w:val="0"/>
      <w:marRight w:val="0"/>
      <w:marTop w:val="0"/>
      <w:marBottom w:val="0"/>
      <w:divBdr>
        <w:top w:val="none" w:sz="0" w:space="0" w:color="auto"/>
        <w:left w:val="none" w:sz="0" w:space="0" w:color="auto"/>
        <w:bottom w:val="none" w:sz="0" w:space="0" w:color="auto"/>
        <w:right w:val="none" w:sz="0" w:space="0" w:color="auto"/>
      </w:divBdr>
    </w:div>
    <w:div w:id="1613127871">
      <w:bodyDiv w:val="1"/>
      <w:marLeft w:val="0"/>
      <w:marRight w:val="0"/>
      <w:marTop w:val="0"/>
      <w:marBottom w:val="0"/>
      <w:divBdr>
        <w:top w:val="none" w:sz="0" w:space="0" w:color="auto"/>
        <w:left w:val="none" w:sz="0" w:space="0" w:color="auto"/>
        <w:bottom w:val="none" w:sz="0" w:space="0" w:color="auto"/>
        <w:right w:val="none" w:sz="0" w:space="0" w:color="auto"/>
      </w:divBdr>
    </w:div>
    <w:div w:id="20837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sites/default/files/document/cms_cop13_doc.22_mecanisme-d%27examen-et-legislation_f.pdf" TargetMode="External"/><Relationship Id="rId1" Type="http://schemas.openxmlformats.org/officeDocument/2006/relationships/hyperlink" Target="https://www.cms.int/sites/default/files/document/cms_cop13_doc.22_mecanisme-d%27examen-et-legislation_f.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C503-FA53-4052-9573-B0BB069B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2019-12-02T09:04:00Z</dcterms:created>
  <dcterms:modified xsi:type="dcterms:W3CDTF">2019-12-02T09:04:00Z</dcterms:modified>
</cp:coreProperties>
</file>