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60F5" w14:textId="77777777" w:rsidR="00D82C56" w:rsidRDefault="00D82C56">
      <w:pPr>
        <w:rPr>
          <w:rFonts w:ascii="Arial" w:hAnsi="Arial" w:cs="Arial"/>
          <w:sz w:val="22"/>
          <w:szCs w:val="22"/>
        </w:rPr>
      </w:pPr>
      <w:bookmarkStart w:id="0" w:name="_GoBack"/>
      <w:bookmarkEnd w:id="0"/>
    </w:p>
    <w:p w14:paraId="0657525A" w14:textId="77777777" w:rsidR="00E829C9" w:rsidRDefault="00E829C9" w:rsidP="00E829C9">
      <w:pPr>
        <w:jc w:val="center"/>
        <w:rPr>
          <w:rFonts w:ascii="Arial" w:hAnsi="Arial" w:cs="Arial"/>
          <w:b/>
          <w:sz w:val="22"/>
          <w:szCs w:val="22"/>
        </w:rPr>
      </w:pPr>
    </w:p>
    <w:p w14:paraId="398EE1EC" w14:textId="77777777" w:rsidR="00BC2265" w:rsidRPr="00BC2265" w:rsidRDefault="00BC2265" w:rsidP="00BC2265">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es-ES" w:eastAsia="es-ES"/>
        </w:rPr>
      </w:pPr>
      <w:r w:rsidRPr="00BC2265">
        <w:rPr>
          <w:rFonts w:ascii="Arial" w:hAnsi="Arial" w:cs="Arial"/>
          <w:b/>
          <w:bCs/>
          <w:caps/>
          <w:sz w:val="22"/>
          <w:szCs w:val="22"/>
          <w:lang w:val="es-ES" w:eastAsia="es-ES"/>
        </w:rPr>
        <w:t xml:space="preserve">TRATAMIENTO DEL USO NO SOSTENIBLE DE LA CARNE DE ESPECIES </w:t>
      </w:r>
    </w:p>
    <w:p w14:paraId="397DF699" w14:textId="77777777" w:rsidR="00BC2265" w:rsidRPr="00BC2265" w:rsidRDefault="00BC2265" w:rsidP="00BC2265">
      <w:pPr>
        <w:ind w:left="567"/>
        <w:contextualSpacing/>
        <w:jc w:val="center"/>
        <w:rPr>
          <w:rFonts w:ascii="Arial" w:hAnsi="Arial" w:cs="Arial"/>
          <w:b/>
          <w:bCs/>
          <w:sz w:val="22"/>
          <w:szCs w:val="22"/>
          <w:lang w:val="es-ES" w:eastAsia="es-ES"/>
        </w:rPr>
      </w:pPr>
      <w:r w:rsidRPr="00BC2265">
        <w:rPr>
          <w:rFonts w:ascii="Arial" w:hAnsi="Arial" w:cs="Arial"/>
          <w:b/>
          <w:bCs/>
          <w:sz w:val="22"/>
          <w:szCs w:val="22"/>
          <w:lang w:val="es-ES" w:eastAsia="es-ES"/>
        </w:rPr>
        <w:t>MIGRATORIAS DE ANIMALES SALVAJES</w:t>
      </w:r>
    </w:p>
    <w:p w14:paraId="77BA811D" w14:textId="7D364691"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BC2265">
        <w:rPr>
          <w:rFonts w:ascii="Arial" w:hAnsi="Arial" w:cs="Arial"/>
          <w:sz w:val="22"/>
          <w:szCs w:val="22"/>
          <w:lang w:val="es-ES"/>
        </w:rPr>
        <w:t>26.4.3</w:t>
      </w:r>
    </w:p>
    <w:p w14:paraId="48F82B79" w14:textId="77777777" w:rsidR="00D82C56" w:rsidRPr="0058757D" w:rsidRDefault="00D82C56" w:rsidP="00E829C9">
      <w:pPr>
        <w:jc w:val="center"/>
        <w:rPr>
          <w:rFonts w:ascii="Arial" w:hAnsi="Arial" w:cs="Arial"/>
          <w:sz w:val="22"/>
          <w:szCs w:val="22"/>
          <w:lang w:val="es-ES"/>
        </w:rPr>
      </w:pPr>
    </w:p>
    <w:p w14:paraId="73A89732" w14:textId="294B287D"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D56B08">
        <w:rPr>
          <w:rFonts w:ascii="Arial" w:hAnsi="Arial" w:cs="Arial"/>
          <w:i/>
          <w:sz w:val="22"/>
          <w:szCs w:val="22"/>
          <w:lang w:val="es-ES"/>
        </w:rPr>
        <w:t xml:space="preserve">el Comité </w:t>
      </w:r>
      <w:r w:rsidR="002455EC">
        <w:rPr>
          <w:rFonts w:ascii="Arial" w:hAnsi="Arial" w:cs="Arial"/>
          <w:i/>
          <w:sz w:val="22"/>
          <w:szCs w:val="22"/>
          <w:lang w:val="es-ES"/>
        </w:rPr>
        <w:t>Plenario</w:t>
      </w:r>
      <w:r w:rsidRPr="00FD2360">
        <w:rPr>
          <w:rFonts w:ascii="Arial" w:hAnsi="Arial" w:cs="Arial"/>
          <w:i/>
          <w:sz w:val="22"/>
          <w:szCs w:val="22"/>
          <w:lang w:val="es-ES"/>
        </w:rPr>
        <w:t>)</w:t>
      </w:r>
    </w:p>
    <w:p w14:paraId="319D3410" w14:textId="435D1C6D" w:rsidR="00BC2265" w:rsidRDefault="00BC2265" w:rsidP="00E829C9">
      <w:pPr>
        <w:jc w:val="center"/>
        <w:rPr>
          <w:rFonts w:ascii="Arial" w:hAnsi="Arial" w:cs="Arial"/>
          <w:sz w:val="22"/>
          <w:szCs w:val="22"/>
          <w:lang w:val="es-ES"/>
        </w:rPr>
      </w:pPr>
    </w:p>
    <w:p w14:paraId="66185358" w14:textId="77777777" w:rsidR="002455EC" w:rsidRDefault="002455EC" w:rsidP="00E829C9">
      <w:pPr>
        <w:jc w:val="center"/>
        <w:rPr>
          <w:rFonts w:ascii="Arial" w:hAnsi="Arial" w:cs="Arial"/>
          <w:sz w:val="22"/>
          <w:szCs w:val="22"/>
          <w:lang w:val="es-ES"/>
        </w:rPr>
      </w:pPr>
    </w:p>
    <w:p w14:paraId="5CD49333" w14:textId="27D725DF"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DECISI</w:t>
      </w:r>
      <w:r w:rsidR="00D9221B">
        <w:rPr>
          <w:rFonts w:ascii="Arial" w:hAnsi="Arial" w:cs="Arial"/>
          <w:sz w:val="22"/>
          <w:szCs w:val="22"/>
          <w:lang w:val="es-ES"/>
        </w:rPr>
        <w:t>ÓN</w:t>
      </w:r>
    </w:p>
    <w:p w14:paraId="54B3E7A1" w14:textId="77777777" w:rsidR="00BC2265" w:rsidRPr="00BC2265" w:rsidRDefault="00BC2265" w:rsidP="00BC2265">
      <w:pPr>
        <w:ind w:left="567"/>
        <w:contextualSpacing/>
        <w:jc w:val="both"/>
        <w:rPr>
          <w:rFonts w:ascii="Arial" w:hAnsi="Arial" w:cs="Arial"/>
          <w:sz w:val="22"/>
          <w:szCs w:val="22"/>
          <w:lang w:val="es-ES" w:eastAsia="es-ES"/>
        </w:rPr>
      </w:pPr>
    </w:p>
    <w:p w14:paraId="14C9E9D3" w14:textId="77777777" w:rsidR="00BC2265" w:rsidRPr="00BC2265" w:rsidRDefault="00BC2265" w:rsidP="00BC2265">
      <w:pPr>
        <w:ind w:left="567"/>
        <w:contextualSpacing/>
        <w:jc w:val="both"/>
        <w:rPr>
          <w:rFonts w:ascii="Arial" w:hAnsi="Arial" w:cs="Arial"/>
          <w:sz w:val="22"/>
          <w:szCs w:val="22"/>
          <w:lang w:val="es-ES" w:eastAsia="es-ES"/>
        </w:rPr>
      </w:pPr>
    </w:p>
    <w:p w14:paraId="211C116E" w14:textId="77777777" w:rsidR="00BC2265" w:rsidRPr="00BC2265" w:rsidRDefault="00BC2265" w:rsidP="00BC2265">
      <w:pPr>
        <w:contextualSpacing/>
        <w:jc w:val="both"/>
        <w:rPr>
          <w:rFonts w:ascii="Arial" w:hAnsi="Arial" w:cs="Arial"/>
          <w:b/>
          <w:i/>
          <w:sz w:val="22"/>
          <w:szCs w:val="18"/>
          <w:lang w:val="es-ES_tradnl" w:eastAsia="es-ES"/>
        </w:rPr>
      </w:pPr>
      <w:r w:rsidRPr="00BC2265">
        <w:rPr>
          <w:rFonts w:ascii="Arial" w:hAnsi="Arial" w:cs="Arial"/>
          <w:b/>
          <w:i/>
          <w:sz w:val="22"/>
          <w:szCs w:val="18"/>
          <w:lang w:val="es-ES_tradnl" w:eastAsia="es-ES"/>
        </w:rPr>
        <w:t>Dirigido a la Secretaría</w:t>
      </w:r>
    </w:p>
    <w:p w14:paraId="4CD57144" w14:textId="77777777" w:rsidR="00BC2265" w:rsidRPr="00BC2265" w:rsidRDefault="00BC2265" w:rsidP="00BC2265">
      <w:pPr>
        <w:ind w:left="567"/>
        <w:contextualSpacing/>
        <w:jc w:val="both"/>
        <w:rPr>
          <w:rFonts w:ascii="Arial" w:hAnsi="Arial" w:cs="Arial"/>
          <w:sz w:val="22"/>
          <w:szCs w:val="18"/>
          <w:lang w:val="es-ES_tradnl" w:eastAsia="es-ES"/>
        </w:rPr>
      </w:pPr>
    </w:p>
    <w:p w14:paraId="33672268" w14:textId="03D49111" w:rsidR="00BC2265" w:rsidRPr="00BC2265" w:rsidRDefault="00BC2265" w:rsidP="00B637E9">
      <w:pPr>
        <w:widowControl/>
        <w:suppressAutoHyphens w:val="0"/>
        <w:autoSpaceDE/>
        <w:autoSpaceDN/>
        <w:spacing w:before="80" w:after="80" w:line="259" w:lineRule="auto"/>
        <w:ind w:left="993" w:hanging="993"/>
        <w:jc w:val="both"/>
        <w:textAlignment w:val="auto"/>
        <w:rPr>
          <w:rFonts w:ascii="Arial" w:eastAsiaTheme="minorHAnsi" w:hAnsi="Arial" w:cs="Arial"/>
          <w:sz w:val="22"/>
          <w:szCs w:val="18"/>
          <w:lang w:val="es-ES_tradnl"/>
        </w:rPr>
      </w:pPr>
      <w:r w:rsidRPr="00BC2265">
        <w:rPr>
          <w:rFonts w:ascii="Arial" w:eastAsiaTheme="minorHAnsi" w:hAnsi="Arial" w:cs="Arial"/>
          <w:sz w:val="22"/>
          <w:szCs w:val="18"/>
          <w:lang w:val="es-ES_tradnl"/>
        </w:rPr>
        <w:t>13.AA</w:t>
      </w:r>
      <w:r w:rsidRPr="00BC2265">
        <w:rPr>
          <w:rFonts w:ascii="Arial" w:eastAsiaTheme="minorHAnsi" w:hAnsi="Arial" w:cs="Arial"/>
          <w:sz w:val="22"/>
          <w:szCs w:val="18"/>
          <w:lang w:val="es-ES_tradnl"/>
        </w:rPr>
        <w:tab/>
        <w:t>La Secretaría deberá, a reserva de la disponibilidad de recursos externos, y trabajando en el ámbito de competencias de la Convención:</w:t>
      </w:r>
    </w:p>
    <w:p w14:paraId="169FCE6B" w14:textId="77777777" w:rsidR="00BC2265" w:rsidRPr="00BC2265" w:rsidRDefault="00BC2265" w:rsidP="00BC2265">
      <w:pPr>
        <w:widowControl/>
        <w:suppressAutoHyphens w:val="0"/>
        <w:autoSpaceDE/>
        <w:autoSpaceDN/>
        <w:ind w:left="1560" w:hanging="1560"/>
        <w:jc w:val="both"/>
        <w:textAlignment w:val="auto"/>
        <w:rPr>
          <w:rFonts w:ascii="Arial" w:eastAsiaTheme="minorHAnsi" w:hAnsi="Arial" w:cs="Arial"/>
          <w:sz w:val="22"/>
          <w:szCs w:val="18"/>
          <w:lang w:val="es-ES_tradnl"/>
        </w:rPr>
      </w:pPr>
    </w:p>
    <w:p w14:paraId="0BBEA229" w14:textId="77777777" w:rsidR="00BC2265" w:rsidRPr="00BC2265" w:rsidRDefault="00BC2265" w:rsidP="00B637E9">
      <w:pPr>
        <w:widowControl/>
        <w:numPr>
          <w:ilvl w:val="0"/>
          <w:numId w:val="1"/>
        </w:numPr>
        <w:suppressAutoHyphens w:val="0"/>
        <w:autoSpaceDE/>
        <w:autoSpaceDN/>
        <w:spacing w:after="160" w:line="259" w:lineRule="auto"/>
        <w:ind w:left="1560" w:hanging="567"/>
        <w:contextualSpacing/>
        <w:jc w:val="both"/>
        <w:textAlignment w:val="auto"/>
        <w:rPr>
          <w:rFonts w:ascii="Arial" w:eastAsiaTheme="minorHAnsi" w:hAnsi="Arial" w:cs="Arial"/>
          <w:sz w:val="22"/>
          <w:szCs w:val="18"/>
          <w:lang w:val="es-ES_tradnl"/>
        </w:rPr>
      </w:pPr>
      <w:r w:rsidRPr="00BC2265">
        <w:rPr>
          <w:rFonts w:ascii="Arial" w:eastAsiaTheme="minorHAnsi" w:hAnsi="Arial" w:cs="Arial"/>
          <w:sz w:val="22"/>
          <w:szCs w:val="18"/>
          <w:lang w:val="es-ES_tradnl"/>
        </w:rPr>
        <w:t>Preparar un análisis de los impactos directos e indirectos de la extracción, comercio y consumo de carne de animales salvajes terrestres y de especies de aves incluidas en las listas de la CMS;</w:t>
      </w:r>
    </w:p>
    <w:p w14:paraId="2B5FB6B8" w14:textId="77777777" w:rsidR="00BC2265" w:rsidRPr="00BC2265" w:rsidRDefault="00BC2265" w:rsidP="00BC2265">
      <w:pPr>
        <w:widowControl/>
        <w:suppressAutoHyphens w:val="0"/>
        <w:autoSpaceDE/>
        <w:autoSpaceDN/>
        <w:ind w:left="1984" w:hanging="425"/>
        <w:contextualSpacing/>
        <w:jc w:val="both"/>
        <w:textAlignment w:val="auto"/>
        <w:rPr>
          <w:rFonts w:ascii="Arial" w:eastAsiaTheme="minorHAnsi" w:hAnsi="Arial" w:cs="Arial"/>
          <w:sz w:val="22"/>
          <w:szCs w:val="18"/>
          <w:lang w:val="es-ES_tradnl"/>
        </w:rPr>
      </w:pPr>
    </w:p>
    <w:p w14:paraId="6E09F2CE" w14:textId="36A73000" w:rsidR="00BC2265" w:rsidRPr="00060B80" w:rsidRDefault="00BC2265" w:rsidP="00060B80">
      <w:pPr>
        <w:widowControl/>
        <w:numPr>
          <w:ilvl w:val="0"/>
          <w:numId w:val="1"/>
        </w:numPr>
        <w:suppressAutoHyphens w:val="0"/>
        <w:autoSpaceDE/>
        <w:autoSpaceDN/>
        <w:spacing w:after="160" w:line="259" w:lineRule="auto"/>
        <w:ind w:left="1560" w:hanging="567"/>
        <w:contextualSpacing/>
        <w:jc w:val="both"/>
        <w:textAlignment w:val="auto"/>
        <w:rPr>
          <w:rFonts w:ascii="Arial" w:eastAsiaTheme="minorHAnsi" w:hAnsi="Arial" w:cs="Arial"/>
          <w:sz w:val="22"/>
          <w:szCs w:val="18"/>
          <w:lang w:val="es-ES_tradnl"/>
        </w:rPr>
      </w:pPr>
      <w:r w:rsidRPr="00060B80">
        <w:rPr>
          <w:rFonts w:ascii="Arial" w:eastAsiaTheme="minorHAnsi" w:hAnsi="Arial" w:cs="Arial"/>
          <w:sz w:val="22"/>
          <w:szCs w:val="18"/>
          <w:lang w:val="es-ES_tradnl"/>
        </w:rPr>
        <w:t>sobre la base de las conclusiones que se obtengan en relación con lo dispuesto en el párrafo a) cooperar con los asociados de la Asociación de colaboración sobre manejo sostenible de la fauna silvestre (CPW) y, en particular, con</w:t>
      </w:r>
      <w:r w:rsidR="00C725E5" w:rsidRPr="00060B80">
        <w:rPr>
          <w:rFonts w:ascii="Arial" w:eastAsiaTheme="minorHAnsi" w:hAnsi="Arial" w:cs="Arial"/>
          <w:sz w:val="22"/>
          <w:szCs w:val="18"/>
          <w:lang w:val="es-ES_tradnl"/>
        </w:rPr>
        <w:t xml:space="preserve"> l</w:t>
      </w:r>
      <w:r w:rsidRPr="00060B80">
        <w:rPr>
          <w:rFonts w:ascii="Arial" w:eastAsiaTheme="minorHAnsi" w:hAnsi="Arial" w:cs="Arial"/>
          <w:sz w:val="22"/>
          <w:szCs w:val="18"/>
          <w:lang w:val="es-ES_tradnl"/>
        </w:rPr>
        <w:t xml:space="preserve">as Secretarías de la Convención sobre el comercio internacional de especies amenazadas de fauna y flora silvestres (CITES) y el Convenio sobre la Diversidad Biológica (CDB), así como con los presidentes de sus respectivas Conferencias de las Partes, por conducto de las Secretarías del CDB y de la CITES, </w:t>
      </w:r>
      <w:r w:rsidR="00060B80">
        <w:rPr>
          <w:rFonts w:ascii="Arial" w:eastAsiaTheme="minorHAnsi" w:hAnsi="Arial" w:cs="Arial"/>
          <w:sz w:val="22"/>
          <w:szCs w:val="18"/>
          <w:lang w:val="es-ES_tradnl"/>
        </w:rPr>
        <w:t>y l</w:t>
      </w:r>
      <w:r w:rsidR="00C725E5" w:rsidRPr="00060B80">
        <w:rPr>
          <w:rFonts w:ascii="Arial" w:eastAsiaTheme="minorHAnsi" w:hAnsi="Arial" w:cs="Arial"/>
          <w:sz w:val="22"/>
          <w:szCs w:val="18"/>
          <w:lang w:val="es-ES_tradnl"/>
        </w:rPr>
        <w:t xml:space="preserve">a Organización para la Alimentación y la Agricultura (FAO), el Centro de Investigación Forestal Internacional (CIFOR), el Centro de Cooperación Internacional en Investigación Agrícola para el Desarrollo (CIRAD) y la Sociedad para la Conservación de la Vida Silvestre (WCS) </w:t>
      </w:r>
      <w:r w:rsidR="00060B80" w:rsidRPr="00060B80">
        <w:rPr>
          <w:rFonts w:ascii="Arial" w:eastAsiaTheme="minorHAnsi" w:hAnsi="Arial" w:cs="Arial"/>
          <w:sz w:val="22"/>
          <w:szCs w:val="18"/>
          <w:lang w:val="es-ES_tradnl"/>
        </w:rPr>
        <w:t xml:space="preserve">para elevar la importancia de la extracción, comercio y consumo insostenibles de carne de animales salvajes en la agenda de las políticas mundiales; </w:t>
      </w:r>
    </w:p>
    <w:p w14:paraId="669BACF6" w14:textId="77777777" w:rsidR="00BC2265" w:rsidRPr="00BC2265" w:rsidRDefault="00BC2265" w:rsidP="00060B80">
      <w:pPr>
        <w:widowControl/>
        <w:suppressAutoHyphens w:val="0"/>
        <w:autoSpaceDE/>
        <w:autoSpaceDN/>
        <w:ind w:left="1560" w:hanging="567"/>
        <w:jc w:val="both"/>
        <w:textAlignment w:val="auto"/>
        <w:rPr>
          <w:rFonts w:ascii="Arial" w:eastAsiaTheme="minorHAnsi" w:hAnsi="Arial" w:cs="Arial"/>
          <w:strike/>
          <w:sz w:val="22"/>
          <w:szCs w:val="18"/>
          <w:lang w:val="es-ES_tradnl"/>
        </w:rPr>
      </w:pPr>
    </w:p>
    <w:p w14:paraId="7D474EDA" w14:textId="73839D00" w:rsidR="00BC2265" w:rsidRPr="00BC2265" w:rsidRDefault="00BC2265" w:rsidP="00060B80">
      <w:pPr>
        <w:widowControl/>
        <w:numPr>
          <w:ilvl w:val="0"/>
          <w:numId w:val="1"/>
        </w:numPr>
        <w:suppressAutoHyphens w:val="0"/>
        <w:autoSpaceDE/>
        <w:autoSpaceDN/>
        <w:spacing w:after="160" w:line="259" w:lineRule="auto"/>
        <w:ind w:left="1560" w:hanging="567"/>
        <w:contextualSpacing/>
        <w:jc w:val="both"/>
        <w:textAlignment w:val="auto"/>
        <w:rPr>
          <w:rFonts w:ascii="Arial" w:hAnsi="Arial" w:cs="Arial"/>
          <w:sz w:val="22"/>
          <w:szCs w:val="18"/>
          <w:lang w:val="es-ES_tradnl" w:eastAsia="es-ES"/>
        </w:rPr>
      </w:pPr>
      <w:r w:rsidRPr="00BC2265">
        <w:rPr>
          <w:rFonts w:ascii="Arial" w:hAnsi="Arial" w:cs="Arial"/>
          <w:sz w:val="22"/>
          <w:szCs w:val="18"/>
          <w:lang w:val="es-ES_tradnl" w:eastAsia="es-ES"/>
        </w:rPr>
        <w:t>Presentar informe a la Conferencia de las Partes en su 1</w:t>
      </w:r>
      <w:r w:rsidR="0094073A">
        <w:rPr>
          <w:rFonts w:ascii="Arial" w:hAnsi="Arial" w:cs="Arial"/>
          <w:strike/>
          <w:sz w:val="22"/>
          <w:szCs w:val="18"/>
          <w:lang w:val="es-ES_tradnl" w:eastAsia="es-ES"/>
        </w:rPr>
        <w:t>4</w:t>
      </w:r>
      <w:r w:rsidRPr="00BC2265">
        <w:rPr>
          <w:rFonts w:ascii="Arial" w:hAnsi="Arial" w:cs="Arial"/>
          <w:sz w:val="22"/>
          <w:szCs w:val="18"/>
          <w:lang w:val="es-ES_tradnl" w:eastAsia="es-ES"/>
        </w:rPr>
        <w:t>ª reunión sobre los progresos realizados en la aplicación de esta Decisión.</w:t>
      </w:r>
    </w:p>
    <w:p w14:paraId="5DB67A15" w14:textId="77777777" w:rsidR="0094073A" w:rsidRDefault="0094073A" w:rsidP="00060B80">
      <w:pPr>
        <w:ind w:left="1560" w:hanging="567"/>
        <w:contextualSpacing/>
        <w:jc w:val="both"/>
        <w:rPr>
          <w:rFonts w:ascii="Arial" w:hAnsi="Arial" w:cs="Arial"/>
          <w:b/>
          <w:i/>
          <w:sz w:val="22"/>
          <w:szCs w:val="18"/>
          <w:lang w:val="es-ES_tradnl" w:eastAsia="es-ES"/>
        </w:rPr>
      </w:pPr>
    </w:p>
    <w:p w14:paraId="74938437" w14:textId="1B2B0DA0" w:rsidR="00BC2265" w:rsidRPr="00BC2265" w:rsidRDefault="00BC2265" w:rsidP="0094073A">
      <w:pPr>
        <w:ind w:left="1560" w:hanging="1560"/>
        <w:contextualSpacing/>
        <w:jc w:val="both"/>
        <w:rPr>
          <w:rFonts w:ascii="Arial" w:hAnsi="Arial" w:cs="Arial"/>
          <w:b/>
          <w:i/>
          <w:sz w:val="22"/>
          <w:szCs w:val="18"/>
          <w:lang w:val="es-ES_tradnl" w:eastAsia="es-ES"/>
        </w:rPr>
      </w:pPr>
      <w:r w:rsidRPr="00BC2265">
        <w:rPr>
          <w:rFonts w:ascii="Arial" w:hAnsi="Arial" w:cs="Arial"/>
          <w:b/>
          <w:i/>
          <w:sz w:val="22"/>
          <w:szCs w:val="18"/>
          <w:lang w:val="es-ES_tradnl" w:eastAsia="es-ES"/>
        </w:rPr>
        <w:t>Dirigido a las Partes</w:t>
      </w:r>
    </w:p>
    <w:p w14:paraId="5A441E53" w14:textId="77777777" w:rsidR="00BC2265" w:rsidRPr="00BC2265" w:rsidRDefault="00BC2265" w:rsidP="00060B80">
      <w:pPr>
        <w:ind w:left="1560" w:hanging="567"/>
        <w:contextualSpacing/>
        <w:jc w:val="both"/>
        <w:rPr>
          <w:rFonts w:ascii="Arial" w:hAnsi="Arial" w:cs="Arial"/>
          <w:sz w:val="22"/>
          <w:szCs w:val="18"/>
          <w:lang w:val="es-ES_tradnl" w:eastAsia="es-ES"/>
        </w:rPr>
      </w:pPr>
    </w:p>
    <w:p w14:paraId="024C492C" w14:textId="09B3DE9A" w:rsidR="00BC2265" w:rsidRPr="00BC2265" w:rsidRDefault="00BC2265" w:rsidP="0094073A">
      <w:pPr>
        <w:widowControl/>
        <w:suppressAutoHyphens w:val="0"/>
        <w:autoSpaceDE/>
        <w:autoSpaceDN/>
        <w:ind w:left="1560" w:hanging="1560"/>
        <w:jc w:val="both"/>
        <w:textAlignment w:val="auto"/>
        <w:rPr>
          <w:rFonts w:ascii="Arial" w:eastAsiaTheme="minorHAnsi" w:hAnsi="Arial" w:cs="Arial"/>
          <w:sz w:val="22"/>
          <w:szCs w:val="18"/>
          <w:lang w:val="es-ES_tradnl"/>
        </w:rPr>
      </w:pPr>
      <w:r w:rsidRPr="00BC2265">
        <w:rPr>
          <w:rFonts w:ascii="Arial" w:eastAsiaTheme="minorHAnsi" w:hAnsi="Arial" w:cs="Arial"/>
          <w:sz w:val="22"/>
          <w:szCs w:val="18"/>
          <w:lang w:val="es-ES_tradnl"/>
        </w:rPr>
        <w:t xml:space="preserve">13.BB </w:t>
      </w:r>
      <w:r w:rsidRPr="00BC2265">
        <w:rPr>
          <w:rFonts w:ascii="Arial" w:eastAsiaTheme="minorHAnsi" w:hAnsi="Arial" w:cs="Arial"/>
          <w:sz w:val="22"/>
          <w:szCs w:val="18"/>
          <w:lang w:val="es-ES_tradnl"/>
        </w:rPr>
        <w:tab/>
        <w:t xml:space="preserve">Se invita a las Partes a que cooperen con la Secretaría en la aplicación de las Decisiones </w:t>
      </w:r>
      <w:proofErr w:type="gramStart"/>
      <w:r w:rsidRPr="00BC2265">
        <w:rPr>
          <w:rFonts w:ascii="Arial" w:eastAsiaTheme="minorHAnsi" w:hAnsi="Arial" w:cs="Arial"/>
          <w:sz w:val="22"/>
          <w:szCs w:val="18"/>
          <w:lang w:val="es-ES_tradnl"/>
        </w:rPr>
        <w:t>13.AA</w:t>
      </w:r>
      <w:proofErr w:type="gramEnd"/>
      <w:r w:rsidRPr="00BC2265">
        <w:rPr>
          <w:rFonts w:ascii="Arial" w:eastAsiaTheme="minorHAnsi" w:hAnsi="Arial" w:cs="Arial"/>
          <w:sz w:val="22"/>
          <w:szCs w:val="18"/>
          <w:lang w:val="es-ES_tradnl"/>
        </w:rPr>
        <w:t>, como sigue:</w:t>
      </w:r>
    </w:p>
    <w:p w14:paraId="439FC97E" w14:textId="77777777" w:rsidR="00BC2265" w:rsidRPr="00BC2265" w:rsidRDefault="00BC2265" w:rsidP="0094073A">
      <w:pPr>
        <w:widowControl/>
        <w:suppressAutoHyphens w:val="0"/>
        <w:autoSpaceDE/>
        <w:autoSpaceDN/>
        <w:ind w:left="1560" w:hanging="1560"/>
        <w:jc w:val="both"/>
        <w:textAlignment w:val="auto"/>
        <w:rPr>
          <w:rFonts w:ascii="Arial" w:eastAsiaTheme="minorHAnsi" w:hAnsi="Arial" w:cs="Arial"/>
          <w:sz w:val="22"/>
          <w:szCs w:val="18"/>
          <w:lang w:val="es-ES_tradnl"/>
        </w:rPr>
      </w:pPr>
    </w:p>
    <w:p w14:paraId="6401BC91" w14:textId="77777777" w:rsidR="00BC2265" w:rsidRPr="00BC2265" w:rsidRDefault="00BC2265" w:rsidP="0094073A">
      <w:pPr>
        <w:widowControl/>
        <w:numPr>
          <w:ilvl w:val="0"/>
          <w:numId w:val="2"/>
        </w:numPr>
        <w:suppressAutoHyphens w:val="0"/>
        <w:autoSpaceDE/>
        <w:autoSpaceDN/>
        <w:spacing w:after="160" w:line="259" w:lineRule="auto"/>
        <w:ind w:left="1560" w:hanging="567"/>
        <w:contextualSpacing/>
        <w:jc w:val="both"/>
        <w:textAlignment w:val="auto"/>
        <w:rPr>
          <w:rFonts w:ascii="Arial" w:eastAsiaTheme="minorHAnsi" w:hAnsi="Arial" w:cs="Arial"/>
          <w:sz w:val="22"/>
          <w:szCs w:val="18"/>
          <w:lang w:val="es-ES_tradnl"/>
        </w:rPr>
      </w:pPr>
      <w:r w:rsidRPr="00BC2265">
        <w:rPr>
          <w:rFonts w:ascii="Arial" w:eastAsiaTheme="minorHAnsi" w:hAnsi="Arial" w:cs="Arial"/>
          <w:sz w:val="22"/>
          <w:szCs w:val="18"/>
          <w:lang w:val="es-ES_tradnl"/>
        </w:rPr>
        <w:t>Proporcionando información y datos para el análisis mencionado en el párrafo a); y</w:t>
      </w:r>
    </w:p>
    <w:p w14:paraId="31ABF6B2" w14:textId="77777777" w:rsidR="00BC2265" w:rsidRPr="00BC2265" w:rsidRDefault="00BC2265" w:rsidP="0094073A">
      <w:pPr>
        <w:widowControl/>
        <w:suppressAutoHyphens w:val="0"/>
        <w:autoSpaceDE/>
        <w:autoSpaceDN/>
        <w:ind w:left="1560" w:hanging="1560"/>
        <w:contextualSpacing/>
        <w:jc w:val="both"/>
        <w:textAlignment w:val="auto"/>
        <w:rPr>
          <w:rFonts w:ascii="Arial" w:eastAsiaTheme="minorHAnsi" w:hAnsi="Arial" w:cs="Arial"/>
          <w:sz w:val="22"/>
          <w:szCs w:val="18"/>
          <w:lang w:val="es-ES_tradnl"/>
        </w:rPr>
      </w:pPr>
    </w:p>
    <w:p w14:paraId="2D23D359" w14:textId="3D0701E2" w:rsidR="00BC2265" w:rsidRPr="00BC2265" w:rsidRDefault="00BC2265" w:rsidP="0094073A">
      <w:pPr>
        <w:widowControl/>
        <w:numPr>
          <w:ilvl w:val="0"/>
          <w:numId w:val="2"/>
        </w:numPr>
        <w:suppressAutoHyphens w:val="0"/>
        <w:autoSpaceDE/>
        <w:autoSpaceDN/>
        <w:spacing w:after="160" w:line="259" w:lineRule="auto"/>
        <w:ind w:left="1560" w:hanging="567"/>
        <w:contextualSpacing/>
        <w:jc w:val="both"/>
        <w:textAlignment w:val="auto"/>
        <w:rPr>
          <w:rFonts w:ascii="Arial" w:eastAsiaTheme="minorHAnsi" w:hAnsi="Arial" w:cs="Arial"/>
          <w:sz w:val="22"/>
          <w:szCs w:val="18"/>
          <w:lang w:val="es-ES_tradnl"/>
        </w:rPr>
      </w:pPr>
      <w:r w:rsidRPr="00BC2265">
        <w:rPr>
          <w:rFonts w:ascii="Arial" w:eastAsiaTheme="minorHAnsi" w:hAnsi="Arial" w:cs="Arial"/>
          <w:sz w:val="22"/>
          <w:szCs w:val="18"/>
          <w:lang w:val="es-ES_tradnl"/>
        </w:rPr>
        <w:t>Contribuyendo a los debates sobre la carne de animales salvajes en los foros de políticas mundiales mencionados en el párrafo b)</w:t>
      </w:r>
      <w:r w:rsidR="005775B1">
        <w:rPr>
          <w:rFonts w:ascii="Arial" w:eastAsiaTheme="minorHAnsi" w:hAnsi="Arial" w:cs="Arial"/>
          <w:sz w:val="22"/>
          <w:szCs w:val="18"/>
          <w:lang w:val="es-ES_tradnl"/>
        </w:rPr>
        <w:t>.</w:t>
      </w:r>
    </w:p>
    <w:p w14:paraId="526FB826" w14:textId="77777777" w:rsidR="00BC2265" w:rsidRPr="00BC2265" w:rsidRDefault="00BC2265" w:rsidP="00BC2265">
      <w:pPr>
        <w:ind w:left="567" w:hanging="567"/>
        <w:contextualSpacing/>
        <w:jc w:val="both"/>
        <w:rPr>
          <w:rFonts w:ascii="Arial" w:hAnsi="Arial" w:cs="Arial"/>
          <w:sz w:val="22"/>
          <w:szCs w:val="18"/>
          <w:lang w:val="es-ES_tradnl" w:eastAsia="es-ES"/>
        </w:rPr>
      </w:pPr>
    </w:p>
    <w:p w14:paraId="22F87A33" w14:textId="4E423753" w:rsidR="00BC2265" w:rsidRPr="00BC2265" w:rsidRDefault="00BC2265" w:rsidP="00BC2265">
      <w:pPr>
        <w:ind w:left="567" w:hanging="567"/>
        <w:contextualSpacing/>
        <w:jc w:val="both"/>
        <w:rPr>
          <w:rFonts w:ascii="Arial" w:hAnsi="Arial" w:cs="Arial"/>
          <w:b/>
          <w:i/>
          <w:sz w:val="22"/>
          <w:szCs w:val="18"/>
          <w:lang w:val="es-ES_tradnl" w:eastAsia="es-ES"/>
        </w:rPr>
      </w:pPr>
      <w:r w:rsidRPr="00BC2265">
        <w:rPr>
          <w:rFonts w:ascii="Arial" w:hAnsi="Arial" w:cs="Arial"/>
          <w:b/>
          <w:i/>
          <w:sz w:val="22"/>
          <w:szCs w:val="18"/>
          <w:lang w:val="es-ES_tradnl" w:eastAsia="es-ES"/>
        </w:rPr>
        <w:t>Dirigido a las Partes</w:t>
      </w:r>
    </w:p>
    <w:p w14:paraId="3174BBB0" w14:textId="77777777" w:rsidR="00BC2265" w:rsidRPr="00BC2265" w:rsidRDefault="00BC2265" w:rsidP="00BC2265">
      <w:pPr>
        <w:ind w:left="567" w:hanging="567"/>
        <w:contextualSpacing/>
        <w:jc w:val="both"/>
        <w:rPr>
          <w:rFonts w:ascii="Arial" w:hAnsi="Arial" w:cs="Arial"/>
          <w:sz w:val="22"/>
          <w:szCs w:val="18"/>
          <w:lang w:val="es-ES_tradnl" w:eastAsia="es-ES"/>
        </w:rPr>
      </w:pPr>
    </w:p>
    <w:p w14:paraId="66511B83" w14:textId="216A81A3" w:rsidR="00BC2265" w:rsidRPr="00BC2265" w:rsidRDefault="00BC2265" w:rsidP="00BC2265">
      <w:pPr>
        <w:ind w:left="1560" w:hanging="1560"/>
        <w:contextualSpacing/>
        <w:jc w:val="both"/>
        <w:rPr>
          <w:rFonts w:ascii="Arial" w:hAnsi="Arial" w:cs="Arial"/>
          <w:sz w:val="22"/>
          <w:szCs w:val="18"/>
          <w:lang w:val="es-ES_tradnl" w:eastAsia="es-ES"/>
        </w:rPr>
      </w:pPr>
      <w:r w:rsidRPr="00BC2265">
        <w:rPr>
          <w:rFonts w:ascii="Arial" w:hAnsi="Arial" w:cs="Arial"/>
          <w:sz w:val="22"/>
          <w:szCs w:val="18"/>
          <w:lang w:val="es-ES_tradnl" w:eastAsia="es-ES"/>
        </w:rPr>
        <w:t xml:space="preserve">13.CC </w:t>
      </w:r>
      <w:r w:rsidRPr="00BC2265">
        <w:rPr>
          <w:rFonts w:ascii="Arial" w:hAnsi="Arial" w:cs="Arial"/>
          <w:sz w:val="22"/>
          <w:szCs w:val="18"/>
          <w:lang w:val="es-ES_tradnl" w:eastAsia="es-ES"/>
        </w:rPr>
        <w:tab/>
        <w:t xml:space="preserve">Se invita a las Partes a considerar, cuando sea pertinente, a través de la cooperación entre los puntos focales nacionales </w:t>
      </w:r>
      <w:r w:rsidR="00104315">
        <w:rPr>
          <w:rFonts w:ascii="Arial" w:hAnsi="Arial" w:cs="Arial"/>
          <w:sz w:val="22"/>
          <w:szCs w:val="18"/>
          <w:lang w:val="es-ES_tradnl" w:eastAsia="es-ES"/>
        </w:rPr>
        <w:t>de la CMS</w:t>
      </w:r>
      <w:r w:rsidR="008C49F7">
        <w:rPr>
          <w:rFonts w:ascii="Arial" w:hAnsi="Arial" w:cs="Arial"/>
          <w:sz w:val="22"/>
          <w:szCs w:val="18"/>
          <w:lang w:val="es-ES_tradnl" w:eastAsia="es-ES"/>
        </w:rPr>
        <w:t xml:space="preserve"> y las autoridades </w:t>
      </w:r>
      <w:r w:rsidRPr="00BC2265">
        <w:rPr>
          <w:rFonts w:ascii="Arial" w:hAnsi="Arial" w:cs="Arial"/>
          <w:sz w:val="22"/>
          <w:szCs w:val="18"/>
          <w:lang w:val="es-ES_tradnl" w:eastAsia="es-ES"/>
        </w:rPr>
        <w:t>del CITES, la regulación del comercio de carne de especies de animales salvajes y de especies de aves incluidas en los Apéndices I y II de la CMS para evitar los efectos negativos sobre el estado de conservación de las poblaciones de origen.</w:t>
      </w:r>
    </w:p>
    <w:p w14:paraId="2DCA05B3" w14:textId="77777777" w:rsidR="00BC2265" w:rsidRPr="00BC2265" w:rsidRDefault="00BC2265" w:rsidP="008C49F7">
      <w:pPr>
        <w:contextualSpacing/>
        <w:jc w:val="both"/>
        <w:rPr>
          <w:rFonts w:ascii="Arial" w:hAnsi="Arial" w:cs="Arial"/>
          <w:sz w:val="22"/>
          <w:szCs w:val="18"/>
          <w:lang w:val="es-ES_tradnl" w:eastAsia="es-ES"/>
        </w:rPr>
      </w:pPr>
    </w:p>
    <w:p w14:paraId="3A495F5F" w14:textId="77777777" w:rsidR="00BC2265" w:rsidRPr="00BC2265" w:rsidRDefault="00BC2265" w:rsidP="00BC2265">
      <w:pPr>
        <w:ind w:left="567" w:hanging="567"/>
        <w:contextualSpacing/>
        <w:jc w:val="both"/>
        <w:rPr>
          <w:rFonts w:ascii="Arial" w:hAnsi="Arial" w:cs="Arial"/>
          <w:b/>
          <w:i/>
          <w:sz w:val="22"/>
          <w:szCs w:val="18"/>
          <w:lang w:val="es-ES_tradnl" w:eastAsia="es-ES"/>
        </w:rPr>
      </w:pPr>
      <w:r w:rsidRPr="00BC2265">
        <w:rPr>
          <w:rFonts w:ascii="Arial" w:hAnsi="Arial" w:cs="Arial"/>
          <w:b/>
          <w:i/>
          <w:sz w:val="22"/>
          <w:szCs w:val="18"/>
          <w:lang w:val="es-ES_tradnl" w:eastAsia="es-ES"/>
        </w:rPr>
        <w:t>Dirigidas a las Partes, las organizaciones intergubernamentales y no gubernamentales</w:t>
      </w:r>
    </w:p>
    <w:p w14:paraId="2BDC93F5" w14:textId="77777777" w:rsidR="00BC2265" w:rsidRPr="00BC2265" w:rsidRDefault="00BC2265" w:rsidP="00BC2265">
      <w:pPr>
        <w:ind w:left="567" w:hanging="567"/>
        <w:contextualSpacing/>
        <w:jc w:val="both"/>
        <w:rPr>
          <w:rFonts w:ascii="Arial" w:hAnsi="Arial" w:cs="Arial"/>
          <w:sz w:val="22"/>
          <w:szCs w:val="18"/>
          <w:lang w:val="es-ES_tradnl" w:eastAsia="es-ES"/>
        </w:rPr>
      </w:pPr>
    </w:p>
    <w:p w14:paraId="4824ECAE" w14:textId="0DFC1705" w:rsidR="00BC2265" w:rsidRPr="00BC2265" w:rsidRDefault="00BC2265" w:rsidP="00BC2265">
      <w:pPr>
        <w:ind w:left="1560" w:hanging="1560"/>
        <w:contextualSpacing/>
        <w:jc w:val="both"/>
        <w:rPr>
          <w:rFonts w:ascii="Arial" w:hAnsi="Arial" w:cs="Arial"/>
          <w:sz w:val="22"/>
          <w:szCs w:val="22"/>
          <w:lang w:val="es-ES" w:eastAsia="es-ES"/>
        </w:rPr>
      </w:pPr>
      <w:r w:rsidRPr="00BC2265">
        <w:rPr>
          <w:rFonts w:ascii="Arial" w:hAnsi="Arial" w:cs="Arial"/>
          <w:sz w:val="22"/>
          <w:szCs w:val="18"/>
          <w:lang w:val="es-ES_tradnl" w:eastAsia="es-ES"/>
        </w:rPr>
        <w:t>13.DD</w:t>
      </w:r>
      <w:r w:rsidRPr="00BC2265">
        <w:rPr>
          <w:rFonts w:ascii="Arial" w:hAnsi="Arial" w:cs="Arial"/>
          <w:sz w:val="22"/>
          <w:szCs w:val="18"/>
          <w:lang w:val="es-ES_tradnl" w:eastAsia="es-ES"/>
        </w:rPr>
        <w:tab/>
        <w:t>Se insta a las Partes, las organizaciones intergubernamentales y las organizaciones no gubernamentales a que proporcionen apoyo financiero y técnico para la aplicación de las Decisiones anteriores.</w:t>
      </w:r>
    </w:p>
    <w:p w14:paraId="60DD58C5" w14:textId="77777777" w:rsidR="00D82C56" w:rsidRPr="00FD2360" w:rsidRDefault="00D82C56">
      <w:pPr>
        <w:rPr>
          <w:rFonts w:ascii="Arial" w:hAnsi="Arial" w:cs="Arial"/>
          <w:lang w:val="es-ES"/>
        </w:rPr>
      </w:pPr>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AFCCA10"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BC2265">
      <w:rPr>
        <w:rFonts w:ascii="Arial" w:hAnsi="Arial" w:cs="Arial"/>
        <w:i/>
        <w:szCs w:val="20"/>
        <w:lang w:val="en-GB"/>
      </w:rPr>
      <w:t>26.4.3</w:t>
    </w:r>
  </w:p>
  <w:p w14:paraId="50B9F4CC" w14:textId="77777777" w:rsidR="00A16E93" w:rsidRDefault="0057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577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97CA29B"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BC2265">
      <w:rPr>
        <w:rFonts w:ascii="Arial" w:hAnsi="Arial" w:cs="Arial"/>
        <w:bCs/>
        <w:i/>
        <w:iCs/>
        <w:szCs w:val="20"/>
        <w:lang w:val="en-GB"/>
      </w:rPr>
      <w:t>26.4.3</w:t>
    </w:r>
    <w:r w:rsidR="005775B1">
      <w:rPr>
        <w:rFonts w:ascii="Arial" w:hAnsi="Arial" w:cs="Arial"/>
        <w:bCs/>
        <w:i/>
        <w:iCs/>
        <w:szCs w:val="20"/>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0B80"/>
    <w:rsid w:val="000B0D60"/>
    <w:rsid w:val="00104315"/>
    <w:rsid w:val="002455EC"/>
    <w:rsid w:val="003F1AD8"/>
    <w:rsid w:val="0043102F"/>
    <w:rsid w:val="005645C4"/>
    <w:rsid w:val="005775B1"/>
    <w:rsid w:val="0058757D"/>
    <w:rsid w:val="005D43E4"/>
    <w:rsid w:val="005F0639"/>
    <w:rsid w:val="007A1066"/>
    <w:rsid w:val="008C49F7"/>
    <w:rsid w:val="0094073A"/>
    <w:rsid w:val="00AA138B"/>
    <w:rsid w:val="00B637E9"/>
    <w:rsid w:val="00BC2265"/>
    <w:rsid w:val="00C725E5"/>
    <w:rsid w:val="00D56B08"/>
    <w:rsid w:val="00D82C56"/>
    <w:rsid w:val="00D9221B"/>
    <w:rsid w:val="00E829C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D56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2020-02-21T08:48:00Z</dcterms:created>
  <dcterms:modified xsi:type="dcterms:W3CDTF">2020-02-21T08:48:00Z</dcterms:modified>
</cp:coreProperties>
</file>