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B83E91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B83E91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83E91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B83E91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B83E91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83E91" w:rsidRDefault="00BF42FC" w:rsidP="00BF42FC">
      <w:pPr>
        <w:rPr>
          <w:sz w:val="22"/>
          <w:szCs w:val="22"/>
          <w:lang w:val="en-GB"/>
        </w:rPr>
      </w:pPr>
    </w:p>
    <w:p w:rsidR="00BF42FC" w:rsidRPr="00B83E91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B83E91" w:rsidRDefault="00965397" w:rsidP="00DF38F9">
      <w:pPr>
        <w:jc w:val="center"/>
        <w:rPr>
          <w:b/>
          <w:sz w:val="22"/>
          <w:szCs w:val="22"/>
          <w:lang w:val="en-GB"/>
        </w:rPr>
      </w:pPr>
      <w:r w:rsidRPr="00B83E91">
        <w:rPr>
          <w:b/>
          <w:sz w:val="22"/>
          <w:szCs w:val="22"/>
          <w:lang w:val="en-GB"/>
        </w:rPr>
        <w:t>PROPOSAL FOR INCLUSION OF FOUR VULTURE SPECIES OCCURING IN ASIA ON APPENDIX I OF THE CONVENTION</w:t>
      </w:r>
    </w:p>
    <w:p w:rsidR="000F1354" w:rsidRPr="00B83E91" w:rsidRDefault="003E24AC" w:rsidP="00115447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83E91">
        <w:rPr>
          <w:rFonts w:cs="Arial"/>
          <w:sz w:val="22"/>
          <w:szCs w:val="22"/>
          <w:lang w:val="en-GB"/>
        </w:rPr>
        <w:t>UNEP/CMS/COP12/DOC.</w:t>
      </w:r>
      <w:r w:rsidR="00115447" w:rsidRPr="00B83E91">
        <w:rPr>
          <w:rFonts w:cs="Arial"/>
          <w:sz w:val="22"/>
          <w:szCs w:val="22"/>
          <w:lang w:val="en-GB"/>
        </w:rPr>
        <w:t>25.1.14</w:t>
      </w:r>
    </w:p>
    <w:p w:rsidR="00BF42FC" w:rsidRDefault="00BF42FC" w:rsidP="00BF42FC">
      <w:pPr>
        <w:jc w:val="center"/>
        <w:rPr>
          <w:b/>
          <w:sz w:val="22"/>
          <w:szCs w:val="22"/>
          <w:lang w:val="en-GB"/>
        </w:rPr>
      </w:pPr>
      <w:bookmarkStart w:id="0" w:name="_GoBack"/>
      <w:bookmarkEnd w:id="0"/>
    </w:p>
    <w:p w:rsidR="00B83E91" w:rsidRPr="00B83E91" w:rsidRDefault="00B83E91" w:rsidP="00BF42FC">
      <w:pPr>
        <w:jc w:val="center"/>
        <w:rPr>
          <w:b/>
          <w:sz w:val="22"/>
          <w:szCs w:val="22"/>
          <w:lang w:val="en-GB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11544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94FE8" w:rsidRPr="00973593" w:rsidRDefault="00494FE8" w:rsidP="0088037D">
      <w:pPr>
        <w:tabs>
          <w:tab w:val="left" w:pos="102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This document was welcomed by Scientific </w:t>
      </w:r>
      <w:proofErr w:type="spellStart"/>
      <w:r>
        <w:rPr>
          <w:rFonts w:cs="Arial"/>
          <w:bCs/>
          <w:sz w:val="22"/>
          <w:szCs w:val="22"/>
        </w:rPr>
        <w:t>Councillors</w:t>
      </w:r>
      <w:proofErr w:type="spellEnd"/>
      <w:r>
        <w:rPr>
          <w:rFonts w:cs="Arial"/>
          <w:bCs/>
          <w:sz w:val="22"/>
          <w:szCs w:val="22"/>
        </w:rPr>
        <w:t xml:space="preserve">. It was considered to be a comprehensive suite of listing proposals covering four Critically Endangered Asian vultures.  It was noted that all five species are already covered by the </w:t>
      </w:r>
      <w:r w:rsidR="0088037D">
        <w:rPr>
          <w:rFonts w:cs="Arial"/>
          <w:bCs/>
          <w:sz w:val="22"/>
          <w:szCs w:val="22"/>
        </w:rPr>
        <w:t xml:space="preserve">CMS </w:t>
      </w:r>
      <w:r>
        <w:rPr>
          <w:rFonts w:cs="Arial"/>
          <w:bCs/>
          <w:sz w:val="22"/>
          <w:szCs w:val="22"/>
        </w:rPr>
        <w:t>Memorandum of Understanding on the Conservation of the Migratory Birds of Prey in Africa and Eurasia (Raptors MOU) and including within the Draft Multi-</w:t>
      </w:r>
      <w:proofErr w:type="gramStart"/>
      <w:r>
        <w:rPr>
          <w:rFonts w:cs="Arial"/>
          <w:bCs/>
          <w:sz w:val="22"/>
          <w:szCs w:val="22"/>
        </w:rPr>
        <w:t>species</w:t>
      </w:r>
      <w:proofErr w:type="gramEnd"/>
      <w:r>
        <w:rPr>
          <w:rFonts w:cs="Arial"/>
          <w:bCs/>
          <w:sz w:val="22"/>
          <w:szCs w:val="22"/>
        </w:rPr>
        <w:t xml:space="preserve"> Action Plan on the Conservation of African-Eur</w:t>
      </w:r>
      <w:r w:rsidR="00B83E91">
        <w:rPr>
          <w:rFonts w:cs="Arial"/>
          <w:bCs/>
          <w:sz w:val="22"/>
          <w:szCs w:val="22"/>
        </w:rPr>
        <w:t xml:space="preserve">asian Vultures (Vulture </w:t>
      </w:r>
      <w:proofErr w:type="spellStart"/>
      <w:r w:rsidR="00B83E91">
        <w:rPr>
          <w:rFonts w:cs="Arial"/>
          <w:bCs/>
          <w:sz w:val="22"/>
          <w:szCs w:val="22"/>
        </w:rPr>
        <w:t>MsAP</w:t>
      </w:r>
      <w:proofErr w:type="spellEnd"/>
      <w:r w:rsidR="00B83E91">
        <w:rPr>
          <w:rFonts w:cs="Arial"/>
          <w:bCs/>
          <w:sz w:val="22"/>
          <w:szCs w:val="22"/>
        </w:rPr>
        <w:t>) –</w:t>
      </w:r>
      <w:r>
        <w:rPr>
          <w:rFonts w:cs="Arial"/>
          <w:bCs/>
          <w:sz w:val="22"/>
          <w:szCs w:val="22"/>
        </w:rPr>
        <w:t>UNEP/CMS</w:t>
      </w:r>
      <w:r w:rsidR="00B83E91">
        <w:rPr>
          <w:rFonts w:cs="Arial"/>
          <w:bCs/>
          <w:sz w:val="22"/>
          <w:szCs w:val="22"/>
        </w:rPr>
        <w:t>/COP12/Doc.24.1.4/Rev.1/</w:t>
      </w:r>
      <w:r w:rsidR="0088037D">
        <w:rPr>
          <w:rFonts w:cs="Arial"/>
          <w:bCs/>
          <w:sz w:val="22"/>
          <w:szCs w:val="22"/>
        </w:rPr>
        <w:t xml:space="preserve">Annex </w:t>
      </w:r>
      <w:r w:rsidR="00B83E91">
        <w:rPr>
          <w:rFonts w:cs="Arial"/>
          <w:bCs/>
          <w:sz w:val="22"/>
          <w:szCs w:val="22"/>
        </w:rPr>
        <w:t>3</w:t>
      </w:r>
    </w:p>
    <w:p w:rsidR="00DF4423" w:rsidRPr="00B83E91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94FE8" w:rsidRPr="00B83E91" w:rsidRDefault="00494FE8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486538">
        <w:rPr>
          <w:rFonts w:cs="Arial"/>
          <w:b/>
          <w:sz w:val="22"/>
          <w:szCs w:val="22"/>
        </w:rPr>
        <w:t xml:space="preserve">INCLUDING </w:t>
      </w:r>
      <w:r w:rsidR="008F20D3">
        <w:rPr>
          <w:rFonts w:cs="Arial"/>
          <w:b/>
          <w:sz w:val="22"/>
          <w:szCs w:val="22"/>
        </w:rPr>
        <w:t>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65397" w:rsidRPr="00965397" w:rsidRDefault="00965397" w:rsidP="00965397">
      <w:pPr>
        <w:pStyle w:val="ListParagraph"/>
        <w:tabs>
          <w:tab w:val="left" w:pos="567"/>
          <w:tab w:val="left" w:pos="1020"/>
        </w:tabs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0F78FE" w:rsidRPr="00965397">
        <w:rPr>
          <w:rFonts w:cs="Arial"/>
          <w:bCs/>
          <w:sz w:val="22"/>
          <w:szCs w:val="22"/>
        </w:rPr>
        <w:t xml:space="preserve">Page 18, para.6.4 – Habitat Conservation </w:t>
      </w:r>
    </w:p>
    <w:p w:rsidR="000F78FE" w:rsidRDefault="000F78FE" w:rsidP="00965397">
      <w:pPr>
        <w:pStyle w:val="ListParagraph"/>
        <w:tabs>
          <w:tab w:val="left" w:pos="567"/>
          <w:tab w:val="left" w:pos="1020"/>
        </w:tabs>
        <w:ind w:left="0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Pr="000F78FE">
        <w:rPr>
          <w:rFonts w:cs="Arial"/>
          <w:sz w:val="22"/>
          <w:szCs w:val="22"/>
        </w:rPr>
        <w:t xml:space="preserve"> </w:t>
      </w:r>
      <w:r w:rsidR="0096539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suggested clarification by inclusion of the list of 12 provisional Vulture Safe Zones, as follows: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>1) Southern Sindh (Pakistan);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 xml:space="preserve">2) Southern Gujarat (India); 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>3) Central Gujarat (India)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>4) Lowland Uttarakhand (India)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>5) Central Madhya Pradesh (India)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>6) North-eastern Uttar Pradesh (India)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>7) Western Lowland (Nepal);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 xml:space="preserve">8) Central Highland (Nepal); 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 xml:space="preserve">9) Northern Jharkhand (India); 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 xml:space="preserve">10) Southern Bangladesh (Bangladesh); </w:t>
      </w:r>
    </w:p>
    <w:p w:rsidR="000F78FE" w:rsidRPr="000F78FE" w:rsidRDefault="000F78FE" w:rsidP="00965397">
      <w:pPr>
        <w:pStyle w:val="ListParagraph"/>
        <w:tabs>
          <w:tab w:val="left" w:pos="10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>11) Northern Bangladesh (Bangladesh);</w:t>
      </w:r>
    </w:p>
    <w:p w:rsidR="000F78FE" w:rsidRPr="000F78FE" w:rsidRDefault="000F78FE" w:rsidP="00965397">
      <w:pPr>
        <w:pStyle w:val="ListParagraph"/>
        <w:tabs>
          <w:tab w:val="left" w:pos="720"/>
        </w:tabs>
        <w:ind w:left="567"/>
        <w:rPr>
          <w:rFonts w:cs="Arial"/>
          <w:color w:val="FF0000"/>
          <w:sz w:val="22"/>
          <w:szCs w:val="22"/>
        </w:rPr>
      </w:pPr>
      <w:r w:rsidRPr="000F78FE">
        <w:rPr>
          <w:rFonts w:cs="Arial"/>
          <w:color w:val="FF0000"/>
          <w:sz w:val="22"/>
          <w:szCs w:val="22"/>
        </w:rPr>
        <w:t>12) Central Assam (India).</w:t>
      </w:r>
    </w:p>
    <w:p w:rsidR="000F78FE" w:rsidRDefault="000F78FE" w:rsidP="00494FE8">
      <w:pPr>
        <w:pStyle w:val="ListParagraph"/>
        <w:tabs>
          <w:tab w:val="left" w:pos="1020"/>
        </w:tabs>
        <w:ind w:left="0"/>
        <w:rPr>
          <w:rFonts w:cs="Arial"/>
          <w:b/>
          <w:bCs/>
          <w:sz w:val="22"/>
          <w:szCs w:val="22"/>
        </w:rPr>
      </w:pPr>
    </w:p>
    <w:p w:rsidR="00965397" w:rsidRDefault="00965397" w:rsidP="00965397">
      <w:pPr>
        <w:pStyle w:val="ListParagraph"/>
        <w:tabs>
          <w:tab w:val="left" w:pos="567"/>
          <w:tab w:val="left" w:pos="1020"/>
        </w:tabs>
        <w:ind w:left="0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494FE8" w:rsidRPr="00965397">
        <w:rPr>
          <w:rFonts w:cs="Arial"/>
          <w:bCs/>
          <w:sz w:val="22"/>
          <w:szCs w:val="22"/>
        </w:rPr>
        <w:t>Page 2</w:t>
      </w:r>
      <w:r w:rsidR="0088037D" w:rsidRPr="00965397">
        <w:rPr>
          <w:rFonts w:cs="Arial"/>
          <w:bCs/>
          <w:sz w:val="22"/>
          <w:szCs w:val="22"/>
        </w:rPr>
        <w:t>0</w:t>
      </w:r>
      <w:r w:rsidR="00494FE8" w:rsidRPr="00965397">
        <w:rPr>
          <w:rFonts w:cs="Arial"/>
          <w:bCs/>
          <w:sz w:val="22"/>
          <w:szCs w:val="22"/>
        </w:rPr>
        <w:t xml:space="preserve">, para.8 </w:t>
      </w:r>
      <w:r w:rsidR="000F78FE" w:rsidRPr="00965397">
        <w:rPr>
          <w:rFonts w:cs="Arial"/>
          <w:bCs/>
          <w:sz w:val="22"/>
          <w:szCs w:val="22"/>
        </w:rPr>
        <w:t xml:space="preserve">- </w:t>
      </w:r>
      <w:r w:rsidR="00494FE8" w:rsidRPr="00965397">
        <w:rPr>
          <w:rFonts w:cs="Arial"/>
          <w:bCs/>
          <w:sz w:val="22"/>
          <w:szCs w:val="22"/>
        </w:rPr>
        <w:t>Range States</w:t>
      </w:r>
    </w:p>
    <w:p w:rsidR="00494FE8" w:rsidRPr="00965397" w:rsidRDefault="00965397" w:rsidP="00965397">
      <w:pPr>
        <w:tabs>
          <w:tab w:val="left" w:pos="567"/>
          <w:tab w:val="left" w:pos="1020"/>
        </w:tabs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Pr="000F78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494FE8" w:rsidRPr="00965397">
        <w:rPr>
          <w:rFonts w:cs="Arial"/>
          <w:sz w:val="22"/>
          <w:szCs w:val="22"/>
        </w:rPr>
        <w:t>suggested clarification by inserting the following text (</w:t>
      </w:r>
      <w:r w:rsidR="00494FE8" w:rsidRPr="00965397">
        <w:rPr>
          <w:rFonts w:cs="Arial"/>
          <w:color w:val="FF0000"/>
          <w:sz w:val="22"/>
          <w:szCs w:val="22"/>
        </w:rPr>
        <w:t>in red</w:t>
      </w:r>
      <w:r w:rsidR="00494FE8" w:rsidRPr="00965397">
        <w:rPr>
          <w:rFonts w:cs="Arial"/>
          <w:sz w:val="22"/>
          <w:szCs w:val="22"/>
        </w:rPr>
        <w:t>)</w:t>
      </w:r>
    </w:p>
    <w:p w:rsidR="00494FE8" w:rsidRPr="004D5E7E" w:rsidRDefault="00494FE8" w:rsidP="004D5E7E">
      <w:pPr>
        <w:jc w:val="both"/>
        <w:rPr>
          <w:color w:val="FF0000"/>
          <w:sz w:val="22"/>
          <w:szCs w:val="22"/>
          <w:lang w:val="en-GB"/>
        </w:rPr>
      </w:pPr>
      <w:r w:rsidRPr="004D5E7E">
        <w:rPr>
          <w:color w:val="FF0000"/>
          <w:sz w:val="22"/>
          <w:szCs w:val="22"/>
          <w:lang w:val="en-GB"/>
        </w:rPr>
        <w:t>In many countries</w:t>
      </w:r>
      <w:r w:rsidR="004D5E7E">
        <w:rPr>
          <w:color w:val="FF0000"/>
          <w:sz w:val="22"/>
          <w:szCs w:val="22"/>
          <w:lang w:val="en-GB"/>
        </w:rPr>
        <w:t>,</w:t>
      </w:r>
      <w:r w:rsidRPr="004D5E7E">
        <w:rPr>
          <w:color w:val="FF0000"/>
          <w:sz w:val="22"/>
          <w:szCs w:val="22"/>
          <w:lang w:val="en-GB"/>
        </w:rPr>
        <w:t xml:space="preserve"> vulture species may be found in the country concerned throughout the year and so their </w:t>
      </w:r>
      <w:r w:rsidR="004D5E7E" w:rsidRPr="004D5E7E">
        <w:rPr>
          <w:color w:val="FF0000"/>
          <w:sz w:val="22"/>
          <w:szCs w:val="22"/>
          <w:lang w:val="en-GB"/>
        </w:rPr>
        <w:t>occurrence is described as ‘R</w:t>
      </w:r>
      <w:r w:rsidRPr="004D5E7E">
        <w:rPr>
          <w:color w:val="FF0000"/>
          <w:sz w:val="22"/>
          <w:szCs w:val="22"/>
          <w:lang w:val="en-GB"/>
        </w:rPr>
        <w:t>esident’ in the Table (below).  This does not imply that individuals remain ‘resident’ in the same area year-round; indeed as outlined in Section 3 Migrations (above)</w:t>
      </w:r>
      <w:r w:rsidR="001C0025">
        <w:rPr>
          <w:color w:val="FF0000"/>
          <w:sz w:val="22"/>
          <w:szCs w:val="22"/>
          <w:lang w:val="en-GB"/>
        </w:rPr>
        <w:t>,</w:t>
      </w:r>
      <w:r w:rsidRPr="004D5E7E">
        <w:rPr>
          <w:color w:val="FF0000"/>
          <w:sz w:val="22"/>
          <w:szCs w:val="22"/>
          <w:lang w:val="en-GB"/>
        </w:rPr>
        <w:t xml:space="preserve"> individuals may make very significant movements over the course of a year including crossing one or more national boundaries.</w:t>
      </w:r>
    </w:p>
    <w:p w:rsidR="00486538" w:rsidRPr="00494FE8" w:rsidRDefault="00486538" w:rsidP="00486538">
      <w:pPr>
        <w:tabs>
          <w:tab w:val="left" w:pos="1020"/>
        </w:tabs>
        <w:rPr>
          <w:rFonts w:cs="Arial"/>
          <w:sz w:val="22"/>
          <w:szCs w:val="22"/>
          <w:lang w:val="en-GB"/>
        </w:rPr>
      </w:pP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B83E91" w:rsidRDefault="000F1354" w:rsidP="000F1354">
      <w:pPr>
        <w:jc w:val="center"/>
        <w:rPr>
          <w:rFonts w:cs="Arial"/>
          <w:sz w:val="22"/>
          <w:szCs w:val="22"/>
        </w:rPr>
      </w:pPr>
    </w:p>
    <w:p w:rsidR="00494FE8" w:rsidRPr="006356C5" w:rsidRDefault="00494FE8" w:rsidP="00494FE8">
      <w:pPr>
        <w:tabs>
          <w:tab w:val="left" w:pos="1020"/>
        </w:tabs>
        <w:rPr>
          <w:rFonts w:cs="Arial"/>
          <w:sz w:val="22"/>
          <w:szCs w:val="22"/>
        </w:rPr>
      </w:pPr>
      <w:r w:rsidRPr="00486538">
        <w:rPr>
          <w:rFonts w:cs="Arial"/>
          <w:sz w:val="22"/>
          <w:szCs w:val="22"/>
        </w:rPr>
        <w:t>The Avian Working Group unanimously</w:t>
      </w:r>
      <w:r>
        <w:rPr>
          <w:rFonts w:cs="Arial"/>
          <w:sz w:val="22"/>
          <w:szCs w:val="22"/>
        </w:rPr>
        <w:t xml:space="preserve"> supported the proposal to list all four Asian vulture species on CMS Appendix 1.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62" w:rsidRDefault="00DB5D62">
      <w:r>
        <w:separator/>
      </w:r>
    </w:p>
  </w:endnote>
  <w:endnote w:type="continuationSeparator" w:id="0">
    <w:p w:rsidR="00DB5D62" w:rsidRDefault="00DB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62" w:rsidRDefault="00DB5D62">
      <w:r>
        <w:separator/>
      </w:r>
    </w:p>
  </w:footnote>
  <w:footnote w:type="continuationSeparator" w:id="0">
    <w:p w:rsidR="00DB5D62" w:rsidRDefault="00DB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B83E91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B83E91">
      <w:rPr>
        <w:rFonts w:cs="Arial"/>
        <w:i/>
        <w:szCs w:val="18"/>
      </w:rPr>
      <w:t>UNEP/CMS/COP12/Doc.</w:t>
    </w:r>
    <w:r w:rsidR="00B83E91" w:rsidRPr="00B83E91">
      <w:rPr>
        <w:rFonts w:cs="Arial"/>
        <w:i/>
        <w:szCs w:val="18"/>
      </w:rPr>
      <w:t>25.1.14</w:t>
    </w:r>
    <w:r w:rsidR="00B83E91">
      <w:rPr>
        <w:rFonts w:cs="Arial"/>
        <w:i/>
        <w:szCs w:val="18"/>
      </w:rPr>
      <w:t>/</w:t>
    </w:r>
    <w:r w:rsidRPr="00B83E91">
      <w:rPr>
        <w:rFonts w:cs="Arial"/>
        <w:i/>
        <w:szCs w:val="18"/>
      </w:rPr>
      <w:t>Add.In-S.1</w:t>
    </w:r>
    <w:r w:rsidR="00B83E91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2670A8"/>
    <w:multiLevelType w:val="hybridMultilevel"/>
    <w:tmpl w:val="A6A82C74"/>
    <w:lvl w:ilvl="0" w:tplc="A4B2CF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CD1DA9"/>
    <w:multiLevelType w:val="hybridMultilevel"/>
    <w:tmpl w:val="798C80CE"/>
    <w:lvl w:ilvl="0" w:tplc="0F1C106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547B15"/>
    <w:multiLevelType w:val="hybridMultilevel"/>
    <w:tmpl w:val="C95C659E"/>
    <w:lvl w:ilvl="0" w:tplc="AF78208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64915AF1"/>
    <w:multiLevelType w:val="hybridMultilevel"/>
    <w:tmpl w:val="86CA8642"/>
    <w:lvl w:ilvl="0" w:tplc="0F1C106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4"/>
  </w:num>
  <w:num w:numId="3">
    <w:abstractNumId w:val="12"/>
  </w:num>
  <w:num w:numId="4">
    <w:abstractNumId w:val="24"/>
  </w:num>
  <w:num w:numId="5">
    <w:abstractNumId w:val="13"/>
  </w:num>
  <w:num w:numId="6">
    <w:abstractNumId w:val="35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7"/>
  </w:num>
  <w:num w:numId="10">
    <w:abstractNumId w:val="23"/>
  </w:num>
  <w:num w:numId="11">
    <w:abstractNumId w:val="40"/>
  </w:num>
  <w:num w:numId="12">
    <w:abstractNumId w:val="3"/>
  </w:num>
  <w:num w:numId="13">
    <w:abstractNumId w:val="20"/>
  </w:num>
  <w:num w:numId="14">
    <w:abstractNumId w:val="38"/>
  </w:num>
  <w:num w:numId="15">
    <w:abstractNumId w:val="2"/>
  </w:num>
  <w:num w:numId="16">
    <w:abstractNumId w:val="11"/>
  </w:num>
  <w:num w:numId="17">
    <w:abstractNumId w:val="41"/>
  </w:num>
  <w:num w:numId="18">
    <w:abstractNumId w:val="22"/>
  </w:num>
  <w:num w:numId="19">
    <w:abstractNumId w:val="39"/>
  </w:num>
  <w:num w:numId="20">
    <w:abstractNumId w:val="45"/>
  </w:num>
  <w:num w:numId="21">
    <w:abstractNumId w:val="4"/>
  </w:num>
  <w:num w:numId="22">
    <w:abstractNumId w:val="18"/>
  </w:num>
  <w:num w:numId="23">
    <w:abstractNumId w:val="27"/>
  </w:num>
  <w:num w:numId="24">
    <w:abstractNumId w:val="17"/>
  </w:num>
  <w:num w:numId="25">
    <w:abstractNumId w:val="31"/>
  </w:num>
  <w:num w:numId="26">
    <w:abstractNumId w:val="0"/>
  </w:num>
  <w:num w:numId="27">
    <w:abstractNumId w:val="42"/>
  </w:num>
  <w:num w:numId="28">
    <w:abstractNumId w:val="6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5"/>
  </w:num>
  <w:num w:numId="34">
    <w:abstractNumId w:val="19"/>
  </w:num>
  <w:num w:numId="35">
    <w:abstractNumId w:val="16"/>
  </w:num>
  <w:num w:numId="36">
    <w:abstractNumId w:val="32"/>
  </w:num>
  <w:num w:numId="37">
    <w:abstractNumId w:val="37"/>
  </w:num>
  <w:num w:numId="38">
    <w:abstractNumId w:val="10"/>
  </w:num>
  <w:num w:numId="39">
    <w:abstractNumId w:val="30"/>
  </w:num>
  <w:num w:numId="40">
    <w:abstractNumId w:val="43"/>
  </w:num>
  <w:num w:numId="41">
    <w:abstractNumId w:val="26"/>
  </w:num>
  <w:num w:numId="42">
    <w:abstractNumId w:val="8"/>
  </w:num>
  <w:num w:numId="43">
    <w:abstractNumId w:val="15"/>
  </w:num>
  <w:num w:numId="44">
    <w:abstractNumId w:val="34"/>
  </w:num>
  <w:num w:numId="45">
    <w:abstractNumId w:val="9"/>
  </w:num>
  <w:num w:numId="46">
    <w:abstractNumId w:val="3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0F78FE"/>
    <w:rsid w:val="001151A3"/>
    <w:rsid w:val="00115447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0025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86538"/>
    <w:rsid w:val="00494FE8"/>
    <w:rsid w:val="004B6CFD"/>
    <w:rsid w:val="004C204D"/>
    <w:rsid w:val="004D0436"/>
    <w:rsid w:val="004D0936"/>
    <w:rsid w:val="004D5E7E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63C0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037D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65397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83E91"/>
    <w:rsid w:val="00B97990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B5D62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C3CB27"/>
  <w15:docId w15:val="{D8729B89-B9E5-4301-945C-CCA45D8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288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creator>siri.quade@cms.int</dc:creator>
  <cp:lastModifiedBy>CMS Secretariat</cp:lastModifiedBy>
  <cp:revision>2</cp:revision>
  <cp:lastPrinted>2017-07-07T11:51:00Z</cp:lastPrinted>
  <dcterms:created xsi:type="dcterms:W3CDTF">2017-07-12T13:09:00Z</dcterms:created>
  <dcterms:modified xsi:type="dcterms:W3CDTF">2017-07-12T13:09:00Z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