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0AF97E10" w14:textId="77777777" w:rsidR="00927469" w:rsidRPr="00992727" w:rsidRDefault="00927469" w:rsidP="00927469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2065EA28" w14:textId="77777777" w:rsidR="00927469" w:rsidRPr="00420040" w:rsidRDefault="00927469" w:rsidP="00927469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309034A1" w:rsidR="0081600F" w:rsidRPr="00420040" w:rsidRDefault="00927469" w:rsidP="00927469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Pr="00D739D6">
        <w:rPr>
          <w:rFonts w:ascii="Arial" w:hAnsi="Arial" w:cs="Arial"/>
          <w:iCs/>
          <w:sz w:val="22"/>
          <w:szCs w:val="22"/>
          <w:lang w:val="pt-PT"/>
        </w:rPr>
        <w:t>21.</w:t>
      </w:r>
      <w:r w:rsidR="00644FB1">
        <w:rPr>
          <w:rFonts w:ascii="Arial" w:hAnsi="Arial" w:cs="Arial"/>
          <w:iCs/>
          <w:sz w:val="22"/>
          <w:szCs w:val="22"/>
          <w:lang w:val="pt-PT"/>
        </w:rPr>
        <w:t>1.11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927469" w:rsidRPr="002F6F9B" w14:paraId="0B5B4995" w14:textId="77777777" w:rsidTr="005503DF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EEC9836" w14:textId="77777777" w:rsidR="00927469" w:rsidRPr="00FA61AF" w:rsidRDefault="00927469" w:rsidP="00927469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159835F9" w14:textId="77777777" w:rsidR="00927469" w:rsidRPr="002F6F9B" w:rsidRDefault="00927469" w:rsidP="00927469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469" w:rsidRPr="006F3667" w14:paraId="68CC13AF" w14:textId="77777777" w:rsidTr="005503DF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8228E7A" w14:textId="77777777" w:rsidR="00927469" w:rsidRPr="00682B31" w:rsidRDefault="00927469" w:rsidP="009274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F9CF311" wp14:editId="7325B90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0C4BF" w14:textId="77777777" w:rsidR="00927469" w:rsidRPr="00682B31" w:rsidRDefault="00927469" w:rsidP="009274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E48B8D7" w14:textId="77777777" w:rsidR="00927469" w:rsidRPr="00682B31" w:rsidRDefault="00927469" w:rsidP="0092746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36E7E7D9" w14:textId="77777777" w:rsidR="00927469" w:rsidRPr="006F3667" w:rsidRDefault="00927469" w:rsidP="0092746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6F36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79B63E34" w14:textId="77777777" w:rsidR="00927469" w:rsidRPr="006F3667" w:rsidRDefault="00927469" w:rsidP="0092746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6F36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5F7D50F1" w14:textId="77777777" w:rsidR="00927469" w:rsidRPr="006F3667" w:rsidRDefault="00927469" w:rsidP="0092746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59717B9" w14:textId="77777777" w:rsidR="00927469" w:rsidRPr="006F3667" w:rsidRDefault="00927469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075FCCE" w14:textId="77777777" w:rsidR="00927469" w:rsidRPr="00992727" w:rsidRDefault="00927469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79705A8D" w14:textId="77777777" w:rsidR="00927469" w:rsidRPr="00992727" w:rsidRDefault="00927469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664ECCD4" w14:textId="53C901A9" w:rsidR="00927469" w:rsidRPr="00992727" w:rsidRDefault="00927469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644FB1">
              <w:rPr>
                <w:rFonts w:ascii="Arial" w:hAnsi="Arial" w:cs="Arial"/>
                <w:sz w:val="22"/>
                <w:szCs w:val="22"/>
                <w:lang w:val="es-ES"/>
              </w:rPr>
              <w:t>1.11</w:t>
            </w:r>
          </w:p>
          <w:p w14:paraId="7814D9B9" w14:textId="5887F87C" w:rsidR="00927469" w:rsidRPr="00992727" w:rsidRDefault="006F3667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19 de mayo </w:t>
            </w:r>
            <w:r w:rsidR="00927469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52F17FF3" w14:textId="77777777" w:rsidR="00927469" w:rsidRPr="00992727" w:rsidRDefault="00927469" w:rsidP="0092746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5C65CEE" w14:textId="77777777" w:rsidR="00927469" w:rsidRPr="009F0FA2" w:rsidRDefault="00927469" w:rsidP="00927469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75E7CD28" w14:textId="77777777" w:rsidR="00927469" w:rsidRPr="009F0FA2" w:rsidRDefault="00927469" w:rsidP="0092746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58B6684C" w14:textId="77777777" w:rsidR="00927469" w:rsidRPr="00992727" w:rsidRDefault="00927469" w:rsidP="00927469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781C05E0" w14:textId="77777777" w:rsidR="00927469" w:rsidRPr="006F3667" w:rsidRDefault="00927469" w:rsidP="00927469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661A5264" w14:textId="77777777" w:rsidR="00927469" w:rsidRPr="006F3667" w:rsidRDefault="00927469" w:rsidP="00927469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1AD7B573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6058BE90" w14:textId="4984DC3F" w:rsidR="00927469" w:rsidRPr="006F3667" w:rsidRDefault="00927469" w:rsidP="00927469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6F3667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6F3667">
        <w:rPr>
          <w:rFonts w:ascii="Arial" w:hAnsi="Arial" w:cs="Arial"/>
          <w:b/>
          <w:bCs/>
          <w:caps/>
          <w:sz w:val="22"/>
          <w:szCs w:val="22"/>
          <w:lang w:val="es-ES"/>
        </w:rPr>
        <w:t>REVOCAR</w:t>
      </w:r>
      <w:r w:rsidRPr="006F3667">
        <w:rPr>
          <w:rFonts w:ascii="Arial" w:hAnsi="Arial" w:cs="Arial"/>
          <w:b/>
          <w:bCs/>
          <w:caps/>
          <w:sz w:val="22"/>
          <w:szCs w:val="22"/>
          <w:lang w:val="es-ES"/>
        </w:rPr>
        <w:t>se en parte</w:t>
      </w:r>
    </w:p>
    <w:p w14:paraId="491E4B99" w14:textId="77777777" w:rsidR="00927469" w:rsidRPr="006F3667" w:rsidRDefault="00927469" w:rsidP="00927469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2D801AAB" w14:textId="33119E32" w:rsidR="00113392" w:rsidRPr="006F3667" w:rsidRDefault="00927469" w:rsidP="00113392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6F3667">
        <w:rPr>
          <w:rFonts w:ascii="Arial" w:hAnsi="Arial" w:cs="Arial"/>
          <w:b/>
          <w:caps/>
          <w:sz w:val="22"/>
          <w:szCs w:val="22"/>
          <w:lang w:val="es-ES"/>
        </w:rPr>
        <w:t xml:space="preserve">Recomendación 7.3, </w:t>
      </w:r>
      <w:r w:rsidR="00113392" w:rsidRPr="006F3667">
        <w:rPr>
          <w:rFonts w:ascii="Arial" w:hAnsi="Arial" w:cs="Arial"/>
          <w:b/>
          <w:caps/>
          <w:sz w:val="22"/>
          <w:szCs w:val="22"/>
          <w:lang w:val="es-ES"/>
        </w:rPr>
        <w:t>COORDINACIÓN REGIONAL PARA LOS CETÁCEOS PEQUEÑOS Y LOS SIRENIOS DE ÁFRICA CENTRAL Y OCCIDENTAL</w:t>
      </w:r>
    </w:p>
    <w:p w14:paraId="57A9384E" w14:textId="77777777" w:rsidR="00927469" w:rsidRPr="006F3667" w:rsidRDefault="00927469" w:rsidP="0092746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11E1FF54" w14:textId="4C797092" w:rsidR="00927469" w:rsidRPr="006F3667" w:rsidRDefault="00927469" w:rsidP="00927469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(</w:t>
      </w:r>
      <w:r w:rsidR="00644FB1" w:rsidRPr="006F3667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644FB1" w:rsidRPr="006F3667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6F3667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60CEEB7" w14:textId="77777777" w:rsidR="00927469" w:rsidRPr="006F3667" w:rsidRDefault="00927469" w:rsidP="0092746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92EBAF8" w14:textId="77777777" w:rsidR="00927469" w:rsidRPr="006F3667" w:rsidRDefault="00927469" w:rsidP="00927469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0C7A9C9" w14:textId="77777777" w:rsidR="00927469" w:rsidRPr="006F3667" w:rsidRDefault="00927469" w:rsidP="0092746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E83894A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736A95C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  <w:r w:rsidRPr="00345E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6EB" wp14:editId="57C2C7C9">
                <wp:simplePos x="0" y="0"/>
                <wp:positionH relativeFrom="column">
                  <wp:posOffset>907507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38100" b="222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DD4E" w14:textId="0A8CA86A" w:rsidR="00E00BDA" w:rsidRPr="006F3667" w:rsidRDefault="00E00BDA" w:rsidP="00E00BD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F36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19E4CF5B" w14:textId="77777777" w:rsidR="00E00BDA" w:rsidRPr="006F3667" w:rsidRDefault="00E00BDA" w:rsidP="00E00BD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9F39D9D" w14:textId="144E2BC1" w:rsidR="00E00BDA" w:rsidRPr="006F3667" w:rsidRDefault="006F3667" w:rsidP="006F3667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Este documento revoca en parte la</w:t>
                            </w:r>
                            <w:r w:rsidR="00E00BDA" w:rsidRPr="006F36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 xml:space="preserve"> HYPERLINK "http://www.cms.int/sites/default/files/document/REC_7_3_CETACEOS_PEQUENOS_DE_AFRICA_CENTRAL_sp_0_0.pdf" 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="00E00BDA" w:rsidRPr="006F366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Recomendación 7.3, </w:t>
                            </w:r>
                            <w:r w:rsidR="007A51FF" w:rsidRPr="006F366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Coordinación r</w:t>
                            </w:r>
                            <w:r w:rsidR="00E00BDA" w:rsidRPr="006F366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egional </w:t>
                            </w:r>
                            <w:r w:rsidR="007A51FF" w:rsidRPr="006F366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para los cetáceos pequeños y los sirenios de áfrica central y occidental</w:t>
                            </w:r>
                            <w:r w:rsidR="00E00BDA" w:rsidRPr="006F366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1F27BC9" w14:textId="23EC8728" w:rsidR="00E00BDA" w:rsidRPr="006F3667" w:rsidRDefault="006F3667" w:rsidP="006F3667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736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XGJw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" strokeweight=".25pt">
                <v:textbox>
                  <w:txbxContent>
                    <w:p w14:paraId="5D86DD4E" w14:textId="0A8CA86A" w:rsidR="00E00BDA" w:rsidRPr="006F3667" w:rsidRDefault="00E00BDA" w:rsidP="00E00BD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6F366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19E4CF5B" w14:textId="77777777" w:rsidR="00E00BDA" w:rsidRPr="006F3667" w:rsidRDefault="00E00BDA" w:rsidP="00E00BD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79F39D9D" w14:textId="144E2BC1" w:rsidR="00E00BDA" w:rsidRPr="006F3667" w:rsidRDefault="006F3667" w:rsidP="006F3667">
                      <w:pPr>
                        <w:jc w:val="both"/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Este documento revoca en parte la</w:t>
                      </w:r>
                      <w:r w:rsidR="00E00BDA" w:rsidRPr="006F366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 xml:space="preserve"> HYPERLINK "http://www.cms.int/sites/default/files/document/REC_7_3_CETACEOS_PEQUENOS_DE_AFRICA_CENTRAL_sp_0_0.pdf" </w:instrTex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="00E00BDA" w:rsidRPr="006F366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Recomendación 7.3, </w:t>
                      </w:r>
                      <w:r w:rsidR="007A51FF" w:rsidRPr="006F366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Coordinación r</w:t>
                      </w:r>
                      <w:r w:rsidR="00E00BDA" w:rsidRPr="006F366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egional </w:t>
                      </w:r>
                      <w:r w:rsidR="007A51FF" w:rsidRPr="006F366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para los cetáceos pequeños y los sirenios de áfrica central y occidental</w:t>
                      </w:r>
                      <w:r w:rsidR="00E00BDA" w:rsidRPr="006F366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1F27BC9" w14:textId="23EC8728" w:rsidR="00E00BDA" w:rsidRPr="006F3667" w:rsidRDefault="006F3667" w:rsidP="006F3667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0C0138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297902B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7B829EC1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5D1149D9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7B4AEDDC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0493FD92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C738C34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7D66947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791A016" w14:textId="77777777" w:rsidR="00E00BDA" w:rsidRPr="006F3667" w:rsidRDefault="00E00BDA" w:rsidP="00E00BDA">
      <w:pPr>
        <w:rPr>
          <w:rFonts w:ascii="Arial" w:hAnsi="Arial" w:cs="Arial"/>
          <w:sz w:val="22"/>
          <w:szCs w:val="22"/>
          <w:lang w:val="es-ES"/>
        </w:rPr>
      </w:pPr>
    </w:p>
    <w:p w14:paraId="35F881EF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199D7FCC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4A3C8402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0EA124D6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570ECCA1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6DCD20BD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716DF435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223E97B5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564EB75F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24DD8F54" w14:textId="77777777" w:rsidR="00927469" w:rsidRPr="006F3667" w:rsidRDefault="00927469" w:rsidP="00927469">
      <w:pPr>
        <w:rPr>
          <w:rFonts w:ascii="Arial" w:hAnsi="Arial" w:cs="Arial"/>
          <w:sz w:val="22"/>
          <w:szCs w:val="22"/>
          <w:lang w:val="es-ES"/>
        </w:rPr>
      </w:pPr>
    </w:p>
    <w:p w14:paraId="62D05EDB" w14:textId="77777777" w:rsidR="00927469" w:rsidRPr="006F3667" w:rsidRDefault="00927469" w:rsidP="00927469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927469" w:rsidRPr="006F3667" w:rsidSect="000B0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6ED3F37D" w14:textId="77777777" w:rsidR="00927469" w:rsidRPr="006F3667" w:rsidRDefault="00927469" w:rsidP="009274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6F3667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5430ECE2" w14:textId="77777777" w:rsidR="00927469" w:rsidRPr="006F3667" w:rsidRDefault="00927469" w:rsidP="009274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73FC7849" w14:textId="77777777" w:rsidR="00927469" w:rsidRPr="006F3667" w:rsidRDefault="00927469" w:rsidP="0092746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379F6EB9" w14:textId="77777777" w:rsidR="00927469" w:rsidRPr="006F3667" w:rsidRDefault="00927469" w:rsidP="00927469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50657D57" w14:textId="1ED9D948" w:rsidR="00113392" w:rsidRPr="006F3667" w:rsidRDefault="00113392" w:rsidP="00113392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6F3667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7.3</w:t>
      </w:r>
      <w:r w:rsidRPr="006F3667">
        <w:rPr>
          <w:rFonts w:ascii="Arial" w:eastAsia="Calibri" w:hAnsi="Arial" w:cs="Arial"/>
          <w:b/>
          <w:caps/>
          <w:sz w:val="22"/>
          <w:szCs w:val="22"/>
          <w:u w:val="single"/>
          <w:lang w:val="es-ES"/>
        </w:rPr>
        <w:t xml:space="preserve"> </w:t>
      </w:r>
      <w:r w:rsidR="00294458" w:rsidRPr="006F3667">
        <w:rPr>
          <w:rFonts w:ascii="Arial" w:eastAsia="Calibri" w:hAnsi="Arial" w:cs="Arial"/>
          <w:b/>
          <w:caps/>
          <w:sz w:val="22"/>
          <w:szCs w:val="22"/>
          <w:u w:val="single"/>
          <w:lang w:val="es-ES"/>
        </w:rPr>
        <w:t>Resolució</w:t>
      </w:r>
      <w:r w:rsidRPr="006F3667">
        <w:rPr>
          <w:rFonts w:ascii="Arial" w:eastAsia="Calibri" w:hAnsi="Arial" w:cs="Arial"/>
          <w:b/>
          <w:caps/>
          <w:sz w:val="22"/>
          <w:szCs w:val="22"/>
          <w:u w:val="single"/>
          <w:lang w:val="es-ES"/>
        </w:rPr>
        <w:t>n</w:t>
      </w:r>
      <w:r w:rsidRPr="006F3667">
        <w:rPr>
          <w:rFonts w:ascii="Arial" w:hAnsi="Arial" w:cs="Arial"/>
          <w:b/>
          <w:caps/>
          <w:sz w:val="22"/>
          <w:szCs w:val="22"/>
          <w:lang w:val="es-ES"/>
        </w:rPr>
        <w:t xml:space="preserve"> 7.</w:t>
      </w:r>
      <w:r w:rsidR="003E58F8">
        <w:rPr>
          <w:rFonts w:ascii="Arial" w:hAnsi="Arial" w:cs="Arial"/>
          <w:b/>
          <w:caps/>
          <w:sz w:val="22"/>
          <w:szCs w:val="22"/>
          <w:lang w:val="es-ES"/>
        </w:rPr>
        <w:t>x</w:t>
      </w:r>
      <w:r w:rsidRPr="006F3667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1"/>
        <w:t xml:space="preserve">1 </w:t>
      </w:r>
      <w:r w:rsidR="003E58F8">
        <w:rPr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t xml:space="preserve">, </w:t>
      </w:r>
      <w:r w:rsidRPr="006F3667">
        <w:rPr>
          <w:rFonts w:ascii="Arial" w:hAnsi="Arial" w:cs="Arial"/>
          <w:b/>
          <w:caps/>
          <w:sz w:val="22"/>
          <w:szCs w:val="22"/>
          <w:lang w:val="es-ES"/>
        </w:rPr>
        <w:t>COORDINACIÓN REGIONAL PARA LOS CETÁCEOS PEQUEÑOS Y LOS SIRENIOS DE ÁFRICA CENTRAL Y OCCIDENTAL</w:t>
      </w:r>
    </w:p>
    <w:p w14:paraId="7DFCCF3E" w14:textId="77777777" w:rsidR="0031600D" w:rsidRPr="006F3667" w:rsidRDefault="0031600D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B786405" w14:textId="3952B37C" w:rsidR="0048197A" w:rsidRPr="006F3667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F3667">
        <w:rPr>
          <w:rFonts w:ascii="Arial" w:eastAsia="Calibri" w:hAnsi="Arial" w:cs="Arial"/>
          <w:i/>
          <w:sz w:val="22"/>
          <w:szCs w:val="22"/>
          <w:lang w:val="es-ES"/>
        </w:rPr>
        <w:t>NB</w:t>
      </w:r>
      <w:r w:rsidRPr="006F3667">
        <w:rPr>
          <w:rFonts w:ascii="Arial" w:hAnsi="Arial" w:cs="Arial"/>
          <w:i/>
          <w:sz w:val="22"/>
          <w:szCs w:val="22"/>
          <w:lang w:val="es-ES"/>
        </w:rPr>
        <w:t>:</w:t>
      </w:r>
      <w:r w:rsidRPr="006F3667">
        <w:rPr>
          <w:rFonts w:ascii="Arial" w:hAnsi="Arial" w:cs="Arial"/>
          <w:i/>
          <w:sz w:val="22"/>
          <w:szCs w:val="22"/>
          <w:lang w:val="es-ES"/>
        </w:rPr>
        <w:tab/>
      </w:r>
      <w:r w:rsidR="00644FB1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644FB1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644FB1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644FB1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="00644FB1" w:rsidRPr="006F3667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6F3667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561"/>
      </w:tblGrid>
      <w:tr w:rsidR="00644FB1" w:rsidRPr="00345E95" w14:paraId="070A2E85" w14:textId="77777777" w:rsidTr="00644FB1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35BC39F6" w14:textId="3E38C414" w:rsidR="00644FB1" w:rsidRPr="00345E95" w:rsidRDefault="00644FB1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14:paraId="110850A3" w14:textId="47FE459D" w:rsidR="00644FB1" w:rsidRPr="00345E95" w:rsidRDefault="00644FB1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48197A" w:rsidRPr="00345E95" w14:paraId="7DA8612C" w14:textId="77777777" w:rsidTr="00DA21C9">
        <w:trPr>
          <w:trHeight w:val="556"/>
        </w:trPr>
        <w:tc>
          <w:tcPr>
            <w:tcW w:w="7308" w:type="dxa"/>
            <w:shd w:val="clear" w:color="auto" w:fill="auto"/>
          </w:tcPr>
          <w:p w14:paraId="2CA76BB9" w14:textId="7161713B" w:rsidR="0048197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nota de las decisiones del taller de Conakry sobre la conservación y ordenación de los cetáceos pequeños de la costa de África (8 a 12 de mayo de 2000);</w:t>
            </w:r>
          </w:p>
        </w:tc>
        <w:tc>
          <w:tcPr>
            <w:tcW w:w="1548" w:type="dxa"/>
            <w:shd w:val="clear" w:color="auto" w:fill="auto"/>
          </w:tcPr>
          <w:p w14:paraId="2DDC7605" w14:textId="737D283D" w:rsidR="0048197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345E95" w14:paraId="0A0294CC" w14:textId="77777777" w:rsidTr="00C26113">
        <w:tc>
          <w:tcPr>
            <w:tcW w:w="7308" w:type="dxa"/>
            <w:shd w:val="clear" w:color="auto" w:fill="auto"/>
          </w:tcPr>
          <w:p w14:paraId="3FA4E080" w14:textId="75D5E869" w:rsidR="0048197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 nota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en especial de la inclusión del manatí del África occidental </w:t>
            </w:r>
            <w:proofErr w:type="spellStart"/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>Trichechus</w:t>
            </w:r>
            <w:proofErr w:type="spellEnd"/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>senegalensis</w:t>
            </w:r>
            <w:proofErr w:type="spellEnd"/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en el Apéndice II a la CMS;</w:t>
            </w:r>
          </w:p>
        </w:tc>
        <w:tc>
          <w:tcPr>
            <w:tcW w:w="1548" w:type="dxa"/>
            <w:shd w:val="clear" w:color="auto" w:fill="auto"/>
          </w:tcPr>
          <w:p w14:paraId="334570BB" w14:textId="232E2CDE" w:rsidR="0048197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345E95" w14:paraId="34A13471" w14:textId="77777777" w:rsidTr="00C26113">
        <w:tc>
          <w:tcPr>
            <w:tcW w:w="7308" w:type="dxa"/>
            <w:shd w:val="clear" w:color="auto" w:fill="auto"/>
          </w:tcPr>
          <w:p w14:paraId="74A7FA0A" w14:textId="26DD978E" w:rsidR="0048197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las comunidades de las costas atlánticas y las que viven en las zonas litorales internas valoran los cetáceos pequeños por su interés patrimonial, económico, científico, turístico y educativo</w:t>
            </w:r>
            <w:r w:rsidR="003E58F8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bookmarkStart w:id="0" w:name="_GoBack"/>
            <w:bookmarkEnd w:id="0"/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así como por constituir un aspecto importante de la diversidad biológica mundial;</w:t>
            </w:r>
          </w:p>
        </w:tc>
        <w:tc>
          <w:tcPr>
            <w:tcW w:w="1548" w:type="dxa"/>
            <w:shd w:val="clear" w:color="auto" w:fill="auto"/>
          </w:tcPr>
          <w:p w14:paraId="6B303D01" w14:textId="5A1D0118" w:rsidR="0048197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345E95" w14:paraId="085D11ED" w14:textId="77777777" w:rsidTr="00C26113">
        <w:tc>
          <w:tcPr>
            <w:tcW w:w="7308" w:type="dxa"/>
            <w:shd w:val="clear" w:color="auto" w:fill="auto"/>
          </w:tcPr>
          <w:p w14:paraId="2765AE3E" w14:textId="5D556FD7" w:rsidR="0048197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Conscientes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las amenazas que se ciernen sobre estas especies, que resultan en especial de la destrucción o modificación de su hábitat por el desarrollo urbanístico de las zonas litorales marítimas y fluviales, la contaminación, la agricultura, la mayor mortalidad y la captura incidental, pueden, si no son objeto de ordenación adecuada, llevar a una disminución aún más pronunciada de sus poblaciones;</w:t>
            </w:r>
          </w:p>
        </w:tc>
        <w:tc>
          <w:tcPr>
            <w:tcW w:w="1548" w:type="dxa"/>
            <w:shd w:val="clear" w:color="auto" w:fill="auto"/>
          </w:tcPr>
          <w:p w14:paraId="02DA362D" w14:textId="4BEC02B7" w:rsidR="0048197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345E95" w14:paraId="129A6410" w14:textId="77777777" w:rsidTr="00C26113">
        <w:tc>
          <w:tcPr>
            <w:tcW w:w="7308" w:type="dxa"/>
            <w:shd w:val="clear" w:color="auto" w:fill="auto"/>
          </w:tcPr>
          <w:p w14:paraId="34186F85" w14:textId="59B84B95" w:rsidR="00CF0B3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Conscientes asimismo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esas especies migratorias se desplazan entre jurisdicciones nacionales;</w:t>
            </w:r>
          </w:p>
        </w:tc>
        <w:tc>
          <w:tcPr>
            <w:tcW w:w="1548" w:type="dxa"/>
            <w:shd w:val="clear" w:color="auto" w:fill="auto"/>
          </w:tcPr>
          <w:p w14:paraId="287B05CD" w14:textId="499B8A55" w:rsidR="00CF0B3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345E95" w14:paraId="1B974322" w14:textId="77777777" w:rsidTr="00C26113">
        <w:tc>
          <w:tcPr>
            <w:tcW w:w="7308" w:type="dxa"/>
            <w:shd w:val="clear" w:color="auto" w:fill="auto"/>
          </w:tcPr>
          <w:p w14:paraId="0CB2CE32" w14:textId="12F3C357" w:rsidR="00CF0B3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Haciéndose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eco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de las iniciativas de diversas instituciones nacionales e internacionales de los Estados del área de distribución, con el fin de incrementar los conocimientos sobre dichas especies y las amenazas que pesan sobre ellas;</w:t>
            </w:r>
          </w:p>
        </w:tc>
        <w:tc>
          <w:tcPr>
            <w:tcW w:w="1548" w:type="dxa"/>
            <w:shd w:val="clear" w:color="auto" w:fill="auto"/>
          </w:tcPr>
          <w:p w14:paraId="429CFCB3" w14:textId="57B045E2" w:rsidR="00CF0B3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345E95" w14:paraId="39BF5095" w14:textId="77777777" w:rsidTr="00C26113">
        <w:tc>
          <w:tcPr>
            <w:tcW w:w="7308" w:type="dxa"/>
            <w:shd w:val="clear" w:color="auto" w:fill="auto"/>
          </w:tcPr>
          <w:p w14:paraId="0F5FB3B8" w14:textId="150477C0" w:rsidR="00CF0B3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conservación y la ordenación sostenible de las poblaciones de cetáceos pequeños y sirenios de los países ribereños y de las poblaciones de sirenios de los países mediterráneos, así como de su hábitat en la región africana central y occidental, es una responsabilidad que debe compartirse; y</w:t>
            </w:r>
          </w:p>
        </w:tc>
        <w:tc>
          <w:tcPr>
            <w:tcW w:w="1548" w:type="dxa"/>
            <w:shd w:val="clear" w:color="auto" w:fill="auto"/>
          </w:tcPr>
          <w:p w14:paraId="657E4F91" w14:textId="62C44A8C" w:rsidR="00CF0B3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345E95" w14:paraId="00936D8B" w14:textId="77777777" w:rsidTr="00C26113">
        <w:tc>
          <w:tcPr>
            <w:tcW w:w="7308" w:type="dxa"/>
            <w:shd w:val="clear" w:color="auto" w:fill="auto"/>
          </w:tcPr>
          <w:p w14:paraId="17A6A9DE" w14:textId="36E621D4" w:rsidR="00CF0B3A" w:rsidRPr="006F3667" w:rsidRDefault="007A51FF" w:rsidP="007A51F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el gran interés existente por promover la transferencia de la experiencia obtenida por la CMS y los acuerdos pertinentes de la misma;</w:t>
            </w:r>
          </w:p>
        </w:tc>
        <w:tc>
          <w:tcPr>
            <w:tcW w:w="1548" w:type="dxa"/>
            <w:shd w:val="clear" w:color="auto" w:fill="auto"/>
          </w:tcPr>
          <w:p w14:paraId="6FCF58ED" w14:textId="2B50242E" w:rsidR="00CF0B3A" w:rsidRPr="00345E95" w:rsidRDefault="00644FB1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6F3667" w14:paraId="030F44D6" w14:textId="77777777" w:rsidTr="00C26113">
        <w:tc>
          <w:tcPr>
            <w:tcW w:w="8856" w:type="dxa"/>
            <w:gridSpan w:val="2"/>
            <w:shd w:val="clear" w:color="auto" w:fill="D9D9D9" w:themeFill="background1" w:themeFillShade="D9"/>
          </w:tcPr>
          <w:p w14:paraId="74FC8176" w14:textId="77777777" w:rsidR="00927469" w:rsidRPr="006F3667" w:rsidRDefault="00927469" w:rsidP="009274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18B56C7A" w14:textId="15FF7CC9" w:rsidR="00CF0B3A" w:rsidRPr="006F3667" w:rsidRDefault="00927469" w:rsidP="0092746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CF0B3A" w:rsidRPr="00345E95" w14:paraId="29CA914A" w14:textId="77777777" w:rsidTr="00C26113">
        <w:tc>
          <w:tcPr>
            <w:tcW w:w="7308" w:type="dxa"/>
            <w:shd w:val="clear" w:color="auto" w:fill="auto"/>
          </w:tcPr>
          <w:p w14:paraId="46D719D3" w14:textId="40D9FAB6" w:rsidR="00CF0B3A" w:rsidRPr="006F3667" w:rsidRDefault="00CF0B3A" w:rsidP="00E762AE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1. </w:t>
            </w:r>
            <w:r w:rsidR="008F4E6E" w:rsidRPr="006F3667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Alienta</w:t>
            </w:r>
            <w:r w:rsidR="008F4E6E" w:rsidRPr="006F366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, sobre la base de las recomendaciones del taller de Conakry y de las </w:t>
            </w:r>
            <w:proofErr w:type="spellStart"/>
            <w:r w:rsidR="00E762AE" w:rsidRPr="006F366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>principals</w:t>
            </w:r>
            <w:proofErr w:type="spellEnd"/>
            <w:r w:rsidR="00E762AE" w:rsidRPr="006F366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preocupaciones expresadas por los países mediterráneos, a todas las Partes en el área de distribución a</w:t>
            </w:r>
            <w:r w:rsidR="00E762A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que examinen la posibilidad de concertar un memorando de entendimiento sobre dichas especies, y de</w:t>
            </w:r>
            <w:r w:rsidR="00E762A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aplicar medidas en colaboración, en especial mediante planes de acción, que tendrían en cuenta las</w:t>
            </w:r>
            <w:r w:rsidR="00E762A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características específicas de las aguas internas y marítimas;</w:t>
            </w:r>
          </w:p>
        </w:tc>
        <w:tc>
          <w:tcPr>
            <w:tcW w:w="1548" w:type="dxa"/>
            <w:shd w:val="clear" w:color="auto" w:fill="auto"/>
          </w:tcPr>
          <w:p w14:paraId="45069D3A" w14:textId="5AC8CECF" w:rsidR="00CF0B3A" w:rsidRPr="00345E95" w:rsidRDefault="00925F5D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1B6810" w:rsidRPr="00345E95" w14:paraId="2A1377A4" w14:textId="77777777" w:rsidTr="00C26113">
        <w:tc>
          <w:tcPr>
            <w:tcW w:w="7308" w:type="dxa"/>
            <w:shd w:val="clear" w:color="auto" w:fill="auto"/>
          </w:tcPr>
          <w:p w14:paraId="42CAA03F" w14:textId="4DCC0373" w:rsidR="001B6810" w:rsidRPr="006F3667" w:rsidRDefault="001B6810" w:rsidP="00E762AE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2. </w:t>
            </w:r>
            <w:r w:rsidR="008F4E6E" w:rsidRPr="006F3667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Insta</w:t>
            </w:r>
            <w:r w:rsidR="008F4E6E" w:rsidRPr="006F366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 participar a todos los interesados, incluidos los organismos gubernamentales</w:t>
            </w:r>
            <w:r w:rsidR="00E762AE" w:rsidRPr="006F366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encargados de la conservación y ordenación de los cetáceos pequeños y los sirenios, así como las</w:t>
            </w:r>
            <w:r w:rsidR="00E762A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organizaciones no gubernamentales pertinentes y la comunidad científica internacional;</w:t>
            </w:r>
          </w:p>
        </w:tc>
        <w:tc>
          <w:tcPr>
            <w:tcW w:w="1548" w:type="dxa"/>
            <w:shd w:val="clear" w:color="auto" w:fill="auto"/>
          </w:tcPr>
          <w:p w14:paraId="7272682D" w14:textId="390080C4" w:rsidR="001B6810" w:rsidRPr="00345E95" w:rsidRDefault="00925F5D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1B6810" w:rsidRPr="00345E95" w14:paraId="21970F29" w14:textId="77777777" w:rsidTr="00C26113">
        <w:tc>
          <w:tcPr>
            <w:tcW w:w="7308" w:type="dxa"/>
            <w:shd w:val="clear" w:color="auto" w:fill="auto"/>
          </w:tcPr>
          <w:p w14:paraId="5B91AC01" w14:textId="0499C6BC" w:rsidR="008F4E6E" w:rsidRPr="006F3667" w:rsidRDefault="005D365D" w:rsidP="00E762A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3.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F36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1.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Reconoce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la necesidad de promover la conservación de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estas especies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F36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los cetáceos pequeños y los sirenios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>en cooperación entre</w:t>
            </w:r>
            <w:r w:rsidR="00E762AE"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los diversos sectores de la sociedad, incluidos los de otras zonas, tales como 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empresas de</w:t>
            </w:r>
            <w:r w:rsidR="00E762AE"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>hidrocarburos, las industrias de la pesca y la acuicultura y los operadores turísticos;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F36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548" w:type="dxa"/>
            <w:shd w:val="clear" w:color="auto" w:fill="auto"/>
          </w:tcPr>
          <w:p w14:paraId="7E807861" w14:textId="65EB94F2" w:rsidR="001B6810" w:rsidRPr="00345E95" w:rsidRDefault="00644FB1" w:rsidP="00EF2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Mantener</w:t>
            </w:r>
            <w:proofErr w:type="spellEnd"/>
          </w:p>
        </w:tc>
      </w:tr>
      <w:tr w:rsidR="001B6810" w:rsidRPr="00345E95" w14:paraId="63CBF8D0" w14:textId="77777777" w:rsidTr="00CF0B3A">
        <w:trPr>
          <w:trHeight w:val="817"/>
        </w:trPr>
        <w:tc>
          <w:tcPr>
            <w:tcW w:w="7308" w:type="dxa"/>
            <w:shd w:val="clear" w:color="auto" w:fill="auto"/>
          </w:tcPr>
          <w:p w14:paraId="35EE2339" w14:textId="1A69DE1C" w:rsidR="001B6810" w:rsidRPr="006F3667" w:rsidRDefault="005D365D" w:rsidP="00E762A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4. </w:t>
            </w:r>
            <w:r w:rsidR="008F4E6E" w:rsidRPr="006F3667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Recomienda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 los países de la región que designen cuanto antes un coordinador para la fase de</w:t>
            </w:r>
            <w:r w:rsidR="00E762A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preparación del memorando de entendimiento; y</w:t>
            </w:r>
          </w:p>
        </w:tc>
        <w:tc>
          <w:tcPr>
            <w:tcW w:w="1548" w:type="dxa"/>
            <w:shd w:val="clear" w:color="auto" w:fill="auto"/>
          </w:tcPr>
          <w:p w14:paraId="0BCA1D20" w14:textId="38D7BB49" w:rsidR="001B6810" w:rsidRPr="00345E95" w:rsidRDefault="00925F5D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1B6810" w:rsidRPr="00345E95" w14:paraId="01614AA0" w14:textId="77777777" w:rsidTr="00C26113">
        <w:tc>
          <w:tcPr>
            <w:tcW w:w="7308" w:type="dxa"/>
            <w:shd w:val="clear" w:color="auto" w:fill="auto"/>
          </w:tcPr>
          <w:p w14:paraId="741BCABE" w14:textId="7259F107" w:rsidR="001B6810" w:rsidRPr="006F3667" w:rsidRDefault="001B6810" w:rsidP="00E762AE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F366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5.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44CBC" w:rsidRPr="006F366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2. </w:t>
            </w:r>
            <w:r w:rsidR="008F4E6E" w:rsidRPr="006F3667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 xml:space="preserve">Recomienda </w:t>
            </w:r>
            <w:r w:rsidR="008F4E6E" w:rsidRPr="006F3667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asimismo</w:t>
            </w:r>
            <w:r w:rsidR="008F4E6E" w:rsidRPr="006F366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que se acuda a interlocutores técnicos y financieros multilaterales y</w:t>
            </w:r>
            <w:r w:rsidR="00E762AE" w:rsidRPr="006F366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r w:rsidR="008F4E6E" w:rsidRPr="006F3667">
              <w:rPr>
                <w:rFonts w:ascii="Arial" w:hAnsi="Arial" w:cs="Arial"/>
                <w:sz w:val="22"/>
                <w:szCs w:val="22"/>
                <w:lang w:val="es-ES"/>
              </w:rPr>
              <w:t>bilaterales para facilitar la aplicación de la presente recomendación</w:t>
            </w:r>
            <w:r w:rsidRPr="006F366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693DC2A6" w14:textId="2A1C3AA4" w:rsidR="001B6810" w:rsidRPr="00345E95" w:rsidRDefault="00644FB1" w:rsidP="00EF2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</w:tbl>
    <w:p w14:paraId="3ADE910B" w14:textId="77777777" w:rsidR="0048197A" w:rsidRPr="00345E95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345E95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eastAsia="PMingLiU" w:hAnsi="Arial" w:cs="Arial"/>
          <w:b/>
          <w:caps/>
          <w:sz w:val="22"/>
          <w:szCs w:val="22"/>
          <w:lang w:val="en-GB"/>
        </w:rPr>
        <w:sectPr w:rsidR="00D80EC0" w:rsidRPr="00345E95" w:rsidSect="000B0491">
          <w:headerReference w:type="even" r:id="rId13"/>
          <w:head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286B36F7" w:rsidR="00D80EC0" w:rsidRPr="00345E95" w:rsidRDefault="00272DFF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eastAsia="Calibri" w:hAnsi="Arial" w:cs="Arial"/>
          <w:b/>
          <w:caps/>
          <w:sz w:val="22"/>
          <w:szCs w:val="22"/>
          <w:lang w:val="en-GB"/>
        </w:rPr>
        <w:lastRenderedPageBreak/>
        <w:t>An</w:t>
      </w:r>
      <w:r w:rsidR="00D80EC0" w:rsidRPr="00345E95">
        <w:rPr>
          <w:rFonts w:ascii="Arial" w:eastAsia="Calibri" w:hAnsi="Arial" w:cs="Arial"/>
          <w:b/>
          <w:caps/>
          <w:sz w:val="22"/>
          <w:szCs w:val="22"/>
          <w:lang w:val="en-GB"/>
        </w:rPr>
        <w:t>ex</w:t>
      </w:r>
      <w:r>
        <w:rPr>
          <w:rFonts w:ascii="Arial" w:eastAsia="Calibri" w:hAnsi="Arial" w:cs="Arial"/>
          <w:b/>
          <w:caps/>
          <w:sz w:val="22"/>
          <w:szCs w:val="22"/>
          <w:lang w:val="en-GB"/>
        </w:rPr>
        <w:t>o</w:t>
      </w:r>
      <w:r w:rsidR="00D80EC0" w:rsidRPr="00345E95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345E95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3EAB7311" w14:textId="77777777" w:rsidR="00294458" w:rsidRPr="00294458" w:rsidRDefault="00294458" w:rsidP="00294458">
      <w:pPr>
        <w:pStyle w:val="p1"/>
        <w:jc w:val="center"/>
        <w:rPr>
          <w:rFonts w:ascii="Arial" w:hAnsi="Arial" w:cs="Arial"/>
          <w:b/>
          <w:caps/>
          <w:sz w:val="22"/>
          <w:szCs w:val="22"/>
        </w:rPr>
      </w:pPr>
      <w:r w:rsidRPr="00294458">
        <w:rPr>
          <w:rFonts w:ascii="Arial" w:eastAsia="Calibri" w:hAnsi="Arial" w:cs="Arial"/>
          <w:b/>
          <w:caps/>
          <w:sz w:val="22"/>
          <w:szCs w:val="22"/>
        </w:rPr>
        <w:t>Resolución</w:t>
      </w:r>
      <w:r w:rsidRPr="00294458">
        <w:rPr>
          <w:rFonts w:ascii="Arial" w:hAnsi="Arial" w:cs="Arial"/>
          <w:b/>
          <w:caps/>
          <w:sz w:val="22"/>
          <w:szCs w:val="22"/>
        </w:rPr>
        <w:t xml:space="preserve"> 7.</w:t>
      </w:r>
      <w:r w:rsidRPr="00294458">
        <w:rPr>
          <w:rFonts w:ascii="Arial" w:eastAsia="Calibri" w:hAnsi="Arial" w:cs="Arial"/>
          <w:b/>
          <w:caps/>
          <w:sz w:val="22"/>
          <w:szCs w:val="22"/>
        </w:rPr>
        <w:t>X</w:t>
      </w:r>
      <w:r w:rsidRPr="00294458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2"/>
        <w:t xml:space="preserve">1 </w:t>
      </w:r>
      <w:r w:rsidRPr="00294458">
        <w:rPr>
          <w:rFonts w:ascii="Arial" w:hAnsi="Arial" w:cs="Arial"/>
          <w:b/>
          <w:caps/>
          <w:sz w:val="22"/>
          <w:szCs w:val="22"/>
        </w:rPr>
        <w:t>(</w:t>
      </w:r>
      <w:r w:rsidRPr="00294458">
        <w:rPr>
          <w:rFonts w:ascii="Arial" w:eastAsia="Calibri" w:hAnsi="Arial" w:cs="Arial"/>
          <w:b/>
          <w:caps/>
          <w:sz w:val="22"/>
          <w:szCs w:val="22"/>
        </w:rPr>
        <w:t>REV</w:t>
      </w:r>
      <w:r w:rsidRPr="00294458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294458">
        <w:rPr>
          <w:rFonts w:ascii="Arial" w:eastAsia="Calibri" w:hAnsi="Arial" w:cs="Arial"/>
          <w:b/>
          <w:caps/>
          <w:sz w:val="22"/>
          <w:szCs w:val="22"/>
        </w:rPr>
        <w:t>COP</w:t>
      </w:r>
      <w:r w:rsidRPr="00294458">
        <w:rPr>
          <w:rFonts w:ascii="Arial" w:hAnsi="Arial" w:cs="Arial"/>
          <w:b/>
          <w:caps/>
          <w:sz w:val="22"/>
          <w:szCs w:val="22"/>
        </w:rPr>
        <w:t>12)</w:t>
      </w:r>
    </w:p>
    <w:p w14:paraId="526A1EB4" w14:textId="77777777" w:rsidR="00294458" w:rsidRDefault="00294458" w:rsidP="00294458">
      <w:pPr>
        <w:pStyle w:val="p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C28BCD3" w14:textId="77777777" w:rsidR="00294458" w:rsidRPr="006F3667" w:rsidRDefault="00294458" w:rsidP="00294458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6F3667">
        <w:rPr>
          <w:rFonts w:ascii="Arial" w:hAnsi="Arial" w:cs="Arial"/>
          <w:b/>
          <w:caps/>
          <w:sz w:val="22"/>
          <w:szCs w:val="22"/>
          <w:lang w:val="es-ES"/>
        </w:rPr>
        <w:t>COORDINACIÓN REGIONAL PARA LOS CETÁCEOS PEQUEÑOS Y LOS SIRENIOS DE ÁFRICA CENTRAL Y OCCIDENTAL</w:t>
      </w:r>
    </w:p>
    <w:p w14:paraId="446964E7" w14:textId="77777777" w:rsidR="0031600D" w:rsidRPr="006F3667" w:rsidRDefault="0031600D" w:rsidP="00844CBC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67F1AEAC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Tomando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nota de las decisiones del taller de Conakry sobre la conservación y ordenación de los cetáceos pequeños de la costa de África (8 a 12 de mayo de 2000);</w:t>
      </w:r>
    </w:p>
    <w:p w14:paraId="12C0A3A7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DC6EF0D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Tomando nota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en especial de la inclusión del manatí del África occidental </w:t>
      </w:r>
      <w:proofErr w:type="spellStart"/>
      <w:r w:rsidRPr="003E58F8">
        <w:rPr>
          <w:rFonts w:ascii="Arial" w:hAnsi="Arial" w:cs="Arial"/>
          <w:i/>
          <w:sz w:val="22"/>
          <w:szCs w:val="22"/>
          <w:lang w:val="es-ES"/>
        </w:rPr>
        <w:t>Trichechus</w:t>
      </w:r>
      <w:proofErr w:type="spellEnd"/>
      <w:r w:rsidRPr="003E58F8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3E58F8">
        <w:rPr>
          <w:rFonts w:ascii="Arial" w:hAnsi="Arial" w:cs="Arial"/>
          <w:i/>
          <w:sz w:val="22"/>
          <w:szCs w:val="22"/>
          <w:lang w:val="es-ES"/>
        </w:rPr>
        <w:t>senegalensis</w:t>
      </w:r>
      <w:proofErr w:type="spellEnd"/>
      <w:r w:rsidRPr="006F3667">
        <w:rPr>
          <w:rFonts w:ascii="Arial" w:hAnsi="Arial" w:cs="Arial"/>
          <w:sz w:val="22"/>
          <w:szCs w:val="22"/>
          <w:lang w:val="es-ES"/>
        </w:rPr>
        <w:t xml:space="preserve"> en el Apéndice II a la CMS;</w:t>
      </w:r>
    </w:p>
    <w:p w14:paraId="03530694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3CD9526" w14:textId="50DF65D2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que las comunidades de las costas atlánticas y las que viven en las zonas litorales internas valoran los cetáceos pequeños por su interés patrimonial, económico, científico, turístico y educativo</w:t>
      </w:r>
      <w:r w:rsidR="003E58F8">
        <w:rPr>
          <w:rFonts w:ascii="Arial" w:hAnsi="Arial" w:cs="Arial"/>
          <w:sz w:val="22"/>
          <w:szCs w:val="22"/>
          <w:lang w:val="es-ES"/>
        </w:rPr>
        <w:t>,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así como por constituir un aspecto importante de la diversidad biológica mundial;</w:t>
      </w:r>
    </w:p>
    <w:p w14:paraId="23301C22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0DF9AF6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Conscientes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de que las amenazas que se ciernen sobre estas especies, que resultan en especial de la destrucción o modificación de su hábitat por el desarrollo urbanístico de las zonas litorales marítimas y fluviales, la contaminación, la agricultura, la mayor mortalidad y la captura incidental, pueden, si no son objeto de ordenación adecuada, llevar a una disminución aún más pronunciada de sus poblaciones;</w:t>
      </w:r>
    </w:p>
    <w:p w14:paraId="07B3F8F5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D48A623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Conscientes asimismo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de que esas especies migratorias se desplazan entre jurisdicciones nacionales;</w:t>
      </w:r>
    </w:p>
    <w:p w14:paraId="1E6286C1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71A4D3A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Haciéndose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</w:t>
      </w:r>
      <w:r w:rsidRPr="006F3667">
        <w:rPr>
          <w:rFonts w:ascii="Arial" w:hAnsi="Arial" w:cs="Arial"/>
          <w:i/>
          <w:sz w:val="22"/>
          <w:szCs w:val="22"/>
          <w:lang w:val="es-ES"/>
        </w:rPr>
        <w:t>eco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de las iniciativas de diversas instituciones nacionales e internacionales de los Estados del área de distribución, con el fin de incrementar los conocimientos sobre dichas especies y las amenazas que pesan sobre ellas;</w:t>
      </w:r>
    </w:p>
    <w:p w14:paraId="44D852FC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71192F9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que la conservación y la ordenación sostenible de las poblaciones de cetáceos pequeños y sirenios de los países ribereños y de las poblaciones de sirenios de los países mediterráneos, así como de su hábitat en la región africana central y occidental, es una responsabilidad que debe compartirse; y</w:t>
      </w:r>
    </w:p>
    <w:p w14:paraId="39F46237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8401952" w14:textId="77777777" w:rsidR="0034751C" w:rsidRPr="006F3667" w:rsidRDefault="0034751C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el gran interés existente por promover la transferencia de la experiencia obtenida por la CMS y los acuerdos pertinentes de la misma;</w:t>
      </w:r>
    </w:p>
    <w:p w14:paraId="6F68BB8F" w14:textId="4ADB6C1E" w:rsidR="0034751C" w:rsidRDefault="0034751C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5ECF9D47" w14:textId="77777777" w:rsidR="003E58F8" w:rsidRPr="006F3667" w:rsidRDefault="003E58F8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7E1847D6" w14:textId="77777777" w:rsidR="0034751C" w:rsidRPr="006F3667" w:rsidRDefault="0034751C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0488CFE9" w14:textId="77777777" w:rsidR="0034751C" w:rsidRPr="006F3667" w:rsidRDefault="0034751C" w:rsidP="005503D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1FF04627" w14:textId="77777777" w:rsidR="0034751C" w:rsidRPr="006F3667" w:rsidRDefault="0034751C" w:rsidP="005503DF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D5482EF" w14:textId="7F231842" w:rsidR="0034751C" w:rsidRPr="003E58F8" w:rsidRDefault="0034751C" w:rsidP="0034751C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>Reconoce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la necesidad de promover la conservación de </w:t>
      </w:r>
      <w:r w:rsidRPr="003E58F8">
        <w:rPr>
          <w:rFonts w:ascii="Arial" w:hAnsi="Arial" w:cs="Arial"/>
          <w:sz w:val="22"/>
          <w:szCs w:val="22"/>
          <w:lang w:val="es-ES"/>
        </w:rPr>
        <w:t>los cetáceos pequeños y los sirenios</w:t>
      </w:r>
      <w:r w:rsidRPr="006F3667">
        <w:rPr>
          <w:rFonts w:ascii="Arial" w:hAnsi="Arial" w:cs="Arial"/>
          <w:sz w:val="22"/>
          <w:szCs w:val="22"/>
          <w:lang w:val="es-ES"/>
        </w:rPr>
        <w:t xml:space="preserve"> en cooperación entre los diversos sectores de la sociedad, incluidos los de otras zonas, tales como empresas de hidrocarburos, las industrias de la pesca y la acuicultura y los operadores turísticos; </w:t>
      </w:r>
      <w:r w:rsidRPr="003E58F8">
        <w:rPr>
          <w:rFonts w:ascii="Arial" w:hAnsi="Arial" w:cs="Arial"/>
          <w:sz w:val="22"/>
          <w:szCs w:val="22"/>
          <w:lang w:val="es-ES"/>
        </w:rPr>
        <w:t>y</w:t>
      </w:r>
    </w:p>
    <w:p w14:paraId="64C58744" w14:textId="77777777" w:rsidR="0034751C" w:rsidRPr="006F3667" w:rsidRDefault="0034751C" w:rsidP="0034751C">
      <w:pPr>
        <w:pStyle w:val="ListParagraph"/>
        <w:widowControl/>
        <w:autoSpaceDE/>
        <w:autoSpaceDN/>
        <w:adjustRightInd/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14:paraId="774BB7A8" w14:textId="683642AC" w:rsidR="00844CBC" w:rsidRPr="006F3667" w:rsidRDefault="0034751C" w:rsidP="0034751C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360" w:hanging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6F3667">
        <w:rPr>
          <w:rFonts w:ascii="Arial" w:hAnsi="Arial" w:cs="Arial"/>
          <w:i/>
          <w:sz w:val="22"/>
          <w:szCs w:val="22"/>
          <w:lang w:val="es-ES"/>
        </w:rPr>
        <w:t xml:space="preserve">Recomienda </w:t>
      </w:r>
      <w:r w:rsidRPr="006F3667">
        <w:rPr>
          <w:rFonts w:ascii="Arial" w:hAnsi="Arial" w:cs="Arial"/>
          <w:sz w:val="22"/>
          <w:szCs w:val="22"/>
          <w:lang w:val="es-ES"/>
        </w:rPr>
        <w:t>que se acuda a interlocutores técnicos y financieros multilaterales y bilaterales para facilitar la aplicación de la presente recomendación.</w:t>
      </w:r>
    </w:p>
    <w:sectPr w:rsidR="00844CBC" w:rsidRPr="006F3667" w:rsidSect="000B0491">
      <w:headerReference w:type="even" r:id="rId17"/>
      <w:headerReference w:type="default" r:id="rId18"/>
      <w:headerReference w:type="first" r:id="rId19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0127" w14:textId="77777777" w:rsidR="00FD125D" w:rsidRDefault="00FD125D">
      <w:r>
        <w:separator/>
      </w:r>
    </w:p>
  </w:endnote>
  <w:endnote w:type="continuationSeparator" w:id="0">
    <w:p w14:paraId="496361C0" w14:textId="77777777" w:rsidR="00FD125D" w:rsidRDefault="00F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00AC" w14:textId="77777777" w:rsidR="00927469" w:rsidRPr="00922791" w:rsidRDefault="00927469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60BC" w14:textId="1893D2D2" w:rsidR="00927469" w:rsidRPr="00922791" w:rsidRDefault="00927469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3E58F8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6298E94F" w:rsidR="00C26113" w:rsidRPr="00332843" w:rsidRDefault="00C26113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C6054B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D7BB" w14:textId="77777777" w:rsidR="00FD125D" w:rsidRDefault="00FD125D">
      <w:r>
        <w:separator/>
      </w:r>
    </w:p>
  </w:footnote>
  <w:footnote w:type="continuationSeparator" w:id="0">
    <w:p w14:paraId="316BED08" w14:textId="77777777" w:rsidR="00FD125D" w:rsidRDefault="00FD125D">
      <w:r>
        <w:continuationSeparator/>
      </w:r>
    </w:p>
  </w:footnote>
  <w:footnote w:id="1">
    <w:p w14:paraId="42C5EC4E" w14:textId="623FD792" w:rsidR="00113392" w:rsidRPr="003E58F8" w:rsidRDefault="00113392" w:rsidP="00113392">
      <w:pPr>
        <w:pStyle w:val="FootnoteText"/>
        <w:rPr>
          <w:sz w:val="18"/>
          <w:szCs w:val="18"/>
        </w:rPr>
      </w:pPr>
      <w:r w:rsidRPr="003E58F8">
        <w:rPr>
          <w:rStyle w:val="FootnoteReference"/>
          <w:rFonts w:ascii="Arial" w:hAnsi="Arial" w:cs="Arial"/>
          <w:sz w:val="18"/>
          <w:szCs w:val="18"/>
          <w:u w:val="single"/>
          <w:vertAlign w:val="superscript"/>
        </w:rPr>
        <w:t>1</w:t>
      </w:r>
      <w:r w:rsidRPr="003E58F8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3E58F8">
        <w:rPr>
          <w:rFonts w:ascii="Arial" w:hAnsi="Arial" w:cs="Arial"/>
          <w:sz w:val="18"/>
          <w:szCs w:val="18"/>
          <w:u w:val="single"/>
        </w:rPr>
        <w:t>Anteriormente</w:t>
      </w:r>
      <w:proofErr w:type="spellEnd"/>
      <w:r w:rsidRPr="003E58F8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3E58F8">
        <w:rPr>
          <w:rFonts w:ascii="Arial" w:hAnsi="Arial" w:cs="Arial"/>
          <w:sz w:val="18"/>
          <w:szCs w:val="18"/>
          <w:u w:val="single"/>
        </w:rPr>
        <w:t>Recomendación</w:t>
      </w:r>
      <w:proofErr w:type="spellEnd"/>
      <w:r w:rsidRPr="003E58F8">
        <w:rPr>
          <w:rFonts w:ascii="Arial" w:hAnsi="Arial" w:cs="Arial"/>
          <w:sz w:val="18"/>
          <w:szCs w:val="18"/>
          <w:u w:val="single"/>
        </w:rPr>
        <w:t xml:space="preserve"> 7.3.</w:t>
      </w:r>
    </w:p>
  </w:footnote>
  <w:footnote w:id="2">
    <w:p w14:paraId="51E0D7E6" w14:textId="77777777" w:rsidR="00294458" w:rsidRPr="003E58F8" w:rsidRDefault="00294458" w:rsidP="00294458">
      <w:pPr>
        <w:pStyle w:val="FootnoteText"/>
        <w:rPr>
          <w:sz w:val="18"/>
          <w:szCs w:val="18"/>
        </w:rPr>
      </w:pPr>
      <w:r w:rsidRPr="003E58F8"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 w:rsidRPr="003E58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58F8">
        <w:rPr>
          <w:rFonts w:ascii="Arial" w:hAnsi="Arial" w:cs="Arial"/>
          <w:sz w:val="18"/>
          <w:szCs w:val="18"/>
        </w:rPr>
        <w:t>Anteriormente</w:t>
      </w:r>
      <w:proofErr w:type="spellEnd"/>
      <w:r w:rsidRPr="003E58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58F8">
        <w:rPr>
          <w:rFonts w:ascii="Arial" w:hAnsi="Arial" w:cs="Arial"/>
          <w:sz w:val="18"/>
          <w:szCs w:val="18"/>
        </w:rPr>
        <w:t>Recomendación</w:t>
      </w:r>
      <w:proofErr w:type="spellEnd"/>
      <w:r w:rsidRPr="003E58F8">
        <w:rPr>
          <w:rFonts w:ascii="Arial" w:hAnsi="Arial" w:cs="Arial"/>
          <w:sz w:val="18"/>
          <w:szCs w:val="18"/>
        </w:rPr>
        <w:t xml:space="preserve"> 7.3.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26E2" w14:textId="77777777" w:rsidR="00927469" w:rsidRPr="00922791" w:rsidRDefault="0092746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0A50" w14:textId="77777777" w:rsidR="00927469" w:rsidRPr="00922791" w:rsidRDefault="0092746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562760A0" w14:textId="77777777" w:rsidR="00927469" w:rsidRPr="00354A9C" w:rsidRDefault="00927469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54C3" w14:textId="6575C2AF" w:rsidR="00927469" w:rsidRDefault="006F3667" w:rsidP="00894D19">
    <w:pPr>
      <w:pStyle w:val="Header"/>
    </w:pPr>
    <w:r w:rsidRPr="00950546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71BA98F3" wp14:editId="37E6BCA8">
          <wp:simplePos x="0" y="0"/>
          <wp:positionH relativeFrom="column">
            <wp:posOffset>-224790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469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BCC16F0" wp14:editId="06A227AE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58646" w14:textId="77777777" w:rsidR="00927469" w:rsidRDefault="009274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C26113" w:rsidRPr="00332843" w:rsidRDefault="00C26113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393C9B32" w:rsidR="00C26113" w:rsidRPr="00922791" w:rsidRDefault="006F3667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644FB1">
      <w:rPr>
        <w:rFonts w:ascii="Arial" w:hAnsi="Arial" w:cs="Arial"/>
        <w:b w:val="0"/>
        <w:i/>
        <w:sz w:val="18"/>
        <w:szCs w:val="18"/>
        <w:lang w:val="en-US"/>
      </w:rPr>
      <w:t>1.11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272DFF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04773611" w:rsidR="00C26113" w:rsidRPr="00922791" w:rsidRDefault="006F3667" w:rsidP="006F3667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644FB1">
      <w:rPr>
        <w:rFonts w:ascii="Arial" w:hAnsi="Arial" w:cs="Arial"/>
        <w:b w:val="0"/>
        <w:i/>
        <w:sz w:val="18"/>
        <w:szCs w:val="18"/>
        <w:lang w:val="en-US"/>
      </w:rPr>
      <w:t>1.11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272DFF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C26113" w:rsidRDefault="00C26113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C26113" w:rsidRPr="00332843" w:rsidRDefault="00C26113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69A0332C" w:rsidR="00C26113" w:rsidRPr="00922791" w:rsidRDefault="006F3667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644FB1">
      <w:rPr>
        <w:rFonts w:ascii="Arial" w:hAnsi="Arial" w:cs="Arial"/>
        <w:b w:val="0"/>
        <w:i/>
        <w:sz w:val="18"/>
        <w:szCs w:val="18"/>
        <w:lang w:val="en-US"/>
      </w:rPr>
      <w:t>1.11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272DFF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C26113" w:rsidRDefault="00C26113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2707D9"/>
    <w:multiLevelType w:val="hybridMultilevel"/>
    <w:tmpl w:val="95AEAED0"/>
    <w:lvl w:ilvl="0" w:tplc="906C069A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14A"/>
    <w:multiLevelType w:val="hybridMultilevel"/>
    <w:tmpl w:val="9D5C7778"/>
    <w:lvl w:ilvl="0" w:tplc="FC3AF0A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38F"/>
    <w:multiLevelType w:val="hybridMultilevel"/>
    <w:tmpl w:val="BA0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111C"/>
    <w:rsid w:val="00007296"/>
    <w:rsid w:val="000100FA"/>
    <w:rsid w:val="000175F8"/>
    <w:rsid w:val="000254DF"/>
    <w:rsid w:val="0003449E"/>
    <w:rsid w:val="00036C53"/>
    <w:rsid w:val="000518C2"/>
    <w:rsid w:val="00056DC1"/>
    <w:rsid w:val="00060156"/>
    <w:rsid w:val="000625EA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F0B93"/>
    <w:rsid w:val="000F1156"/>
    <w:rsid w:val="000F52BA"/>
    <w:rsid w:val="00113392"/>
    <w:rsid w:val="001151A3"/>
    <w:rsid w:val="001245DF"/>
    <w:rsid w:val="00130BFD"/>
    <w:rsid w:val="0014110E"/>
    <w:rsid w:val="001419C7"/>
    <w:rsid w:val="00150AC4"/>
    <w:rsid w:val="00162D88"/>
    <w:rsid w:val="00166ABA"/>
    <w:rsid w:val="001743FD"/>
    <w:rsid w:val="001764E6"/>
    <w:rsid w:val="001808F1"/>
    <w:rsid w:val="001A33B6"/>
    <w:rsid w:val="001B6810"/>
    <w:rsid w:val="001C6038"/>
    <w:rsid w:val="001F60A1"/>
    <w:rsid w:val="00200A67"/>
    <w:rsid w:val="00201F88"/>
    <w:rsid w:val="00202332"/>
    <w:rsid w:val="002210F4"/>
    <w:rsid w:val="002328E9"/>
    <w:rsid w:val="00254721"/>
    <w:rsid w:val="00263159"/>
    <w:rsid w:val="00272DFF"/>
    <w:rsid w:val="002779F7"/>
    <w:rsid w:val="00284EBE"/>
    <w:rsid w:val="00294458"/>
    <w:rsid w:val="002B478D"/>
    <w:rsid w:val="002C187A"/>
    <w:rsid w:val="002C20F1"/>
    <w:rsid w:val="002D2863"/>
    <w:rsid w:val="002D5EC0"/>
    <w:rsid w:val="002E3DEA"/>
    <w:rsid w:val="002E7CC2"/>
    <w:rsid w:val="002F6F9B"/>
    <w:rsid w:val="0031600D"/>
    <w:rsid w:val="003331C6"/>
    <w:rsid w:val="00345044"/>
    <w:rsid w:val="00345E95"/>
    <w:rsid w:val="0034751C"/>
    <w:rsid w:val="00351095"/>
    <w:rsid w:val="00354A9C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E2FBA"/>
    <w:rsid w:val="003E58F8"/>
    <w:rsid w:val="00411E65"/>
    <w:rsid w:val="00420040"/>
    <w:rsid w:val="0042146C"/>
    <w:rsid w:val="00423388"/>
    <w:rsid w:val="00426D73"/>
    <w:rsid w:val="00434FB8"/>
    <w:rsid w:val="00436612"/>
    <w:rsid w:val="00454913"/>
    <w:rsid w:val="00457441"/>
    <w:rsid w:val="004579F6"/>
    <w:rsid w:val="004656D0"/>
    <w:rsid w:val="00465B53"/>
    <w:rsid w:val="00473ABD"/>
    <w:rsid w:val="0048197A"/>
    <w:rsid w:val="00482DCA"/>
    <w:rsid w:val="004B6CFD"/>
    <w:rsid w:val="004C204D"/>
    <w:rsid w:val="004C7DE6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44E34"/>
    <w:rsid w:val="0055762E"/>
    <w:rsid w:val="00565445"/>
    <w:rsid w:val="00574800"/>
    <w:rsid w:val="00575334"/>
    <w:rsid w:val="00593736"/>
    <w:rsid w:val="005A3181"/>
    <w:rsid w:val="005B0F06"/>
    <w:rsid w:val="005B6141"/>
    <w:rsid w:val="005C3F15"/>
    <w:rsid w:val="005D365D"/>
    <w:rsid w:val="005F3989"/>
    <w:rsid w:val="005F4303"/>
    <w:rsid w:val="005F72E2"/>
    <w:rsid w:val="00601B52"/>
    <w:rsid w:val="0060280B"/>
    <w:rsid w:val="00604422"/>
    <w:rsid w:val="0060722A"/>
    <w:rsid w:val="00633B78"/>
    <w:rsid w:val="00644FB1"/>
    <w:rsid w:val="00651341"/>
    <w:rsid w:val="006815B2"/>
    <w:rsid w:val="00682B31"/>
    <w:rsid w:val="006864E1"/>
    <w:rsid w:val="00691001"/>
    <w:rsid w:val="006B1037"/>
    <w:rsid w:val="006E56AD"/>
    <w:rsid w:val="006E5763"/>
    <w:rsid w:val="006F3667"/>
    <w:rsid w:val="007101BB"/>
    <w:rsid w:val="00713308"/>
    <w:rsid w:val="00727E01"/>
    <w:rsid w:val="00752E19"/>
    <w:rsid w:val="00757614"/>
    <w:rsid w:val="007728B4"/>
    <w:rsid w:val="0077622E"/>
    <w:rsid w:val="00777FE4"/>
    <w:rsid w:val="0079075D"/>
    <w:rsid w:val="007910DD"/>
    <w:rsid w:val="007A51FF"/>
    <w:rsid w:val="007A614F"/>
    <w:rsid w:val="007C1468"/>
    <w:rsid w:val="007C41D7"/>
    <w:rsid w:val="007F16FB"/>
    <w:rsid w:val="007F1BBA"/>
    <w:rsid w:val="0081600F"/>
    <w:rsid w:val="0082722D"/>
    <w:rsid w:val="008274F7"/>
    <w:rsid w:val="008441F9"/>
    <w:rsid w:val="00844CBC"/>
    <w:rsid w:val="00846A99"/>
    <w:rsid w:val="008641D1"/>
    <w:rsid w:val="00872F67"/>
    <w:rsid w:val="008879E9"/>
    <w:rsid w:val="00893346"/>
    <w:rsid w:val="00894D19"/>
    <w:rsid w:val="008A0D8D"/>
    <w:rsid w:val="008B1A69"/>
    <w:rsid w:val="008C1A39"/>
    <w:rsid w:val="008E108B"/>
    <w:rsid w:val="008E7DFB"/>
    <w:rsid w:val="008F2C27"/>
    <w:rsid w:val="008F4E6E"/>
    <w:rsid w:val="008F7327"/>
    <w:rsid w:val="0090059C"/>
    <w:rsid w:val="009076C8"/>
    <w:rsid w:val="00915BBE"/>
    <w:rsid w:val="00921D62"/>
    <w:rsid w:val="00922791"/>
    <w:rsid w:val="009228C1"/>
    <w:rsid w:val="00925F5D"/>
    <w:rsid w:val="00927469"/>
    <w:rsid w:val="00927CD6"/>
    <w:rsid w:val="00933572"/>
    <w:rsid w:val="009363C7"/>
    <w:rsid w:val="00972D36"/>
    <w:rsid w:val="00980406"/>
    <w:rsid w:val="009A2C8F"/>
    <w:rsid w:val="009A7B65"/>
    <w:rsid w:val="009D2AD6"/>
    <w:rsid w:val="009D3A07"/>
    <w:rsid w:val="009D4711"/>
    <w:rsid w:val="009D5DA6"/>
    <w:rsid w:val="009E3A1F"/>
    <w:rsid w:val="009E3A84"/>
    <w:rsid w:val="009E3A9D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7368"/>
    <w:rsid w:val="00AB1861"/>
    <w:rsid w:val="00AB4FF9"/>
    <w:rsid w:val="00AE5AD0"/>
    <w:rsid w:val="00AE7B21"/>
    <w:rsid w:val="00AF1980"/>
    <w:rsid w:val="00AF2021"/>
    <w:rsid w:val="00B471BD"/>
    <w:rsid w:val="00B50C2D"/>
    <w:rsid w:val="00B609B6"/>
    <w:rsid w:val="00B64904"/>
    <w:rsid w:val="00BA60CE"/>
    <w:rsid w:val="00BC5607"/>
    <w:rsid w:val="00BE0D1D"/>
    <w:rsid w:val="00BE2448"/>
    <w:rsid w:val="00BE24D4"/>
    <w:rsid w:val="00BF2BE7"/>
    <w:rsid w:val="00C05102"/>
    <w:rsid w:val="00C1004B"/>
    <w:rsid w:val="00C13FA6"/>
    <w:rsid w:val="00C150DF"/>
    <w:rsid w:val="00C169ED"/>
    <w:rsid w:val="00C26113"/>
    <w:rsid w:val="00C44645"/>
    <w:rsid w:val="00C5484D"/>
    <w:rsid w:val="00C6054B"/>
    <w:rsid w:val="00C618F2"/>
    <w:rsid w:val="00C73207"/>
    <w:rsid w:val="00C7602A"/>
    <w:rsid w:val="00C82ED9"/>
    <w:rsid w:val="00C87D68"/>
    <w:rsid w:val="00C9281B"/>
    <w:rsid w:val="00CA367A"/>
    <w:rsid w:val="00CB1D26"/>
    <w:rsid w:val="00CB2448"/>
    <w:rsid w:val="00CC4C21"/>
    <w:rsid w:val="00CC57AD"/>
    <w:rsid w:val="00CE5B83"/>
    <w:rsid w:val="00CF0B3A"/>
    <w:rsid w:val="00CF6EDD"/>
    <w:rsid w:val="00D05922"/>
    <w:rsid w:val="00D225DD"/>
    <w:rsid w:val="00D40E91"/>
    <w:rsid w:val="00D42AE1"/>
    <w:rsid w:val="00D605A4"/>
    <w:rsid w:val="00D61B13"/>
    <w:rsid w:val="00D7746A"/>
    <w:rsid w:val="00D80EC0"/>
    <w:rsid w:val="00D838FE"/>
    <w:rsid w:val="00D8406F"/>
    <w:rsid w:val="00D859C7"/>
    <w:rsid w:val="00D9021F"/>
    <w:rsid w:val="00DA1080"/>
    <w:rsid w:val="00DA12C2"/>
    <w:rsid w:val="00DA21C9"/>
    <w:rsid w:val="00DB30A6"/>
    <w:rsid w:val="00DB4517"/>
    <w:rsid w:val="00DC347E"/>
    <w:rsid w:val="00DD6A9E"/>
    <w:rsid w:val="00DF3C27"/>
    <w:rsid w:val="00E00BDA"/>
    <w:rsid w:val="00E23367"/>
    <w:rsid w:val="00E31B92"/>
    <w:rsid w:val="00E475D4"/>
    <w:rsid w:val="00E74D1C"/>
    <w:rsid w:val="00E762AE"/>
    <w:rsid w:val="00E8776E"/>
    <w:rsid w:val="00E9237A"/>
    <w:rsid w:val="00EA0B88"/>
    <w:rsid w:val="00EB2285"/>
    <w:rsid w:val="00EC4294"/>
    <w:rsid w:val="00EC681E"/>
    <w:rsid w:val="00ED02D3"/>
    <w:rsid w:val="00ED5E31"/>
    <w:rsid w:val="00ED6605"/>
    <w:rsid w:val="00EE64C1"/>
    <w:rsid w:val="00EF2437"/>
    <w:rsid w:val="00EF7B53"/>
    <w:rsid w:val="00F05AA0"/>
    <w:rsid w:val="00F061CB"/>
    <w:rsid w:val="00F13D90"/>
    <w:rsid w:val="00F24050"/>
    <w:rsid w:val="00F248AA"/>
    <w:rsid w:val="00F31539"/>
    <w:rsid w:val="00F444EC"/>
    <w:rsid w:val="00F45FE3"/>
    <w:rsid w:val="00F54D03"/>
    <w:rsid w:val="00F6347A"/>
    <w:rsid w:val="00F739F6"/>
    <w:rsid w:val="00F7503A"/>
    <w:rsid w:val="00F777DA"/>
    <w:rsid w:val="00F81FEF"/>
    <w:rsid w:val="00F9407E"/>
    <w:rsid w:val="00F978B9"/>
    <w:rsid w:val="00FA61AF"/>
    <w:rsid w:val="00FD125D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1F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55">
    <w:name w:val="1AutoList55"/>
    <w:rsid w:val="00DF3C27"/>
    <w:pPr>
      <w:autoSpaceDE w:val="0"/>
      <w:autoSpaceDN w:val="0"/>
      <w:adjustRightInd w:val="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1005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2</cp:revision>
  <cp:lastPrinted>2017-04-04T22:58:00Z</cp:lastPrinted>
  <dcterms:created xsi:type="dcterms:W3CDTF">2017-06-23T11:28:00Z</dcterms:created>
  <dcterms:modified xsi:type="dcterms:W3CDTF">2017-06-23T11:28:00Z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