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552" w:type="dxa"/>
        <w:tblLayout w:type="fixed"/>
        <w:tblCellMar>
          <w:top w:w="198" w:type="dxa"/>
        </w:tblCellMar>
        <w:tblLook w:val="0000" w:firstRow="0" w:lastRow="0" w:firstColumn="0" w:lastColumn="0" w:noHBand="0" w:noVBand="0"/>
      </w:tblPr>
      <w:tblGrid>
        <w:gridCol w:w="1527"/>
        <w:gridCol w:w="4413"/>
        <w:gridCol w:w="3612"/>
      </w:tblGrid>
      <w:tr w:rsidR="00E966DE" w:rsidRPr="00FD56E6" w14:paraId="38D2A3B3" w14:textId="77777777" w:rsidTr="00EB3607">
        <w:trPr>
          <w:cantSplit/>
          <w:trHeight w:val="762"/>
        </w:trPr>
        <w:tc>
          <w:tcPr>
            <w:tcW w:w="9552" w:type="dxa"/>
            <w:gridSpan w:val="3"/>
            <w:tcBorders>
              <w:bottom w:val="single" w:sz="4" w:space="0" w:color="auto"/>
            </w:tcBorders>
            <w:tcMar>
              <w:top w:w="85" w:type="dxa"/>
            </w:tcMar>
          </w:tcPr>
          <w:p w14:paraId="3CB9A3EE" w14:textId="2A71F082" w:rsidR="001A259F" w:rsidRPr="001A259F" w:rsidRDefault="00EB3607" w:rsidP="00EB3607">
            <w:pPr>
              <w:tabs>
                <w:tab w:val="left" w:pos="-1057"/>
                <w:tab w:val="left" w:pos="-720"/>
                <w:tab w:val="left" w:pos="0"/>
                <w:tab w:val="left" w:pos="141"/>
                <w:tab w:val="left" w:pos="720"/>
                <w:tab w:val="right" w:pos="8955"/>
              </w:tabs>
              <w:jc w:val="both"/>
              <w:rPr>
                <w:lang w:val="en-GB"/>
              </w:rPr>
            </w:pPr>
            <w:r>
              <w:rPr>
                <w:noProof/>
              </w:rPr>
              <w:drawing>
                <wp:anchor distT="0" distB="0" distL="114300" distR="114300" simplePos="0" relativeHeight="251661312" behindDoc="0" locked="0" layoutInCell="1" allowOverlap="1" wp14:anchorId="7A9E7FA8" wp14:editId="49A4F371">
                  <wp:simplePos x="0" y="0"/>
                  <wp:positionH relativeFrom="column">
                    <wp:posOffset>-48260</wp:posOffset>
                  </wp:positionH>
                  <wp:positionV relativeFrom="page">
                    <wp:posOffset>-21590</wp:posOffset>
                  </wp:positionV>
                  <wp:extent cx="636270" cy="466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0288" behindDoc="0" locked="0" layoutInCell="1" allowOverlap="1" wp14:anchorId="2C4D1156" wp14:editId="2E5D3AC9">
                  <wp:simplePos x="0" y="0"/>
                  <wp:positionH relativeFrom="column">
                    <wp:posOffset>654685</wp:posOffset>
                  </wp:positionH>
                  <wp:positionV relativeFrom="paragraph">
                    <wp:posOffset>-8255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66DE" w:rsidRPr="004F3975" w14:paraId="2D85A1D7" w14:textId="77777777" w:rsidTr="00EB3607">
        <w:trPr>
          <w:trHeight w:val="1406"/>
        </w:trPr>
        <w:tc>
          <w:tcPr>
            <w:tcW w:w="1527" w:type="dxa"/>
            <w:tcBorders>
              <w:top w:val="single" w:sz="4" w:space="0" w:color="auto"/>
              <w:bottom w:val="single" w:sz="4" w:space="0" w:color="auto"/>
            </w:tcBorders>
            <w:tcMar>
              <w:top w:w="85" w:type="dxa"/>
            </w:tcMar>
          </w:tcPr>
          <w:p w14:paraId="03DED363" w14:textId="77777777" w:rsidR="00E966DE" w:rsidRPr="00FD56E6" w:rsidRDefault="00E966DE" w:rsidP="009750BD">
            <w:pPr>
              <w:jc w:val="both"/>
              <w:rPr>
                <w:lang w:val="en-GB"/>
              </w:rPr>
            </w:pPr>
            <w:r>
              <w:rPr>
                <w:noProof/>
              </w:rPr>
              <w:drawing>
                <wp:anchor distT="0" distB="0" distL="114300" distR="114300" simplePos="0" relativeHeight="251659264" behindDoc="0" locked="0" layoutInCell="1" allowOverlap="1" wp14:anchorId="22EB94C7" wp14:editId="4C269EC7">
                  <wp:simplePos x="0" y="0"/>
                  <wp:positionH relativeFrom="column">
                    <wp:posOffset>8890</wp:posOffset>
                  </wp:positionH>
                  <wp:positionV relativeFrom="paragraph">
                    <wp:posOffset>5715</wp:posOffset>
                  </wp:positionV>
                  <wp:extent cx="964528" cy="82359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097" t="4031" r="6290" b="3818"/>
                          <a:stretch>
                            <a:fillRect/>
                          </a:stretch>
                        </pic:blipFill>
                        <pic:spPr bwMode="auto">
                          <a:xfrm>
                            <a:off x="0" y="0"/>
                            <a:ext cx="964528"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13" w:type="dxa"/>
            <w:tcBorders>
              <w:top w:val="single" w:sz="4" w:space="0" w:color="auto"/>
              <w:bottom w:val="single" w:sz="4" w:space="0" w:color="auto"/>
            </w:tcBorders>
            <w:tcMar>
              <w:top w:w="85" w:type="dxa"/>
            </w:tcMar>
          </w:tcPr>
          <w:p w14:paraId="166029C6" w14:textId="77777777" w:rsidR="00E966DE" w:rsidRPr="0081661F" w:rsidRDefault="00E966DE" w:rsidP="009750BD">
            <w:pPr>
              <w:spacing w:before="40"/>
              <w:ind w:left="274"/>
              <w:rPr>
                <w:rFonts w:ascii="Arial" w:hAnsi="Arial" w:cs="Arial"/>
                <w:b/>
                <w:bCs/>
                <w:sz w:val="10"/>
                <w:szCs w:val="10"/>
                <w:lang w:val="es-ES"/>
              </w:rPr>
            </w:pPr>
          </w:p>
          <w:p w14:paraId="022F5C3D" w14:textId="77777777" w:rsidR="00E966DE" w:rsidRPr="00F73717" w:rsidRDefault="00E966DE" w:rsidP="009750BD">
            <w:pPr>
              <w:spacing w:before="40"/>
              <w:ind w:left="274"/>
              <w:rPr>
                <w:rFonts w:ascii="Arial" w:hAnsi="Arial" w:cs="Arial"/>
                <w:b/>
                <w:bCs/>
                <w:lang w:val="es-ES"/>
              </w:rPr>
            </w:pPr>
            <w:r w:rsidRPr="00F73717">
              <w:rPr>
                <w:rFonts w:ascii="Arial" w:hAnsi="Arial" w:cs="Arial"/>
                <w:b/>
                <w:bCs/>
                <w:lang w:val="es-ES"/>
              </w:rPr>
              <w:t>MEMORANDO DE ENTENDIMIENTO SOBRE LA CONSERVACI</w:t>
            </w:r>
            <w:r w:rsidRPr="009A5554">
              <w:rPr>
                <w:rFonts w:ascii="Arial" w:hAnsi="Arial" w:cs="Arial"/>
                <w:b/>
                <w:bCs/>
                <w:lang w:val="es-ES"/>
              </w:rPr>
              <w:t>Ó</w:t>
            </w:r>
            <w:r w:rsidRPr="00F73717">
              <w:rPr>
                <w:rFonts w:ascii="Arial" w:hAnsi="Arial" w:cs="Arial"/>
                <w:b/>
                <w:bCs/>
                <w:lang w:val="es-ES"/>
              </w:rPr>
              <w:t>N DE TIBURONES MIGRATORIOS</w:t>
            </w:r>
          </w:p>
        </w:tc>
        <w:tc>
          <w:tcPr>
            <w:tcW w:w="3612" w:type="dxa"/>
            <w:tcBorders>
              <w:top w:val="single" w:sz="4" w:space="0" w:color="auto"/>
              <w:bottom w:val="single" w:sz="4" w:space="0" w:color="auto"/>
            </w:tcBorders>
            <w:tcMar>
              <w:top w:w="85" w:type="dxa"/>
            </w:tcMar>
          </w:tcPr>
          <w:p w14:paraId="6DF23253" w14:textId="77777777" w:rsidR="00E966DE" w:rsidRPr="0081661F" w:rsidRDefault="00E966DE" w:rsidP="009750BD">
            <w:pPr>
              <w:spacing w:before="40" w:after="40"/>
              <w:rPr>
                <w:rFonts w:ascii="Arial" w:hAnsi="Arial" w:cs="Arial"/>
                <w:sz w:val="10"/>
                <w:szCs w:val="10"/>
                <w:lang w:val="es-ES"/>
              </w:rPr>
            </w:pPr>
          </w:p>
          <w:p w14:paraId="7F8193C2" w14:textId="36544110" w:rsidR="00E966DE" w:rsidRPr="004F3975" w:rsidRDefault="00E966DE" w:rsidP="009750BD">
            <w:pPr>
              <w:spacing w:before="40" w:after="40"/>
              <w:rPr>
                <w:rFonts w:ascii="Arial" w:hAnsi="Arial" w:cs="Arial"/>
              </w:rPr>
            </w:pPr>
            <w:r w:rsidRPr="004F3975">
              <w:rPr>
                <w:rFonts w:ascii="Arial" w:hAnsi="Arial" w:cs="Arial"/>
              </w:rPr>
              <w:t>CMS/Sharks/MOS4/Doc.</w:t>
            </w:r>
            <w:r w:rsidR="004F3975" w:rsidRPr="004F3975">
              <w:rPr>
                <w:rFonts w:ascii="Arial" w:hAnsi="Arial" w:cs="Arial"/>
              </w:rPr>
              <w:t>10.7</w:t>
            </w:r>
          </w:p>
          <w:p w14:paraId="290E891E" w14:textId="120E891A" w:rsidR="00E966DE" w:rsidRPr="004F3975" w:rsidRDefault="004F3975" w:rsidP="009750BD">
            <w:pPr>
              <w:spacing w:before="40" w:after="40"/>
              <w:rPr>
                <w:rFonts w:ascii="Arial" w:hAnsi="Arial" w:cs="Arial"/>
              </w:rPr>
            </w:pPr>
            <w:r w:rsidRPr="004F3975">
              <w:rPr>
                <w:rFonts w:ascii="Arial" w:hAnsi="Arial" w:cs="Arial"/>
              </w:rPr>
              <w:t xml:space="preserve">9 </w:t>
            </w:r>
            <w:r>
              <w:rPr>
                <w:rFonts w:ascii="Arial" w:hAnsi="Arial" w:cs="Arial"/>
              </w:rPr>
              <w:t xml:space="preserve">de </w:t>
            </w:r>
            <w:proofErr w:type="spellStart"/>
            <w:r>
              <w:rPr>
                <w:rFonts w:ascii="Arial" w:hAnsi="Arial" w:cs="Arial"/>
              </w:rPr>
              <w:t>diciembre</w:t>
            </w:r>
            <w:proofErr w:type="spellEnd"/>
            <w:r>
              <w:rPr>
                <w:rFonts w:ascii="Arial" w:hAnsi="Arial" w:cs="Arial"/>
              </w:rPr>
              <w:t xml:space="preserve"> 2022</w:t>
            </w:r>
          </w:p>
          <w:p w14:paraId="2DAEFF51" w14:textId="77777777" w:rsidR="00E966DE" w:rsidRPr="00E66323" w:rsidRDefault="00E966DE" w:rsidP="009750BD">
            <w:pPr>
              <w:spacing w:before="40" w:after="40"/>
              <w:rPr>
                <w:lang w:val="es-ES"/>
              </w:rPr>
            </w:pPr>
            <w:r w:rsidRPr="00F73871">
              <w:rPr>
                <w:rFonts w:ascii="Arial" w:hAnsi="Arial" w:cs="Arial"/>
                <w:lang w:val="es-ES"/>
              </w:rPr>
              <w:t xml:space="preserve">Original: </w:t>
            </w:r>
            <w:proofErr w:type="gramStart"/>
            <w:r w:rsidRPr="00F73871">
              <w:rPr>
                <w:rFonts w:ascii="Arial" w:hAnsi="Arial" w:cs="Arial"/>
                <w:lang w:val="es-ES"/>
              </w:rPr>
              <w:t>Inglés</w:t>
            </w:r>
            <w:proofErr w:type="gramEnd"/>
          </w:p>
        </w:tc>
      </w:tr>
    </w:tbl>
    <w:p w14:paraId="4E9B14C4" w14:textId="62800295" w:rsidR="00E966DE" w:rsidRPr="00E966DE" w:rsidRDefault="00E966DE" w:rsidP="00E966DE">
      <w:pPr>
        <w:widowControl w:val="0"/>
        <w:autoSpaceDE w:val="0"/>
        <w:autoSpaceDN w:val="0"/>
        <w:adjustRightInd w:val="0"/>
        <w:spacing w:before="40" w:after="0" w:line="240" w:lineRule="auto"/>
        <w:jc w:val="both"/>
        <w:rPr>
          <w:rFonts w:ascii="Arial" w:eastAsia="Times New Roman" w:hAnsi="Arial" w:cs="Arial"/>
          <w:spacing w:val="-4"/>
          <w:lang w:val="es-ES"/>
        </w:rPr>
      </w:pPr>
      <w:r w:rsidRPr="00E966DE">
        <w:rPr>
          <w:rFonts w:ascii="Arial" w:eastAsia="Times New Roman" w:hAnsi="Arial" w:cs="Arial"/>
          <w:spacing w:val="-4"/>
          <w:lang w:val="es-ES"/>
        </w:rPr>
        <w:t>4</w:t>
      </w:r>
      <w:r w:rsidRPr="00E966DE">
        <w:rPr>
          <w:rFonts w:ascii="Arial" w:eastAsia="Times New Roman" w:hAnsi="Arial" w:cs="Arial"/>
          <w:spacing w:val="-4"/>
          <w:vertAlign w:val="superscript"/>
          <w:lang w:val="es-ES"/>
        </w:rPr>
        <w:t xml:space="preserve">a </w:t>
      </w:r>
      <w:r w:rsidRPr="00E966DE">
        <w:rPr>
          <w:rFonts w:ascii="Arial" w:eastAsia="Times New Roman" w:hAnsi="Arial" w:cs="Arial"/>
          <w:spacing w:val="-4"/>
          <w:lang w:val="es-ES"/>
        </w:rPr>
        <w:t xml:space="preserve">Reunión de los Signatarios </w:t>
      </w:r>
    </w:p>
    <w:p w14:paraId="2E788E47"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iCs/>
          <w:lang w:val="es-ES"/>
        </w:rPr>
      </w:pPr>
      <w:r w:rsidRPr="00E966DE">
        <w:rPr>
          <w:rFonts w:ascii="Arial" w:eastAsia="Times New Roman" w:hAnsi="Arial" w:cs="Arial"/>
          <w:bCs/>
          <w:lang w:val="es-ES"/>
        </w:rPr>
        <w:t>Bonn,28 de febrero-2 de marzo 2023</w:t>
      </w:r>
    </w:p>
    <w:p w14:paraId="61F702EC" w14:textId="1523B482"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r w:rsidRPr="00E966DE">
        <w:rPr>
          <w:rFonts w:ascii="Arial" w:eastAsia="Times New Roman" w:hAnsi="Arial" w:cs="Arial"/>
          <w:bCs/>
          <w:lang w:val="es-ES"/>
        </w:rPr>
        <w:t xml:space="preserve">Orden del día </w:t>
      </w:r>
      <w:r w:rsidR="004F3975">
        <w:rPr>
          <w:rFonts w:ascii="Arial" w:eastAsia="Times New Roman" w:hAnsi="Arial" w:cs="Arial"/>
          <w:bCs/>
          <w:lang w:val="es-ES"/>
        </w:rPr>
        <w:t>10</w:t>
      </w:r>
    </w:p>
    <w:p w14:paraId="66D5FF68" w14:textId="3AB429D9"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2CB64758"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5EF77115" w14:textId="77777777" w:rsidR="004F3975" w:rsidRPr="004F3975" w:rsidRDefault="004F3975" w:rsidP="004F3975">
      <w:pPr>
        <w:widowControl w:val="0"/>
        <w:autoSpaceDE w:val="0"/>
        <w:autoSpaceDN w:val="0"/>
        <w:adjustRightInd w:val="0"/>
        <w:spacing w:after="0" w:line="240" w:lineRule="auto"/>
        <w:jc w:val="center"/>
        <w:rPr>
          <w:rFonts w:ascii="Arial" w:eastAsia="Times New Roman" w:hAnsi="Arial" w:cs="Arial"/>
          <w:b/>
          <w:bCs/>
          <w:lang w:val="es-ES"/>
        </w:rPr>
      </w:pPr>
      <w:r w:rsidRPr="004F3975">
        <w:rPr>
          <w:rFonts w:ascii="Arial" w:eastAsia="Times New Roman" w:hAnsi="Arial" w:cs="Arial"/>
          <w:b/>
          <w:bCs/>
          <w:lang w:val="es-ES"/>
        </w:rPr>
        <w:t xml:space="preserve">REVISIÓN DE LA MORTALIDAD A CAUSA DE LAS PESQUERÍAS DE </w:t>
      </w:r>
    </w:p>
    <w:p w14:paraId="55BA196E" w14:textId="77777777" w:rsidR="004F3975" w:rsidRPr="004F3975" w:rsidRDefault="004F3975" w:rsidP="004F3975">
      <w:pPr>
        <w:widowControl w:val="0"/>
        <w:autoSpaceDE w:val="0"/>
        <w:autoSpaceDN w:val="0"/>
        <w:adjustRightInd w:val="0"/>
        <w:spacing w:after="120" w:line="240" w:lineRule="auto"/>
        <w:jc w:val="center"/>
        <w:rPr>
          <w:rFonts w:ascii="Arial" w:eastAsia="Times New Roman" w:hAnsi="Arial" w:cs="Arial"/>
          <w:b/>
          <w:bCs/>
          <w:lang w:val="es-ES"/>
        </w:rPr>
      </w:pPr>
      <w:r w:rsidRPr="004F3975">
        <w:rPr>
          <w:rFonts w:ascii="Arial" w:eastAsia="Times New Roman" w:hAnsi="Arial" w:cs="Arial"/>
          <w:b/>
          <w:bCs/>
          <w:lang w:val="es-ES"/>
        </w:rPr>
        <w:t xml:space="preserve">ESPECIES DE TIBURONES Y RAYAS ENUMERADAS EN EL ANEXO 1 DEL </w:t>
      </w:r>
      <w:proofErr w:type="spellStart"/>
      <w:r w:rsidRPr="004F3975">
        <w:rPr>
          <w:rFonts w:ascii="Arial" w:eastAsia="Times New Roman" w:hAnsi="Arial" w:cs="Arial"/>
          <w:b/>
          <w:bCs/>
          <w:lang w:val="es-ES"/>
        </w:rPr>
        <w:t>MdE</w:t>
      </w:r>
      <w:proofErr w:type="spellEnd"/>
      <w:r w:rsidRPr="004F3975">
        <w:rPr>
          <w:rFonts w:ascii="Arial" w:eastAsia="Times New Roman" w:hAnsi="Arial" w:cs="Arial"/>
          <w:b/>
          <w:bCs/>
          <w:lang w:val="es-ES"/>
        </w:rPr>
        <w:t xml:space="preserve"> SOBRE LOS TIBURONES Y EN LOS APÉNDICES DE LA CMS</w:t>
      </w:r>
    </w:p>
    <w:p w14:paraId="5F6E72E4" w14:textId="77777777" w:rsidR="004F3975" w:rsidRPr="004F3975" w:rsidRDefault="004F3975" w:rsidP="004F3975">
      <w:pPr>
        <w:widowControl w:val="0"/>
        <w:autoSpaceDE w:val="0"/>
        <w:autoSpaceDN w:val="0"/>
        <w:adjustRightInd w:val="0"/>
        <w:spacing w:after="0" w:line="240" w:lineRule="auto"/>
        <w:jc w:val="center"/>
        <w:rPr>
          <w:rFonts w:ascii="Arial" w:eastAsia="Times New Roman" w:hAnsi="Arial" w:cs="Arial"/>
          <w:bCs/>
          <w:i/>
          <w:lang w:val="es-ES"/>
        </w:rPr>
      </w:pPr>
      <w:r w:rsidRPr="004F3975">
        <w:rPr>
          <w:rFonts w:ascii="Arial" w:eastAsia="Times New Roman" w:hAnsi="Arial" w:cs="Arial"/>
          <w:bCs/>
          <w:i/>
          <w:lang w:val="es-ES"/>
        </w:rPr>
        <w:t>(Preparado por la Secretaría y el Comité Asesor)</w:t>
      </w:r>
    </w:p>
    <w:p w14:paraId="2B3A7E2E" w14:textId="77777777" w:rsidR="004F3975" w:rsidRPr="004F3975" w:rsidRDefault="004F3975" w:rsidP="004F3975">
      <w:pPr>
        <w:widowControl w:val="0"/>
        <w:autoSpaceDE w:val="0"/>
        <w:autoSpaceDN w:val="0"/>
        <w:adjustRightInd w:val="0"/>
        <w:spacing w:after="0" w:line="240" w:lineRule="auto"/>
        <w:jc w:val="center"/>
        <w:rPr>
          <w:rFonts w:ascii="Arial" w:eastAsia="Times New Roman" w:hAnsi="Arial" w:cs="Arial"/>
          <w:bCs/>
          <w:i/>
          <w:lang w:val="es-ES"/>
        </w:rPr>
      </w:pPr>
    </w:p>
    <w:p w14:paraId="7E076D05" w14:textId="77777777" w:rsidR="004F3975" w:rsidRPr="004F3975" w:rsidRDefault="004F3975" w:rsidP="004F3975">
      <w:pPr>
        <w:widowControl w:val="0"/>
        <w:autoSpaceDE w:val="0"/>
        <w:autoSpaceDN w:val="0"/>
        <w:adjustRightInd w:val="0"/>
        <w:spacing w:after="0" w:line="240" w:lineRule="auto"/>
        <w:jc w:val="center"/>
        <w:rPr>
          <w:rFonts w:ascii="Arial" w:eastAsia="Times New Roman" w:hAnsi="Arial" w:cs="Arial"/>
          <w:bCs/>
          <w:i/>
          <w:lang w:val="es-ES"/>
        </w:rPr>
      </w:pPr>
    </w:p>
    <w:p w14:paraId="7DEE4F80"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3975">
        <w:rPr>
          <w:rFonts w:ascii="Arial" w:eastAsia="Times New Roman" w:hAnsi="Arial" w:cs="Arial"/>
          <w:bCs/>
          <w:iCs/>
          <w:lang w:val="es-ES"/>
        </w:rPr>
        <w:t xml:space="preserve">Este documento ofrece información sobre el trabajo proporcionado por la Secretaría para revisar el impacto de la captura incidental en aquellas especies de tiburones y rayas migratorias enumeradas en los Apéndices de la CMS y/o en el Anexo 1 del </w:t>
      </w:r>
      <w:proofErr w:type="spellStart"/>
      <w:r w:rsidRPr="004F3975">
        <w:rPr>
          <w:rFonts w:ascii="Arial" w:eastAsia="Times New Roman" w:hAnsi="Arial" w:cs="Arial"/>
          <w:bCs/>
          <w:iCs/>
          <w:lang w:val="es-ES"/>
        </w:rPr>
        <w:t>MdE</w:t>
      </w:r>
      <w:proofErr w:type="spellEnd"/>
      <w:r w:rsidRPr="004F3975">
        <w:rPr>
          <w:rFonts w:ascii="Arial" w:eastAsia="Times New Roman" w:hAnsi="Arial" w:cs="Arial"/>
          <w:bCs/>
          <w:iCs/>
          <w:lang w:val="es-ES"/>
        </w:rPr>
        <w:t xml:space="preserve"> sobre los Tiburones.</w:t>
      </w:r>
    </w:p>
    <w:p w14:paraId="3A6CD6EA" w14:textId="77777777" w:rsidR="004F3975" w:rsidRPr="004F3975" w:rsidRDefault="004F3975" w:rsidP="004F3975">
      <w:pPr>
        <w:widowControl w:val="0"/>
        <w:autoSpaceDE w:val="0"/>
        <w:autoSpaceDN w:val="0"/>
        <w:adjustRightInd w:val="0"/>
        <w:spacing w:after="0" w:line="240" w:lineRule="auto"/>
        <w:rPr>
          <w:rFonts w:ascii="Arial" w:eastAsia="Times New Roman" w:hAnsi="Arial" w:cs="Arial"/>
          <w:bCs/>
          <w:iCs/>
          <w:lang w:val="es-ES"/>
        </w:rPr>
      </w:pPr>
    </w:p>
    <w:p w14:paraId="7C7D9AC2"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3975">
        <w:rPr>
          <w:rFonts w:ascii="Arial" w:eastAsia="Times New Roman" w:hAnsi="Arial" w:cs="Arial"/>
          <w:bCs/>
          <w:iCs/>
          <w:lang w:val="es-ES"/>
        </w:rPr>
        <w:t xml:space="preserve">La Secretaría ha enviado proyectos de decisión para ser adoptados en esta reunión con objeto de apoyar la aplicación del trabajo propuesto sobre captura incidental, incluido en el </w:t>
      </w:r>
      <w:r w:rsidRPr="004F3975">
        <w:rPr>
          <w:rFonts w:ascii="Arial" w:eastAsia="Times New Roman" w:hAnsi="Arial" w:cs="Arial"/>
          <w:bCs/>
          <w:iCs/>
          <w:u w:val="single"/>
          <w:lang w:val="es-ES"/>
        </w:rPr>
        <w:t>Anexo 1</w:t>
      </w:r>
      <w:r w:rsidRPr="004F3975">
        <w:rPr>
          <w:rFonts w:ascii="Arial" w:eastAsia="Times New Roman" w:hAnsi="Arial" w:cs="Arial"/>
          <w:bCs/>
          <w:iCs/>
          <w:lang w:val="es-ES"/>
        </w:rPr>
        <w:t>, además de para su consideración en dicha reunión.</w:t>
      </w:r>
    </w:p>
    <w:p w14:paraId="79A6F6D0" w14:textId="77777777" w:rsidR="004F3975" w:rsidRPr="004F3975" w:rsidRDefault="004F3975" w:rsidP="004F3975">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155790F6"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3975">
        <w:rPr>
          <w:rFonts w:ascii="Arial" w:eastAsia="Times New Roman" w:hAnsi="Arial" w:cs="Arial"/>
          <w:bCs/>
          <w:iCs/>
          <w:u w:val="single"/>
          <w:lang w:val="es-ES"/>
        </w:rPr>
        <w:t>El Anexo 2</w:t>
      </w:r>
      <w:r w:rsidRPr="004F3975">
        <w:rPr>
          <w:rFonts w:ascii="Arial" w:eastAsia="Times New Roman" w:hAnsi="Arial" w:cs="Arial"/>
          <w:bCs/>
          <w:iCs/>
          <w:lang w:val="es-ES"/>
        </w:rPr>
        <w:t xml:space="preserve"> hace sugerencias sobre las actividades que los Signatarios podrían desear incluir en su nuevo Programa de Trabajo para el trienio 2023-2025, tratado además conforme al punto 12 del orden del día.</w:t>
      </w:r>
    </w:p>
    <w:p w14:paraId="5B60E989" w14:textId="77777777" w:rsidR="004F3975" w:rsidRPr="004F3975" w:rsidRDefault="004F3975" w:rsidP="004F3975">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2FEC0124" w14:textId="77777777" w:rsidR="004F3975" w:rsidRPr="004F3975" w:rsidRDefault="004F3975" w:rsidP="004F3975">
      <w:pPr>
        <w:widowControl w:val="0"/>
        <w:autoSpaceDE w:val="0"/>
        <w:autoSpaceDN w:val="0"/>
        <w:adjustRightInd w:val="0"/>
        <w:spacing w:after="0" w:line="240" w:lineRule="auto"/>
        <w:contextualSpacing/>
        <w:jc w:val="both"/>
        <w:rPr>
          <w:rFonts w:ascii="Arial" w:eastAsia="Times New Roman" w:hAnsi="Arial" w:cs="Arial"/>
          <w:b/>
          <w:iCs/>
          <w:lang w:val="es-ES"/>
        </w:rPr>
      </w:pPr>
      <w:r w:rsidRPr="004F3975">
        <w:rPr>
          <w:rFonts w:ascii="Arial" w:eastAsia="Times New Roman" w:hAnsi="Arial" w:cs="Arial"/>
          <w:b/>
          <w:iCs/>
          <w:lang w:val="es-ES"/>
        </w:rPr>
        <w:t>Antecedentes</w:t>
      </w:r>
    </w:p>
    <w:p w14:paraId="0BF489CA" w14:textId="77777777" w:rsidR="004F3975" w:rsidRPr="004F3975" w:rsidRDefault="004F3975" w:rsidP="004F3975">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3F56B757"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3975">
        <w:rPr>
          <w:rFonts w:ascii="Arial" w:eastAsia="Times New Roman" w:hAnsi="Arial" w:cs="Times New Roman"/>
          <w:lang w:val="es-ES"/>
        </w:rPr>
        <w:t>Hay una necesidad de entender mejor los niveles de "mortalidad a causa de las pesquerías" de las especies de tiburones y rayas enumeradas. La mortalidad a causa de las pesquerías incluye la captura dirigida y la captura incidental</w:t>
      </w:r>
      <w:r w:rsidRPr="004F3975">
        <w:rPr>
          <w:rFonts w:ascii="Arial" w:eastAsia="Times New Roman" w:hAnsi="Arial" w:cs="Times New Roman"/>
          <w:vertAlign w:val="superscript"/>
          <w:lang w:val="es-ES"/>
        </w:rPr>
        <w:footnoteReference w:id="1"/>
      </w:r>
      <w:r w:rsidRPr="004F3975">
        <w:rPr>
          <w:rFonts w:ascii="Arial" w:eastAsia="Times New Roman" w:hAnsi="Arial" w:cs="Times New Roman"/>
          <w:lang w:val="es-ES"/>
        </w:rPr>
        <w:t>. Las capturas incluirán componentes retenidos (para consumo tras el desembarque o a bordo), descartados muertos (p. ej., mortalidad al regreso o en el barco), y los descartados vivos pero que después mueren a causa de una mortalidad posterior a su liberación.</w:t>
      </w:r>
    </w:p>
    <w:p w14:paraId="7CC45DD7" w14:textId="77777777" w:rsidR="004F3975" w:rsidRPr="004F3975" w:rsidRDefault="004F3975" w:rsidP="004F3975">
      <w:pPr>
        <w:widowControl w:val="0"/>
        <w:autoSpaceDE w:val="0"/>
        <w:autoSpaceDN w:val="0"/>
        <w:adjustRightInd w:val="0"/>
        <w:spacing w:after="0" w:line="240" w:lineRule="auto"/>
        <w:ind w:left="720"/>
        <w:contextualSpacing/>
        <w:rPr>
          <w:rFonts w:ascii="Arial" w:eastAsia="Times New Roman" w:hAnsi="Arial" w:cs="Times New Roman"/>
          <w:lang w:val="es-ES"/>
        </w:rPr>
      </w:pPr>
    </w:p>
    <w:p w14:paraId="14510E20"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3975">
        <w:rPr>
          <w:rFonts w:ascii="Arial" w:eastAsia="Times New Roman" w:hAnsi="Arial" w:cs="Times New Roman"/>
          <w:lang w:val="es-ES"/>
        </w:rPr>
        <w:t>Las pesquerías abarcan las de carácter comercial, las artesanales, y las de subsistencia y recreación. Aunque existen programas nacionales e internacionales para recopilar desembarcos declarados por las pesquerías (principalmente pesquerías comerciales), estos datos pueden resultar incompletos en algunas pesquerías y zonas. Muchas veces faltan o no hay precisión en los datos relacionados con otras formas de mortalidad (p. ej., total de descartados muertos). Así, se necesita conocer mejor el total de "mortalidad a causa de pesquerías".</w:t>
      </w:r>
    </w:p>
    <w:p w14:paraId="04978F69" w14:textId="77777777" w:rsidR="004F3975" w:rsidRPr="004F3975" w:rsidRDefault="004F3975" w:rsidP="004F3975">
      <w:pPr>
        <w:widowControl w:val="0"/>
        <w:autoSpaceDE w:val="0"/>
        <w:autoSpaceDN w:val="0"/>
        <w:adjustRightInd w:val="0"/>
        <w:spacing w:after="0" w:line="240" w:lineRule="auto"/>
        <w:ind w:left="720" w:right="252" w:hanging="720"/>
        <w:jc w:val="both"/>
        <w:rPr>
          <w:rFonts w:ascii="Arial" w:eastAsia="Times New Roman" w:hAnsi="Arial" w:cs="Times New Roman"/>
          <w:lang w:val="es-ES"/>
        </w:rPr>
      </w:pPr>
    </w:p>
    <w:p w14:paraId="456561F2" w14:textId="77777777" w:rsidR="004F3975" w:rsidRPr="004F3975" w:rsidRDefault="004F3975" w:rsidP="004F3975">
      <w:pPr>
        <w:widowControl w:val="0"/>
        <w:autoSpaceDE w:val="0"/>
        <w:autoSpaceDN w:val="0"/>
        <w:adjustRightInd w:val="0"/>
        <w:spacing w:after="0" w:line="240" w:lineRule="auto"/>
        <w:ind w:right="51"/>
        <w:jc w:val="both"/>
        <w:rPr>
          <w:rFonts w:ascii="Arial" w:eastAsia="Times New Roman" w:hAnsi="Arial" w:cs="Times New Roman"/>
          <w:b/>
          <w:bCs/>
          <w:lang w:val="es-ES"/>
        </w:rPr>
      </w:pPr>
      <w:r w:rsidRPr="004F3975">
        <w:rPr>
          <w:rFonts w:ascii="Arial" w:eastAsia="Times New Roman" w:hAnsi="Arial" w:cs="Times New Roman"/>
          <w:b/>
          <w:bCs/>
          <w:lang w:val="es-ES"/>
        </w:rPr>
        <w:t xml:space="preserve">Propuestas del </w:t>
      </w:r>
      <w:proofErr w:type="spellStart"/>
      <w:r w:rsidRPr="004F3975">
        <w:rPr>
          <w:rFonts w:ascii="Arial" w:eastAsia="Times New Roman" w:hAnsi="Arial" w:cs="Times New Roman"/>
          <w:b/>
          <w:bCs/>
          <w:lang w:val="es-ES"/>
        </w:rPr>
        <w:t>MdE</w:t>
      </w:r>
      <w:proofErr w:type="spellEnd"/>
    </w:p>
    <w:p w14:paraId="5D6B6099" w14:textId="77777777" w:rsidR="004F3975" w:rsidRPr="004F3975" w:rsidRDefault="004F3975" w:rsidP="004F3975">
      <w:pPr>
        <w:widowControl w:val="0"/>
        <w:autoSpaceDE w:val="0"/>
        <w:autoSpaceDN w:val="0"/>
        <w:adjustRightInd w:val="0"/>
        <w:spacing w:after="0" w:line="240" w:lineRule="auto"/>
        <w:ind w:left="540" w:right="51"/>
        <w:contextualSpacing/>
        <w:jc w:val="both"/>
        <w:rPr>
          <w:rFonts w:ascii="Arial" w:eastAsia="Times New Roman" w:hAnsi="Arial" w:cs="Times New Roman"/>
          <w:lang w:val="es-ES"/>
        </w:rPr>
      </w:pPr>
    </w:p>
    <w:p w14:paraId="7B65A5B2" w14:textId="77777777" w:rsidR="004F3975" w:rsidRPr="004F3975" w:rsidRDefault="004F3975" w:rsidP="004F3975">
      <w:pPr>
        <w:widowControl w:val="0"/>
        <w:numPr>
          <w:ilvl w:val="0"/>
          <w:numId w:val="1"/>
        </w:numPr>
        <w:autoSpaceDE w:val="0"/>
        <w:autoSpaceDN w:val="0"/>
        <w:adjustRightInd w:val="0"/>
        <w:spacing w:after="0" w:line="240" w:lineRule="auto"/>
        <w:ind w:left="540" w:right="51" w:hanging="540"/>
        <w:contextualSpacing/>
        <w:jc w:val="both"/>
        <w:rPr>
          <w:rFonts w:ascii="Arial" w:eastAsia="Times New Roman" w:hAnsi="Arial" w:cs="Times New Roman"/>
          <w:lang w:val="es-ES"/>
        </w:rPr>
      </w:pPr>
      <w:r w:rsidRPr="004F3975">
        <w:rPr>
          <w:rFonts w:ascii="Arial" w:eastAsia="Times New Roman" w:hAnsi="Arial" w:cs="Times New Roman"/>
          <w:lang w:val="es-ES"/>
        </w:rPr>
        <w:t xml:space="preserve">El </w:t>
      </w:r>
      <w:proofErr w:type="spellStart"/>
      <w:r w:rsidRPr="004F3975">
        <w:rPr>
          <w:rFonts w:ascii="Arial" w:eastAsia="Times New Roman" w:hAnsi="Arial" w:cs="Times New Roman"/>
          <w:lang w:val="es-ES"/>
        </w:rPr>
        <w:t>MdE</w:t>
      </w:r>
      <w:proofErr w:type="spellEnd"/>
      <w:r w:rsidRPr="004F3975">
        <w:rPr>
          <w:rFonts w:ascii="Arial" w:eastAsia="Times New Roman" w:hAnsi="Arial" w:cs="Times New Roman"/>
          <w:lang w:val="es-ES"/>
        </w:rPr>
        <w:t xml:space="preserve"> sobre los Tiburones incluye sólidos mandatos que hacen un llamamiento a una búsqueda mejorada en relación con las pesquerías y la recopilación de datos a fin de garantizar que los tiburones y rayas capturados en las pesquerías se gestionen de tal forma que garanticen niveles sostenibles de explotación de todas las especies enumeradas en el Anexo 1 del </w:t>
      </w:r>
      <w:proofErr w:type="spellStart"/>
      <w:r w:rsidRPr="004F3975">
        <w:rPr>
          <w:rFonts w:ascii="Arial" w:eastAsia="Times New Roman" w:hAnsi="Arial" w:cs="Times New Roman"/>
          <w:lang w:val="es-ES"/>
        </w:rPr>
        <w:t>MdE</w:t>
      </w:r>
      <w:proofErr w:type="spellEnd"/>
      <w:r w:rsidRPr="004F3975">
        <w:rPr>
          <w:rFonts w:ascii="Arial" w:eastAsia="Times New Roman" w:hAnsi="Arial" w:cs="Times New Roman"/>
          <w:lang w:val="es-ES"/>
        </w:rPr>
        <w:t xml:space="preserve"> sobre los Tiburones, y para incluir la prohibición de captura de aquellas especies de tiburones y rayas enumeradas en el Apéndice I de la CMS. </w:t>
      </w:r>
    </w:p>
    <w:p w14:paraId="05928EE2" w14:textId="77777777" w:rsidR="004F3975" w:rsidRPr="004F3975" w:rsidRDefault="004F3975" w:rsidP="004F3975">
      <w:pPr>
        <w:widowControl w:val="0"/>
        <w:autoSpaceDE w:val="0"/>
        <w:autoSpaceDN w:val="0"/>
        <w:adjustRightInd w:val="0"/>
        <w:spacing w:after="0" w:line="240" w:lineRule="auto"/>
        <w:ind w:left="720" w:right="51"/>
        <w:contextualSpacing/>
        <w:rPr>
          <w:rFonts w:ascii="Arial" w:eastAsia="Times New Roman" w:hAnsi="Arial" w:cs="Times New Roman"/>
          <w:lang w:val="es-ES"/>
        </w:rPr>
      </w:pPr>
    </w:p>
    <w:p w14:paraId="62803942" w14:textId="77777777" w:rsidR="004F3975" w:rsidRPr="004F3975" w:rsidRDefault="004F3975" w:rsidP="004F3975">
      <w:pPr>
        <w:widowControl w:val="0"/>
        <w:numPr>
          <w:ilvl w:val="0"/>
          <w:numId w:val="1"/>
        </w:numPr>
        <w:autoSpaceDE w:val="0"/>
        <w:autoSpaceDN w:val="0"/>
        <w:adjustRightInd w:val="0"/>
        <w:spacing w:after="0" w:line="240" w:lineRule="auto"/>
        <w:ind w:left="540" w:right="51" w:hanging="540"/>
        <w:contextualSpacing/>
        <w:jc w:val="both"/>
        <w:rPr>
          <w:rFonts w:ascii="Arial" w:eastAsia="Times New Roman" w:hAnsi="Arial" w:cs="Times New Roman"/>
          <w:lang w:val="es-ES"/>
        </w:rPr>
      </w:pPr>
      <w:r w:rsidRPr="004F3975">
        <w:rPr>
          <w:rFonts w:ascii="Arial" w:eastAsia="Times New Roman" w:hAnsi="Arial" w:cs="Times New Roman"/>
          <w:lang w:val="es-ES"/>
        </w:rPr>
        <w:t xml:space="preserve">La Actividad 4.2 del </w:t>
      </w:r>
      <w:hyperlink r:id="rId10" w:history="1">
        <w:r w:rsidRPr="004F3975">
          <w:rPr>
            <w:rFonts w:ascii="Arial" w:eastAsia="Times New Roman" w:hAnsi="Arial" w:cs="Times New Roman"/>
            <w:color w:val="0000FF"/>
            <w:u w:val="single"/>
            <w:lang w:val="es-ES"/>
          </w:rPr>
          <w:t>Plan d</w:t>
        </w:r>
        <w:r w:rsidRPr="004F3975">
          <w:rPr>
            <w:rFonts w:ascii="Arial" w:eastAsia="Times New Roman" w:hAnsi="Arial" w:cs="Times New Roman"/>
            <w:color w:val="0000FF"/>
            <w:u w:val="single"/>
            <w:lang w:val="es-ES"/>
          </w:rPr>
          <w:t>e</w:t>
        </w:r>
        <w:r w:rsidRPr="004F3975">
          <w:rPr>
            <w:rFonts w:ascii="Arial" w:eastAsia="Times New Roman" w:hAnsi="Arial" w:cs="Times New Roman"/>
            <w:color w:val="0000FF"/>
            <w:u w:val="single"/>
            <w:lang w:val="es-ES"/>
          </w:rPr>
          <w:t xml:space="preserve"> Conservación</w:t>
        </w:r>
      </w:hyperlink>
      <w:r w:rsidRPr="004F3975">
        <w:rPr>
          <w:rFonts w:ascii="Arial" w:eastAsia="Times New Roman" w:hAnsi="Arial" w:cs="Times New Roman"/>
          <w:lang w:val="es-ES"/>
        </w:rPr>
        <w:t xml:space="preserve"> (Anexo 3 al </w:t>
      </w:r>
      <w:proofErr w:type="spellStart"/>
      <w:r w:rsidRPr="004F3975">
        <w:rPr>
          <w:rFonts w:ascii="Arial" w:eastAsia="Times New Roman" w:hAnsi="Arial" w:cs="Times New Roman"/>
          <w:lang w:val="es-ES"/>
        </w:rPr>
        <w:t>MdE</w:t>
      </w:r>
      <w:proofErr w:type="spellEnd"/>
      <w:r w:rsidRPr="004F3975">
        <w:rPr>
          <w:rFonts w:ascii="Arial" w:eastAsia="Times New Roman" w:hAnsi="Arial" w:cs="Times New Roman"/>
          <w:lang w:val="es-ES"/>
        </w:rPr>
        <w:t>) solicita que los Signatarios "desarrollen programas para supervisar las capturas dirigidas</w:t>
      </w:r>
      <w:r w:rsidRPr="004F3975">
        <w:rPr>
          <w:rFonts w:ascii="Arial" w:eastAsia="Times New Roman" w:hAnsi="Arial" w:cs="Times New Roman"/>
          <w:vertAlign w:val="superscript"/>
          <w:lang w:val="es-ES"/>
        </w:rPr>
        <w:footnoteReference w:id="2"/>
      </w:r>
      <w:r w:rsidRPr="004F3975">
        <w:rPr>
          <w:rFonts w:ascii="Arial" w:eastAsia="Times New Roman" w:hAnsi="Arial" w:cs="Times New Roman"/>
          <w:lang w:val="es-ES"/>
        </w:rPr>
        <w:t xml:space="preserve"> y las capturas incidentales de tiburones, algo que incluye programas como los sistemas de supervisión de embarcaciones, o inspecciones y programas de vigilancia o de observadores a bordo".</w:t>
      </w:r>
    </w:p>
    <w:p w14:paraId="6C218BEA" w14:textId="77777777" w:rsidR="004F3975" w:rsidRPr="004F3975" w:rsidRDefault="004F3975" w:rsidP="004F3975">
      <w:pPr>
        <w:widowControl w:val="0"/>
        <w:autoSpaceDE w:val="0"/>
        <w:autoSpaceDN w:val="0"/>
        <w:adjustRightInd w:val="0"/>
        <w:spacing w:after="0" w:line="240" w:lineRule="auto"/>
        <w:ind w:left="540" w:right="51"/>
        <w:contextualSpacing/>
        <w:jc w:val="both"/>
        <w:rPr>
          <w:rFonts w:ascii="Arial" w:eastAsia="Times New Roman" w:hAnsi="Arial" w:cs="Times New Roman"/>
          <w:lang w:val="es-ES"/>
        </w:rPr>
      </w:pPr>
    </w:p>
    <w:p w14:paraId="5E018246" w14:textId="77777777" w:rsidR="004F3975" w:rsidRPr="004F3975" w:rsidRDefault="004F3975" w:rsidP="004F3975">
      <w:pPr>
        <w:widowControl w:val="0"/>
        <w:numPr>
          <w:ilvl w:val="0"/>
          <w:numId w:val="1"/>
        </w:numPr>
        <w:autoSpaceDE w:val="0"/>
        <w:autoSpaceDN w:val="0"/>
        <w:adjustRightInd w:val="0"/>
        <w:spacing w:after="0" w:line="240" w:lineRule="auto"/>
        <w:ind w:left="540" w:right="51" w:hanging="540"/>
        <w:contextualSpacing/>
        <w:jc w:val="both"/>
        <w:rPr>
          <w:rFonts w:ascii="Arial" w:eastAsia="Times New Roman" w:hAnsi="Arial" w:cs="Times New Roman"/>
          <w:lang w:val="es-ES"/>
        </w:rPr>
      </w:pPr>
      <w:r w:rsidRPr="004F3975">
        <w:rPr>
          <w:rFonts w:ascii="Arial" w:eastAsia="Times New Roman" w:hAnsi="Arial" w:cs="Times New Roman"/>
          <w:lang w:val="es-ES"/>
        </w:rPr>
        <w:t>El Plan de Conservación también incluye tres actividades de acuerdo con la sección relacionada con la captura incidental. Las actividades 5.1 a 5.3 solicitan a los Signatarios:</w:t>
      </w:r>
    </w:p>
    <w:p w14:paraId="7AEF916A" w14:textId="77777777" w:rsidR="004F3975" w:rsidRPr="004F3975" w:rsidRDefault="004F3975" w:rsidP="004F3975">
      <w:pPr>
        <w:widowControl w:val="0"/>
        <w:autoSpaceDE w:val="0"/>
        <w:autoSpaceDN w:val="0"/>
        <w:adjustRightInd w:val="0"/>
        <w:spacing w:after="0" w:line="240" w:lineRule="auto"/>
        <w:ind w:right="51"/>
        <w:jc w:val="both"/>
        <w:rPr>
          <w:rFonts w:ascii="Arial" w:eastAsia="Times New Roman" w:hAnsi="Arial" w:cs="Times New Roman"/>
          <w:lang w:val="es-ES"/>
        </w:rPr>
      </w:pPr>
    </w:p>
    <w:p w14:paraId="53AA957B" w14:textId="77777777" w:rsidR="004F3975" w:rsidRPr="004F3975" w:rsidRDefault="004F3975" w:rsidP="004F3975">
      <w:pPr>
        <w:widowControl w:val="0"/>
        <w:numPr>
          <w:ilvl w:val="1"/>
          <w:numId w:val="6"/>
        </w:numPr>
        <w:autoSpaceDE w:val="0"/>
        <w:autoSpaceDN w:val="0"/>
        <w:adjustRightInd w:val="0"/>
        <w:spacing w:after="0" w:line="240" w:lineRule="auto"/>
        <w:ind w:right="51"/>
        <w:contextualSpacing/>
        <w:jc w:val="both"/>
        <w:rPr>
          <w:rFonts w:ascii="Arial" w:eastAsia="Times New Roman" w:hAnsi="Arial" w:cs="Times New Roman"/>
          <w:i/>
          <w:iCs/>
          <w:lang w:val="es-ES"/>
        </w:rPr>
      </w:pPr>
      <w:r w:rsidRPr="004F3975">
        <w:rPr>
          <w:rFonts w:ascii="Arial" w:eastAsia="Times New Roman" w:hAnsi="Arial" w:cs="Arial"/>
          <w:i/>
          <w:iCs/>
          <w:shd w:val="clear" w:color="auto" w:fill="FFFFFF"/>
          <w:lang w:val="es-ES"/>
        </w:rPr>
        <w:t>‘En la medida de lo posible, desarrollar y/o utilizar artes, dispositivos y estrategias o técnicas operacionales para asegurar que las capturas de tiburones son ecológicamente sostenibles y se gestionan apropiadamente y que la mortalidad de las capturas no utilizadas se minimiza en la medida de lo posible.’</w:t>
      </w:r>
    </w:p>
    <w:p w14:paraId="523560D5" w14:textId="77777777" w:rsidR="004F3975" w:rsidRPr="004F3975" w:rsidRDefault="004F3975" w:rsidP="004F3975">
      <w:pPr>
        <w:widowControl w:val="0"/>
        <w:autoSpaceDE w:val="0"/>
        <w:autoSpaceDN w:val="0"/>
        <w:adjustRightInd w:val="0"/>
        <w:spacing w:after="0" w:line="240" w:lineRule="auto"/>
        <w:ind w:left="720" w:right="51"/>
        <w:contextualSpacing/>
        <w:jc w:val="both"/>
        <w:rPr>
          <w:rFonts w:ascii="Arial" w:eastAsia="Times New Roman" w:hAnsi="Arial" w:cs="Times New Roman"/>
          <w:i/>
          <w:iCs/>
          <w:lang w:val="es-ES"/>
        </w:rPr>
      </w:pPr>
    </w:p>
    <w:p w14:paraId="64D09A5A" w14:textId="77777777" w:rsidR="004F3975" w:rsidRPr="004F3975" w:rsidRDefault="004F3975" w:rsidP="004F3975">
      <w:pPr>
        <w:widowControl w:val="0"/>
        <w:numPr>
          <w:ilvl w:val="1"/>
          <w:numId w:val="6"/>
        </w:numPr>
        <w:autoSpaceDE w:val="0"/>
        <w:autoSpaceDN w:val="0"/>
        <w:adjustRightInd w:val="0"/>
        <w:spacing w:after="0" w:line="240" w:lineRule="auto"/>
        <w:ind w:right="51"/>
        <w:contextualSpacing/>
        <w:jc w:val="both"/>
        <w:rPr>
          <w:rFonts w:ascii="Arial" w:eastAsia="Times New Roman" w:hAnsi="Arial" w:cs="Times New Roman"/>
          <w:i/>
          <w:iCs/>
          <w:lang w:val="es-ES"/>
        </w:rPr>
      </w:pPr>
      <w:r w:rsidRPr="004F3975">
        <w:rPr>
          <w:rFonts w:ascii="Arial" w:eastAsia="Times New Roman" w:hAnsi="Arial" w:cs="Arial"/>
          <w:i/>
          <w:iCs/>
          <w:shd w:val="clear" w:color="auto" w:fill="FFFFFF"/>
          <w:lang w:val="es-ES"/>
        </w:rPr>
        <w:t xml:space="preserve">‘Contactar y coordinar con la industria pesquera, organizaciones de gestión de la pesca, instituciones académicas y organizaciones no gubernamentales de medio ambiente (ONG) para desarrollar e implementar mecanismos de mitigación de captura incidental en aguas nacionales y en alta mar, dando prioridad al trabajo para evitar la captura de tiburones protegidos de acuerdo con el párrafo 13i del presente </w:t>
      </w:r>
      <w:proofErr w:type="spellStart"/>
      <w:r w:rsidRPr="004F3975">
        <w:rPr>
          <w:rFonts w:ascii="Arial" w:eastAsia="Times New Roman" w:hAnsi="Arial" w:cs="Arial"/>
          <w:i/>
          <w:iCs/>
          <w:shd w:val="clear" w:color="auto" w:fill="FFFFFF"/>
          <w:lang w:val="es-ES"/>
        </w:rPr>
        <w:t>MdE</w:t>
      </w:r>
      <w:proofErr w:type="spellEnd"/>
      <w:r w:rsidRPr="004F3975">
        <w:rPr>
          <w:rFonts w:ascii="Arial" w:eastAsia="Times New Roman" w:hAnsi="Arial" w:cs="Arial"/>
          <w:i/>
          <w:iCs/>
          <w:shd w:val="clear" w:color="auto" w:fill="FFFFFF"/>
          <w:lang w:val="es-ES"/>
        </w:rPr>
        <w:t>.’</w:t>
      </w:r>
    </w:p>
    <w:p w14:paraId="31BE59C5" w14:textId="77777777" w:rsidR="004F3975" w:rsidRPr="004F3975" w:rsidRDefault="004F3975" w:rsidP="004F3975">
      <w:pPr>
        <w:widowControl w:val="0"/>
        <w:autoSpaceDE w:val="0"/>
        <w:autoSpaceDN w:val="0"/>
        <w:adjustRightInd w:val="0"/>
        <w:spacing w:after="0" w:line="240" w:lineRule="auto"/>
        <w:ind w:left="1440" w:right="51"/>
        <w:contextualSpacing/>
        <w:jc w:val="both"/>
        <w:rPr>
          <w:rFonts w:ascii="Arial" w:eastAsia="Times New Roman" w:hAnsi="Arial" w:cs="Times New Roman"/>
          <w:i/>
          <w:iCs/>
          <w:lang w:val="es-ES"/>
        </w:rPr>
      </w:pPr>
    </w:p>
    <w:p w14:paraId="6E86A3B2" w14:textId="77777777" w:rsidR="004F3975" w:rsidRPr="004F3975" w:rsidRDefault="004F3975" w:rsidP="004F3975">
      <w:pPr>
        <w:widowControl w:val="0"/>
        <w:numPr>
          <w:ilvl w:val="1"/>
          <w:numId w:val="6"/>
        </w:numPr>
        <w:autoSpaceDE w:val="0"/>
        <w:autoSpaceDN w:val="0"/>
        <w:adjustRightInd w:val="0"/>
        <w:spacing w:after="0" w:line="240" w:lineRule="auto"/>
        <w:ind w:right="51"/>
        <w:contextualSpacing/>
        <w:jc w:val="both"/>
        <w:rPr>
          <w:rFonts w:ascii="Arial" w:eastAsia="Times New Roman" w:hAnsi="Arial" w:cs="Times New Roman"/>
          <w:i/>
          <w:iCs/>
          <w:lang w:val="es-ES"/>
        </w:rPr>
      </w:pPr>
      <w:r w:rsidRPr="004F3975">
        <w:rPr>
          <w:rFonts w:ascii="Arial" w:eastAsia="Times New Roman" w:hAnsi="Arial" w:cs="Arial"/>
          <w:i/>
          <w:iCs/>
          <w:shd w:val="clear" w:color="auto" w:fill="FFFFFF"/>
          <w:lang w:val="es-ES"/>
        </w:rPr>
        <w:t>‘Promover creación de capacidad para un manejo y liberación de tiburones de forma segura.</w:t>
      </w:r>
    </w:p>
    <w:p w14:paraId="3E42C84B" w14:textId="77777777" w:rsidR="004F3975" w:rsidRPr="004F3975" w:rsidRDefault="004F3975" w:rsidP="004F3975">
      <w:pPr>
        <w:widowControl w:val="0"/>
        <w:autoSpaceDE w:val="0"/>
        <w:autoSpaceDN w:val="0"/>
        <w:adjustRightInd w:val="0"/>
        <w:spacing w:after="0" w:line="240" w:lineRule="auto"/>
        <w:ind w:right="51"/>
        <w:rPr>
          <w:rFonts w:ascii="Arial" w:eastAsia="Times New Roman" w:hAnsi="Arial" w:cs="Times New Roman"/>
          <w:b/>
          <w:bCs/>
          <w:lang w:val="es-ES"/>
        </w:rPr>
      </w:pPr>
    </w:p>
    <w:p w14:paraId="230ABCFD" w14:textId="77777777" w:rsidR="004F3975" w:rsidRPr="004F3975" w:rsidRDefault="004F3975" w:rsidP="004F3975">
      <w:pPr>
        <w:widowControl w:val="0"/>
        <w:autoSpaceDE w:val="0"/>
        <w:autoSpaceDN w:val="0"/>
        <w:adjustRightInd w:val="0"/>
        <w:spacing w:after="0" w:line="240" w:lineRule="auto"/>
        <w:ind w:right="51"/>
        <w:rPr>
          <w:rFonts w:ascii="Arial" w:eastAsia="Times New Roman" w:hAnsi="Arial" w:cs="Times New Roman"/>
          <w:b/>
          <w:bCs/>
          <w:lang w:val="es-ES"/>
        </w:rPr>
      </w:pPr>
      <w:r w:rsidRPr="004F3975">
        <w:rPr>
          <w:rFonts w:ascii="Arial" w:eastAsia="Times New Roman" w:hAnsi="Arial" w:cs="Times New Roman"/>
          <w:b/>
          <w:bCs/>
          <w:lang w:val="es-ES"/>
        </w:rPr>
        <w:t>Decisiones de la COP13 de la CMS sobre capturas incidentales</w:t>
      </w:r>
    </w:p>
    <w:p w14:paraId="6E010448" w14:textId="77777777" w:rsidR="004F3975" w:rsidRPr="004F3975" w:rsidRDefault="004F3975" w:rsidP="004F3975">
      <w:pPr>
        <w:widowControl w:val="0"/>
        <w:autoSpaceDE w:val="0"/>
        <w:autoSpaceDN w:val="0"/>
        <w:adjustRightInd w:val="0"/>
        <w:spacing w:after="0" w:line="240" w:lineRule="auto"/>
        <w:ind w:right="51"/>
        <w:rPr>
          <w:rFonts w:ascii="Arial" w:eastAsia="Times New Roman" w:hAnsi="Arial" w:cs="Times New Roman"/>
          <w:lang w:val="es-ES"/>
        </w:rPr>
      </w:pPr>
    </w:p>
    <w:p w14:paraId="380E3E36" w14:textId="45BA44D0" w:rsidR="004F3975" w:rsidRPr="004F3975" w:rsidRDefault="004F3975" w:rsidP="002C05A9">
      <w:pPr>
        <w:widowControl w:val="0"/>
        <w:numPr>
          <w:ilvl w:val="0"/>
          <w:numId w:val="1"/>
        </w:numPr>
        <w:autoSpaceDE w:val="0"/>
        <w:autoSpaceDN w:val="0"/>
        <w:adjustRightInd w:val="0"/>
        <w:spacing w:after="80" w:line="240" w:lineRule="auto"/>
        <w:ind w:left="547" w:right="58" w:hanging="547"/>
        <w:jc w:val="both"/>
        <w:rPr>
          <w:rFonts w:ascii="Arial" w:eastAsia="Times New Roman" w:hAnsi="Arial" w:cs="Times New Roman"/>
          <w:lang w:val="es-ES"/>
        </w:rPr>
      </w:pPr>
      <w:r w:rsidRPr="004F3975">
        <w:rPr>
          <w:rFonts w:ascii="Arial" w:eastAsia="Times New Roman" w:hAnsi="Arial" w:cs="Times New Roman"/>
          <w:lang w:val="es-ES"/>
        </w:rPr>
        <w:t>En la 13</w:t>
      </w:r>
      <w:r w:rsidRPr="004F3975">
        <w:rPr>
          <w:rFonts w:ascii="Arial" w:eastAsia="Times New Roman" w:hAnsi="Arial" w:cs="Times New Roman"/>
          <w:vertAlign w:val="superscript"/>
          <w:lang w:val="es-ES"/>
        </w:rPr>
        <w:t>a</w:t>
      </w:r>
      <w:r w:rsidRPr="004F3975">
        <w:rPr>
          <w:rFonts w:ascii="Arial" w:eastAsia="Times New Roman" w:hAnsi="Arial" w:cs="Times New Roman"/>
          <w:lang w:val="es-ES"/>
        </w:rPr>
        <w:t xml:space="preserve">reunión de las Partes durante la Convención sobre Decisiones de Especies Migratorias de Animales Silvestres (COP13) se adoptaron las decisiones </w:t>
      </w:r>
      <w:hyperlink r:id="rId11" w:history="1">
        <w:r w:rsidRPr="004F3975">
          <w:rPr>
            <w:rFonts w:ascii="Arial" w:eastAsia="Times New Roman" w:hAnsi="Arial" w:cs="Times New Roman"/>
            <w:color w:val="0000FF"/>
            <w:u w:val="single"/>
            <w:lang w:val="es-ES"/>
          </w:rPr>
          <w:t>13</w:t>
        </w:r>
        <w:r w:rsidRPr="004F3975">
          <w:rPr>
            <w:rFonts w:ascii="Arial" w:eastAsia="Times New Roman" w:hAnsi="Arial" w:cs="Times New Roman"/>
            <w:color w:val="0000FF"/>
            <w:u w:val="single"/>
            <w:lang w:val="es-ES"/>
          </w:rPr>
          <w:t>.</w:t>
        </w:r>
        <w:r w:rsidRPr="004F3975">
          <w:rPr>
            <w:rFonts w:ascii="Arial" w:eastAsia="Times New Roman" w:hAnsi="Arial" w:cs="Times New Roman"/>
            <w:color w:val="0000FF"/>
            <w:u w:val="single"/>
            <w:lang w:val="es-ES"/>
          </w:rPr>
          <w:t>62 y 13.63 sobre capturas incidentales</w:t>
        </w:r>
      </w:hyperlink>
      <w:r w:rsidRPr="004F3975">
        <w:rPr>
          <w:rFonts w:ascii="Arial" w:eastAsia="Times New Roman" w:hAnsi="Arial" w:cs="Times New Roman"/>
          <w:lang w:val="es-ES"/>
        </w:rPr>
        <w:t xml:space="preserve"> y también se invitó al Comité Asesor (CA) del </w:t>
      </w:r>
      <w:proofErr w:type="spellStart"/>
      <w:r w:rsidRPr="004F3975">
        <w:rPr>
          <w:rFonts w:ascii="Arial" w:eastAsia="Times New Roman" w:hAnsi="Arial" w:cs="Times New Roman"/>
          <w:lang w:val="es-ES"/>
        </w:rPr>
        <w:t>MdE</w:t>
      </w:r>
      <w:proofErr w:type="spellEnd"/>
      <w:r w:rsidRPr="004F3975">
        <w:rPr>
          <w:rFonts w:ascii="Arial" w:eastAsia="Times New Roman" w:hAnsi="Arial" w:cs="Times New Roman"/>
          <w:lang w:val="es-ES"/>
        </w:rPr>
        <w:t xml:space="preserve"> sobre los Tiburones a que respaldara su aplicación. </w:t>
      </w:r>
    </w:p>
    <w:p w14:paraId="53277B32" w14:textId="77777777" w:rsidR="004F3975" w:rsidRPr="004F3975" w:rsidRDefault="004F3975" w:rsidP="004F3975">
      <w:pPr>
        <w:widowControl w:val="0"/>
        <w:autoSpaceDE w:val="0"/>
        <w:autoSpaceDN w:val="0"/>
        <w:adjustRightInd w:val="0"/>
        <w:spacing w:after="80" w:line="240" w:lineRule="auto"/>
        <w:ind w:left="720" w:right="51"/>
        <w:jc w:val="both"/>
        <w:rPr>
          <w:rFonts w:ascii="Arial" w:eastAsia="Times New Roman" w:hAnsi="Arial" w:cs="Times New Roman"/>
          <w:b/>
          <w:bCs/>
          <w:i/>
          <w:iCs/>
          <w:lang w:val="es-ES"/>
        </w:rPr>
      </w:pPr>
      <w:r w:rsidRPr="004F3975">
        <w:rPr>
          <w:rFonts w:ascii="Arial" w:eastAsia="Times New Roman" w:hAnsi="Arial" w:cs="Times New Roman"/>
          <w:b/>
          <w:bCs/>
          <w:i/>
          <w:iCs/>
          <w:lang w:val="es-ES"/>
        </w:rPr>
        <w:t>Decisión 13.62 dirigido al Consejo Científico</w:t>
      </w:r>
    </w:p>
    <w:p w14:paraId="2E96DD46" w14:textId="77777777" w:rsidR="004F3975" w:rsidRPr="004F3975" w:rsidRDefault="004F3975" w:rsidP="004F3975">
      <w:pPr>
        <w:widowControl w:val="0"/>
        <w:autoSpaceDE w:val="0"/>
        <w:autoSpaceDN w:val="0"/>
        <w:adjustRightInd w:val="0"/>
        <w:spacing w:after="80" w:line="240" w:lineRule="auto"/>
        <w:ind w:left="720" w:right="51"/>
        <w:jc w:val="both"/>
        <w:rPr>
          <w:rFonts w:ascii="Arial" w:eastAsia="Times New Roman" w:hAnsi="Arial" w:cs="Times New Roman"/>
          <w:i/>
          <w:iCs/>
          <w:lang w:val="es-ES"/>
        </w:rPr>
      </w:pPr>
      <w:r w:rsidRPr="004F3975">
        <w:rPr>
          <w:rFonts w:ascii="Arial" w:eastAsia="Times New Roman" w:hAnsi="Arial" w:cs="Times New Roman"/>
          <w:i/>
          <w:iCs/>
          <w:lang w:val="es-ES"/>
        </w:rPr>
        <w:t>“Se invita al Consejo Científico y al Grupo de Trabajo sobre capturas incidentales, sujeto a la disponibilidad de fondos y en cooperación con otras organizaciones pertinentes como el Comité Asesor del Memorando de Entendimiento (</w:t>
      </w:r>
      <w:proofErr w:type="spellStart"/>
      <w:r w:rsidRPr="004F3975">
        <w:rPr>
          <w:rFonts w:ascii="Arial" w:eastAsia="Times New Roman" w:hAnsi="Arial" w:cs="Times New Roman"/>
          <w:i/>
          <w:iCs/>
          <w:lang w:val="es-ES"/>
        </w:rPr>
        <w:t>MdE</w:t>
      </w:r>
      <w:proofErr w:type="spellEnd"/>
      <w:r w:rsidRPr="004F3975">
        <w:rPr>
          <w:rFonts w:ascii="Arial" w:eastAsia="Times New Roman" w:hAnsi="Arial" w:cs="Times New Roman"/>
          <w:i/>
          <w:iCs/>
          <w:lang w:val="es-ES"/>
        </w:rPr>
        <w:t>) sobre tiburones y las organizaciones de gestión de la pesca, a que:</w:t>
      </w:r>
    </w:p>
    <w:p w14:paraId="3FEAA1D4" w14:textId="77777777" w:rsidR="004F3975" w:rsidRPr="004F3975" w:rsidRDefault="004F3975" w:rsidP="004F3975">
      <w:pPr>
        <w:widowControl w:val="0"/>
        <w:autoSpaceDE w:val="0"/>
        <w:autoSpaceDN w:val="0"/>
        <w:adjustRightInd w:val="0"/>
        <w:spacing w:after="80" w:line="240" w:lineRule="auto"/>
        <w:ind w:left="1440" w:right="51"/>
        <w:jc w:val="both"/>
        <w:rPr>
          <w:rFonts w:ascii="Arial" w:eastAsia="Times New Roman" w:hAnsi="Arial" w:cs="Times New Roman"/>
          <w:i/>
          <w:iCs/>
          <w:lang w:val="es-ES"/>
        </w:rPr>
      </w:pPr>
      <w:r w:rsidRPr="004F3975">
        <w:rPr>
          <w:rFonts w:ascii="Arial" w:eastAsia="Times New Roman" w:hAnsi="Arial" w:cs="Times New Roman"/>
          <w:i/>
          <w:iCs/>
          <w:lang w:val="es-ES"/>
        </w:rPr>
        <w:t>(a) revisen los datos y conocimientos actuales sobre niveles de capturas incidentales de las especies de condrictios que figuran en las listas de la CMS, así como las medidas existentes de mitigación de las capturas incidentales por especies, zonas de pesca, pesquerías, temporada de pesca y tipo de instrumento;</w:t>
      </w:r>
    </w:p>
    <w:p w14:paraId="1FEF7D9D" w14:textId="77777777" w:rsidR="004F3975" w:rsidRPr="004F3975" w:rsidRDefault="004F3975" w:rsidP="004F3975">
      <w:pPr>
        <w:widowControl w:val="0"/>
        <w:autoSpaceDE w:val="0"/>
        <w:autoSpaceDN w:val="0"/>
        <w:adjustRightInd w:val="0"/>
        <w:spacing w:after="80" w:line="240" w:lineRule="auto"/>
        <w:ind w:left="1440"/>
        <w:jc w:val="both"/>
        <w:rPr>
          <w:rFonts w:ascii="Arial" w:eastAsia="Times New Roman" w:hAnsi="Arial" w:cs="Times New Roman"/>
          <w:i/>
          <w:iCs/>
          <w:lang w:val="es-ES"/>
        </w:rPr>
      </w:pPr>
      <w:r w:rsidRPr="004F3975">
        <w:rPr>
          <w:rFonts w:ascii="Arial" w:eastAsia="Times New Roman" w:hAnsi="Arial" w:cs="Times New Roman"/>
          <w:i/>
          <w:iCs/>
          <w:lang w:val="es-ES"/>
        </w:rPr>
        <w:t xml:space="preserve">(b) de acuerdo con lo anterior, identifiquen las prioridades para la mitigación de capturas incidentales y aporten recomendaciones a las Partes y al </w:t>
      </w:r>
      <w:proofErr w:type="spellStart"/>
      <w:r w:rsidRPr="004F3975">
        <w:rPr>
          <w:rFonts w:ascii="Arial" w:eastAsia="Times New Roman" w:hAnsi="Arial" w:cs="Times New Roman"/>
          <w:i/>
          <w:iCs/>
          <w:lang w:val="es-ES"/>
        </w:rPr>
        <w:t>MdE</w:t>
      </w:r>
      <w:proofErr w:type="spellEnd"/>
      <w:r w:rsidRPr="004F3975">
        <w:rPr>
          <w:rFonts w:ascii="Arial" w:eastAsia="Times New Roman" w:hAnsi="Arial" w:cs="Times New Roman"/>
          <w:i/>
          <w:iCs/>
          <w:lang w:val="es-ES"/>
        </w:rPr>
        <w:t xml:space="preserve"> sobre tiburones de la CMS sobre las medidas más efectivas y apropiadas para la mitigación y reducción de las capturas incidentales, según las categorías mencionadas anteriormente, al mismo tiempo que se garantiza que las medidas recomendadas no afectan negativamente a otras especies marinas que figuran en las listas de la CMS.</w:t>
      </w:r>
    </w:p>
    <w:p w14:paraId="7FC14D08" w14:textId="19D5ED2D" w:rsidR="004F3975" w:rsidRPr="004F3975" w:rsidRDefault="004F3975" w:rsidP="004F3975">
      <w:pPr>
        <w:widowControl w:val="0"/>
        <w:autoSpaceDE w:val="0"/>
        <w:autoSpaceDN w:val="0"/>
        <w:adjustRightInd w:val="0"/>
        <w:spacing w:after="80" w:line="240" w:lineRule="auto"/>
        <w:ind w:left="720"/>
        <w:jc w:val="both"/>
        <w:rPr>
          <w:rFonts w:ascii="Arial" w:eastAsia="Times New Roman" w:hAnsi="Arial" w:cs="Times New Roman"/>
          <w:b/>
          <w:bCs/>
          <w:i/>
          <w:iCs/>
          <w:lang w:val="es-ES"/>
        </w:rPr>
      </w:pPr>
      <w:r w:rsidRPr="004F3975">
        <w:rPr>
          <w:rFonts w:ascii="Arial" w:eastAsia="Times New Roman" w:hAnsi="Arial" w:cs="Times New Roman"/>
          <w:b/>
          <w:bCs/>
          <w:i/>
          <w:iCs/>
          <w:lang w:val="es-ES"/>
        </w:rPr>
        <w:t>Decisión 13.6</w:t>
      </w:r>
      <w:r>
        <w:rPr>
          <w:rFonts w:ascii="Arial" w:eastAsia="Times New Roman" w:hAnsi="Arial" w:cs="Times New Roman"/>
          <w:b/>
          <w:bCs/>
          <w:i/>
          <w:iCs/>
          <w:lang w:val="es-ES"/>
        </w:rPr>
        <w:t>3</w:t>
      </w:r>
      <w:r w:rsidRPr="004F3975">
        <w:rPr>
          <w:rFonts w:ascii="Arial" w:eastAsia="Times New Roman" w:hAnsi="Arial" w:cs="Times New Roman"/>
          <w:b/>
          <w:bCs/>
          <w:i/>
          <w:iCs/>
          <w:lang w:val="es-ES"/>
        </w:rPr>
        <w:t xml:space="preserve"> dirigido a Secretaría </w:t>
      </w:r>
    </w:p>
    <w:p w14:paraId="00C09310" w14:textId="77777777" w:rsidR="004F3975" w:rsidRPr="004F3975" w:rsidRDefault="004F3975" w:rsidP="004F3975">
      <w:pPr>
        <w:widowControl w:val="0"/>
        <w:autoSpaceDE w:val="0"/>
        <w:autoSpaceDN w:val="0"/>
        <w:adjustRightInd w:val="0"/>
        <w:spacing w:after="80" w:line="240" w:lineRule="auto"/>
        <w:ind w:left="720"/>
        <w:jc w:val="both"/>
        <w:rPr>
          <w:rFonts w:ascii="Arial" w:eastAsia="Times New Roman" w:hAnsi="Arial" w:cs="Times New Roman"/>
          <w:i/>
          <w:iCs/>
          <w:lang w:val="es-ES"/>
        </w:rPr>
      </w:pPr>
      <w:r w:rsidRPr="004F3975">
        <w:rPr>
          <w:rFonts w:ascii="Arial" w:eastAsia="Times New Roman" w:hAnsi="Arial" w:cs="Times New Roman"/>
          <w:i/>
          <w:iCs/>
          <w:lang w:val="es-ES"/>
        </w:rPr>
        <w:t xml:space="preserve">Se solicita a la Secretaría que, sujeta a la disponibilidad de fondos, realice lo siguiente: </w:t>
      </w:r>
    </w:p>
    <w:p w14:paraId="1E690408" w14:textId="77777777" w:rsidR="004F3975" w:rsidRPr="004F3975" w:rsidRDefault="004F3975" w:rsidP="004F3975">
      <w:pPr>
        <w:widowControl w:val="0"/>
        <w:autoSpaceDE w:val="0"/>
        <w:autoSpaceDN w:val="0"/>
        <w:adjustRightInd w:val="0"/>
        <w:spacing w:after="80" w:line="240" w:lineRule="auto"/>
        <w:ind w:left="1440"/>
        <w:jc w:val="both"/>
        <w:rPr>
          <w:rFonts w:ascii="Arial" w:eastAsia="Times New Roman" w:hAnsi="Arial" w:cs="Times New Roman"/>
          <w:i/>
          <w:iCs/>
          <w:lang w:val="es-ES"/>
        </w:rPr>
      </w:pPr>
      <w:r w:rsidRPr="004F3975">
        <w:rPr>
          <w:rFonts w:ascii="Arial" w:eastAsia="Times New Roman" w:hAnsi="Arial" w:cs="Times New Roman"/>
          <w:i/>
          <w:iCs/>
          <w:lang w:val="es-ES"/>
        </w:rPr>
        <w:t>…</w:t>
      </w:r>
    </w:p>
    <w:p w14:paraId="3DCC6EC3" w14:textId="77777777" w:rsidR="004F3975" w:rsidRPr="004F3975" w:rsidRDefault="004F3975" w:rsidP="004F3975">
      <w:pPr>
        <w:widowControl w:val="0"/>
        <w:autoSpaceDE w:val="0"/>
        <w:autoSpaceDN w:val="0"/>
        <w:adjustRightInd w:val="0"/>
        <w:spacing w:after="0" w:line="240" w:lineRule="auto"/>
        <w:ind w:left="1440"/>
        <w:jc w:val="both"/>
        <w:rPr>
          <w:rFonts w:ascii="Arial" w:eastAsia="Times New Roman" w:hAnsi="Arial" w:cs="Times New Roman"/>
          <w:i/>
          <w:iCs/>
          <w:lang w:val="es-ES"/>
        </w:rPr>
      </w:pPr>
      <w:r w:rsidRPr="004F3975">
        <w:rPr>
          <w:rFonts w:ascii="Arial" w:eastAsia="Times New Roman" w:hAnsi="Arial" w:cs="Times New Roman"/>
          <w:i/>
          <w:iCs/>
          <w:lang w:val="es-ES"/>
        </w:rPr>
        <w:t xml:space="preserve">(b) apoye al Consejo Científico en la implementación de su tarea acordada en la Decisión 13.62, incluido el encargo de una revisión sobre las capturas incidentales de especies de condrictios y la facilitación de la cooperación entre el Consejo Científico y el Comité Asesor del </w:t>
      </w:r>
      <w:proofErr w:type="spellStart"/>
      <w:r w:rsidRPr="004F3975">
        <w:rPr>
          <w:rFonts w:ascii="Arial" w:eastAsia="Times New Roman" w:hAnsi="Arial" w:cs="Times New Roman"/>
          <w:i/>
          <w:iCs/>
          <w:lang w:val="es-ES"/>
        </w:rPr>
        <w:t>MdE</w:t>
      </w:r>
      <w:proofErr w:type="spellEnd"/>
      <w:r w:rsidRPr="004F3975">
        <w:rPr>
          <w:rFonts w:ascii="Arial" w:eastAsia="Times New Roman" w:hAnsi="Arial" w:cs="Times New Roman"/>
          <w:i/>
          <w:iCs/>
          <w:lang w:val="es-ES"/>
        </w:rPr>
        <w:t xml:space="preserve"> sobre Tiburones.</w:t>
      </w:r>
    </w:p>
    <w:p w14:paraId="66C21018" w14:textId="77777777" w:rsidR="004F3975" w:rsidRPr="004F3975" w:rsidRDefault="004F3975" w:rsidP="004F3975">
      <w:pPr>
        <w:widowControl w:val="0"/>
        <w:autoSpaceDE w:val="0"/>
        <w:autoSpaceDN w:val="0"/>
        <w:adjustRightInd w:val="0"/>
        <w:spacing w:after="0" w:line="240" w:lineRule="auto"/>
        <w:ind w:right="252"/>
        <w:contextualSpacing/>
        <w:jc w:val="both"/>
        <w:rPr>
          <w:rFonts w:ascii="Arial" w:eastAsia="Times New Roman" w:hAnsi="Arial" w:cs="Times New Roman"/>
          <w:b/>
          <w:bCs/>
          <w:lang w:val="es-ES"/>
        </w:rPr>
      </w:pPr>
    </w:p>
    <w:p w14:paraId="04AC5B14" w14:textId="77777777" w:rsidR="004F3975" w:rsidRPr="004F3975" w:rsidRDefault="004F3975" w:rsidP="004F3975">
      <w:pPr>
        <w:widowControl w:val="0"/>
        <w:autoSpaceDE w:val="0"/>
        <w:autoSpaceDN w:val="0"/>
        <w:adjustRightInd w:val="0"/>
        <w:spacing w:after="0" w:line="240" w:lineRule="auto"/>
        <w:jc w:val="both"/>
        <w:rPr>
          <w:rFonts w:ascii="Arial" w:eastAsia="Times New Roman" w:hAnsi="Arial" w:cs="Times New Roman"/>
          <w:b/>
          <w:bCs/>
          <w:szCs w:val="32"/>
          <w:lang w:val="es-ES"/>
        </w:rPr>
      </w:pPr>
      <w:r w:rsidRPr="004F3975">
        <w:rPr>
          <w:rFonts w:ascii="Arial" w:eastAsia="Times New Roman" w:hAnsi="Arial" w:cs="Times New Roman"/>
          <w:b/>
          <w:bCs/>
          <w:szCs w:val="32"/>
          <w:lang w:val="es-ES"/>
        </w:rPr>
        <w:t xml:space="preserve">Enfoque propuesto para aplicar la parte a) de la Decisión </w:t>
      </w:r>
      <w:r w:rsidRPr="004F3975">
        <w:rPr>
          <w:rFonts w:ascii="Arial" w:eastAsia="Times New Roman" w:hAnsi="Arial" w:cs="Times New Roman"/>
          <w:b/>
          <w:bCs/>
          <w:lang w:val="es-ES"/>
        </w:rPr>
        <w:t>13.62</w:t>
      </w:r>
    </w:p>
    <w:p w14:paraId="632EB048" w14:textId="77777777" w:rsidR="004F3975" w:rsidRPr="004F3975" w:rsidRDefault="004F3975" w:rsidP="004F3975">
      <w:pPr>
        <w:widowControl w:val="0"/>
        <w:autoSpaceDE w:val="0"/>
        <w:autoSpaceDN w:val="0"/>
        <w:adjustRightInd w:val="0"/>
        <w:spacing w:after="0" w:line="240" w:lineRule="auto"/>
        <w:jc w:val="both"/>
        <w:rPr>
          <w:rFonts w:ascii="Arial" w:eastAsia="Times New Roman" w:hAnsi="Arial" w:cs="Times New Roman"/>
          <w:szCs w:val="32"/>
          <w:lang w:val="es-ES"/>
        </w:rPr>
      </w:pPr>
    </w:p>
    <w:p w14:paraId="112DA5D5"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 xml:space="preserve">Los datos informados sobre la captura incidental a menudo son difíciles de comparar ya que el término "captura incidental" no se define con coherencia, y los estándares de notificación son diferentes según el país y las organizaciones. Resulta difícil un análisis de los niveles actuales de las capturas basado en los datos disponibles, en consecuencia, podría llegarse a resultados erróneos. Además, una captura incidental puede no reflejar con precisión el impacto total de la pesca en las poblaciones de tiburones y rayas, puesto que solo tiene en cuenta una parte de la mortalidad causada por la pesca. </w:t>
      </w:r>
    </w:p>
    <w:p w14:paraId="1F3F9088" w14:textId="77777777" w:rsidR="004F3975" w:rsidRPr="004F3975" w:rsidRDefault="004F3975" w:rsidP="004F3975">
      <w:pPr>
        <w:widowControl w:val="0"/>
        <w:autoSpaceDE w:val="0"/>
        <w:autoSpaceDN w:val="0"/>
        <w:adjustRightInd w:val="0"/>
        <w:spacing w:after="0" w:line="240" w:lineRule="auto"/>
        <w:ind w:left="540"/>
        <w:contextualSpacing/>
        <w:jc w:val="both"/>
        <w:rPr>
          <w:rFonts w:ascii="Arial" w:eastAsia="Times New Roman" w:hAnsi="Arial" w:cs="Times New Roman"/>
          <w:szCs w:val="32"/>
          <w:lang w:val="es-ES"/>
        </w:rPr>
      </w:pPr>
    </w:p>
    <w:p w14:paraId="64987511"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Tal como se mencionó en los párrafos 4 y 5 anteriores, desarrollar medidas de conservación eficientes es importante para evaluar con precisión el impacto total de la pesca en las poblaciones de tiburones y rayas, teniendo en cuenta todas las fuentes de mortalidad a causa de las pesquerías.</w:t>
      </w:r>
    </w:p>
    <w:p w14:paraId="47CFE7D7" w14:textId="77777777" w:rsidR="004F3975" w:rsidRPr="004F3975" w:rsidRDefault="004F3975" w:rsidP="004F3975">
      <w:pPr>
        <w:widowControl w:val="0"/>
        <w:autoSpaceDE w:val="0"/>
        <w:autoSpaceDN w:val="0"/>
        <w:adjustRightInd w:val="0"/>
        <w:spacing w:after="0" w:line="240" w:lineRule="auto"/>
        <w:ind w:left="540"/>
        <w:contextualSpacing/>
        <w:jc w:val="both"/>
        <w:rPr>
          <w:rFonts w:ascii="Arial" w:eastAsia="Times New Roman" w:hAnsi="Arial" w:cs="Times New Roman"/>
          <w:szCs w:val="32"/>
          <w:lang w:val="es-ES"/>
        </w:rPr>
      </w:pPr>
    </w:p>
    <w:p w14:paraId="0DFDF4B5"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 xml:space="preserve">Para implementar la parte a) de la Decisión </w:t>
      </w:r>
      <w:r w:rsidRPr="004F3975">
        <w:rPr>
          <w:rFonts w:ascii="Arial" w:eastAsia="Times New Roman" w:hAnsi="Arial" w:cs="Times New Roman"/>
          <w:lang w:val="es-ES"/>
        </w:rPr>
        <w:t>13.62</w:t>
      </w:r>
      <w:r w:rsidRPr="004F3975">
        <w:rPr>
          <w:rFonts w:ascii="Arial" w:eastAsia="Times New Roman" w:hAnsi="Arial" w:cs="Times New Roman"/>
          <w:szCs w:val="32"/>
          <w:lang w:val="es-ES"/>
        </w:rPr>
        <w:t xml:space="preserve">, el CA y la Secretaría, de este modo, proponen la revisión y la valoración crítica de datos actuales, así como del conocimiento relativo a los niveles de "mortalidad a causa de las pesquerías" de aquellas especies de tiburones y rayas enumeradas en los Apéndices I y II de la CMS y/o el Anexo 1 del </w:t>
      </w:r>
      <w:proofErr w:type="spellStart"/>
      <w:r w:rsidRPr="004F3975">
        <w:rPr>
          <w:rFonts w:ascii="Arial" w:eastAsia="Times New Roman" w:hAnsi="Arial" w:cs="Times New Roman"/>
          <w:szCs w:val="32"/>
          <w:lang w:val="es-ES"/>
        </w:rPr>
        <w:t>MdE</w:t>
      </w:r>
      <w:proofErr w:type="spellEnd"/>
      <w:r w:rsidRPr="004F3975">
        <w:rPr>
          <w:rFonts w:ascii="Arial" w:eastAsia="Times New Roman" w:hAnsi="Arial" w:cs="Times New Roman"/>
          <w:szCs w:val="32"/>
          <w:lang w:val="es-ES"/>
        </w:rPr>
        <w:t xml:space="preserve"> sobre los Tiburones, con el objetivo de priorizar las zonas y las especies en la aplicación de las medidas de mitigación de capturas incidentales con objeto de reducir la mortalidad a causa de las pesquerías.</w:t>
      </w:r>
    </w:p>
    <w:p w14:paraId="62A16FCF" w14:textId="77777777" w:rsidR="004F3975" w:rsidRPr="004F3975" w:rsidRDefault="004F3975" w:rsidP="004F3975">
      <w:pPr>
        <w:widowControl w:val="0"/>
        <w:autoSpaceDE w:val="0"/>
        <w:autoSpaceDN w:val="0"/>
        <w:adjustRightInd w:val="0"/>
        <w:spacing w:after="0" w:line="240" w:lineRule="auto"/>
        <w:rPr>
          <w:rFonts w:ascii="Arial" w:eastAsia="Times New Roman" w:hAnsi="Arial" w:cs="Times New Roman"/>
          <w:szCs w:val="32"/>
          <w:lang w:val="es-ES"/>
        </w:rPr>
      </w:pPr>
    </w:p>
    <w:p w14:paraId="664B50E8"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Se ha propuesto llevar a cabo un estudio piloto en dos regiones definidas y en función de las zonas de pesca utilizadas por la Organización de las Naciones Unidas para la Agricultura y la Alimentación (FAO). El propósito sería desarrollar una metodología estandarizada para la comprensión de la mortalidad de tiburones y rayas a causa de las pesquerías que pueda, por lo tanto, aplicarse en otras áreas. Los datos se desglosarán en función del área de pesca de la FAO, el taxón y, cuando esté disponible, el tipo de pesquería (p. ej., industrial, artesanal o recreacional), el tipo de arte y la temporada de pesca.</w:t>
      </w:r>
    </w:p>
    <w:p w14:paraId="726BC605" w14:textId="77777777" w:rsidR="004F3975" w:rsidRPr="004F3975" w:rsidRDefault="004F3975" w:rsidP="004F3975">
      <w:pPr>
        <w:widowControl w:val="0"/>
        <w:autoSpaceDE w:val="0"/>
        <w:autoSpaceDN w:val="0"/>
        <w:adjustRightInd w:val="0"/>
        <w:spacing w:after="0" w:line="240" w:lineRule="auto"/>
        <w:ind w:left="720"/>
        <w:contextualSpacing/>
        <w:rPr>
          <w:rFonts w:ascii="Arial" w:eastAsia="Times New Roman" w:hAnsi="Arial" w:cs="Times New Roman"/>
          <w:szCs w:val="32"/>
          <w:lang w:val="es-ES"/>
        </w:rPr>
      </w:pPr>
    </w:p>
    <w:p w14:paraId="2B98A3AE"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 xml:space="preserve">En primer lugar, se propone que debe darse importancia a las zonas 37 (mar Mediterráneo y mar Negro) y 87 (sudeste del Pacífico). Estas regiones son clave para contrastar la variedad de especies de tiburones y rayas enumeradas en los Apéndices de la CMS y pueden tener diferentes grados de variedad en la información y los datos disponibles. </w:t>
      </w:r>
    </w:p>
    <w:p w14:paraId="19CC196A" w14:textId="77777777" w:rsidR="004F3975" w:rsidRPr="004F3975" w:rsidRDefault="004F3975" w:rsidP="004F3975">
      <w:pPr>
        <w:widowControl w:val="0"/>
        <w:autoSpaceDE w:val="0"/>
        <w:autoSpaceDN w:val="0"/>
        <w:adjustRightInd w:val="0"/>
        <w:spacing w:after="0" w:line="240" w:lineRule="auto"/>
        <w:ind w:left="720"/>
        <w:contextualSpacing/>
        <w:rPr>
          <w:rFonts w:ascii="Arial" w:eastAsia="Times New Roman" w:hAnsi="Arial" w:cs="Times New Roman"/>
          <w:szCs w:val="32"/>
          <w:lang w:val="es-ES"/>
        </w:rPr>
      </w:pPr>
    </w:p>
    <w:p w14:paraId="45F7AAC2"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 xml:space="preserve">La cuenca del Mediterráneo, conocida por contar con muchas y distintas especies de tiburones y rayas en un estado de conservación desfavorable, incluye más de 20 Estados del área de distribución y Territorios, además de poseer distintas pesquerías y disponibilidad de datos (incluidos los datos nacionales y aquellos datos recopilados por la Comisión General de Pesca del Mediterráneo (CGPM), la Comisión Internacional para la Conservación del Atún Atlántico (CICAA) y la FAO). </w:t>
      </w:r>
    </w:p>
    <w:p w14:paraId="495EB79B" w14:textId="77777777" w:rsidR="004F3975" w:rsidRPr="004F3975" w:rsidRDefault="004F3975" w:rsidP="004F3975">
      <w:pPr>
        <w:widowControl w:val="0"/>
        <w:autoSpaceDE w:val="0"/>
        <w:autoSpaceDN w:val="0"/>
        <w:adjustRightInd w:val="0"/>
        <w:spacing w:after="0" w:line="240" w:lineRule="auto"/>
        <w:ind w:left="720"/>
        <w:contextualSpacing/>
        <w:rPr>
          <w:rFonts w:ascii="Arial" w:eastAsia="Times New Roman" w:hAnsi="Arial" w:cs="Times New Roman"/>
          <w:szCs w:val="32"/>
          <w:lang w:val="es-ES"/>
        </w:rPr>
      </w:pPr>
    </w:p>
    <w:p w14:paraId="51B69B0F"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El sudeste del Pacífico está bordeado por un número más limitado de Estados del área de distribución, pero también con una extensión espacial mayor para alta mar que puede ser explotada por flotas de larga distancia, además de poseer datos potencialmente disponibles a través de otros organismos de pesquerías (p. ej., la Comisión Interamericana del Atún Tropical (CIAT) y la Organización Regional de Ordenación Pesquera del Pacífico sur (SPRFMO)). Centrarse en dos áreas geográficas opuestas prevé ser una ayuda para depurar e informar de los métodos que, en consecuencia, se aplicarían en los estudios regionales posteriores.</w:t>
      </w:r>
    </w:p>
    <w:p w14:paraId="656781E9" w14:textId="77777777" w:rsidR="004F3975" w:rsidRPr="004F3975" w:rsidRDefault="004F3975" w:rsidP="004F3975">
      <w:pPr>
        <w:widowControl w:val="0"/>
        <w:autoSpaceDE w:val="0"/>
        <w:autoSpaceDN w:val="0"/>
        <w:adjustRightInd w:val="0"/>
        <w:spacing w:after="0" w:line="240" w:lineRule="auto"/>
        <w:ind w:left="540"/>
        <w:contextualSpacing/>
        <w:jc w:val="both"/>
        <w:rPr>
          <w:rFonts w:ascii="Arial" w:eastAsia="Times New Roman" w:hAnsi="Arial" w:cs="Times New Roman"/>
          <w:szCs w:val="32"/>
          <w:lang w:val="es-ES"/>
        </w:rPr>
      </w:pPr>
    </w:p>
    <w:p w14:paraId="4EEFC453"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 xml:space="preserve">La revisión se centrará en los niveles actuales de mortalidad a causa de las pesquerías (en los desembarques, descartados muertos y una mortalidad estimada tras la liberación) que utilizan diferentes fuentes de datos, como literatura revisada por pares, bases de datos internacionales, regionales y nacionales, así como literatura gris (que puede ser de mayor relevancia en algunas especies o regiones). Además, los Órganos Regionales de Pesca </w:t>
      </w:r>
      <w:r w:rsidRPr="004F3975">
        <w:rPr>
          <w:rFonts w:ascii="Arial" w:eastAsia="Times New Roman" w:hAnsi="Arial" w:cs="Times New Roman"/>
          <w:szCs w:val="32"/>
          <w:lang w:val="es-ES"/>
        </w:rPr>
        <w:lastRenderedPageBreak/>
        <w:t>(ORP), los gobiernos, las agencias e investigadores serán contactados para obtener más datos mediante solicitudes de datos o entrevistas bilaterales.</w:t>
      </w:r>
    </w:p>
    <w:p w14:paraId="5F4B8795" w14:textId="77777777" w:rsidR="004F3975" w:rsidRPr="004F3975" w:rsidRDefault="004F3975" w:rsidP="004F3975">
      <w:pPr>
        <w:widowControl w:val="0"/>
        <w:autoSpaceDE w:val="0"/>
        <w:autoSpaceDN w:val="0"/>
        <w:adjustRightInd w:val="0"/>
        <w:spacing w:after="0" w:line="240" w:lineRule="auto"/>
        <w:ind w:left="540"/>
        <w:contextualSpacing/>
        <w:jc w:val="both"/>
        <w:rPr>
          <w:rFonts w:ascii="Arial" w:eastAsia="Times New Roman" w:hAnsi="Arial" w:cs="Times New Roman"/>
          <w:szCs w:val="32"/>
          <w:lang w:val="es-ES"/>
        </w:rPr>
      </w:pPr>
    </w:p>
    <w:p w14:paraId="6F9D3A64"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 xml:space="preserve">El objetivo de la revisión será identificar importantes carencias de datos e inferir cualitativamente la magnitud potencial de las capturas no notificadas (descartados muertos, en los desembarcos y liberaciones en vivo) para especies o pesquerías en las que tales datos resultan ser limitados dentro de las dos áreas de los casos de estudio (zonas de pesca 37 y 87 de la FAO). Anexo 1: en la Tabla 1 se indican las especies enumeradas que se dan en estas zonas. </w:t>
      </w:r>
    </w:p>
    <w:p w14:paraId="7DD5F14E" w14:textId="77777777" w:rsidR="004F3975" w:rsidRPr="004F3975" w:rsidRDefault="004F3975" w:rsidP="004F3975">
      <w:pPr>
        <w:widowControl w:val="0"/>
        <w:autoSpaceDE w:val="0"/>
        <w:autoSpaceDN w:val="0"/>
        <w:adjustRightInd w:val="0"/>
        <w:spacing w:after="0" w:line="240" w:lineRule="auto"/>
        <w:ind w:left="720"/>
        <w:contextualSpacing/>
        <w:rPr>
          <w:rFonts w:ascii="Arial" w:eastAsia="Times New Roman" w:hAnsi="Arial" w:cs="Times New Roman"/>
          <w:szCs w:val="32"/>
          <w:lang w:val="es-ES"/>
        </w:rPr>
      </w:pPr>
    </w:p>
    <w:p w14:paraId="13973B98"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 xml:space="preserve">La revisión ayudará a identificar algunas de las prioridades que necesitan abordarse para reducir la mortalidad a causa de las pesquerías de las especies de tiburones y rayas enumeradas en las listas de la CMS y del </w:t>
      </w:r>
      <w:proofErr w:type="spellStart"/>
      <w:r w:rsidRPr="004F3975">
        <w:rPr>
          <w:rFonts w:ascii="Arial" w:eastAsia="Times New Roman" w:hAnsi="Arial" w:cs="Times New Roman"/>
          <w:szCs w:val="32"/>
          <w:lang w:val="es-ES"/>
        </w:rPr>
        <w:t>MdE</w:t>
      </w:r>
      <w:proofErr w:type="spellEnd"/>
      <w:r w:rsidRPr="004F3975">
        <w:rPr>
          <w:rFonts w:ascii="Arial" w:eastAsia="Times New Roman" w:hAnsi="Arial" w:cs="Times New Roman"/>
          <w:szCs w:val="32"/>
          <w:lang w:val="es-ES"/>
        </w:rPr>
        <w:t xml:space="preserve"> sobre los Tiburones, en particular dentro de las zonas de estudio de caso. También recopilará y resumirá el conocimiento disponible de la mortalidad en la embarcación y posterior a la liberación a un nivel global, lo que incluye los efectos subletales para las especies con las que interactúan las distintas pesquerías. </w:t>
      </w:r>
    </w:p>
    <w:p w14:paraId="2BD5EC3E" w14:textId="77777777" w:rsidR="004F3975" w:rsidRPr="004F3975" w:rsidRDefault="004F3975" w:rsidP="004F3975">
      <w:pPr>
        <w:widowControl w:val="0"/>
        <w:autoSpaceDE w:val="0"/>
        <w:autoSpaceDN w:val="0"/>
        <w:adjustRightInd w:val="0"/>
        <w:spacing w:after="0" w:line="240" w:lineRule="auto"/>
        <w:ind w:left="720"/>
        <w:contextualSpacing/>
        <w:rPr>
          <w:rFonts w:ascii="Arial" w:eastAsia="Times New Roman" w:hAnsi="Arial" w:cs="Times New Roman"/>
          <w:szCs w:val="32"/>
          <w:lang w:val="es-ES"/>
        </w:rPr>
      </w:pPr>
    </w:p>
    <w:p w14:paraId="48D4DEF0"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 xml:space="preserve">Este enfoque permitirá que se desarrolle una metodología apropiada que facilitará revisiones posteriores en el resto de </w:t>
      </w:r>
      <w:proofErr w:type="gramStart"/>
      <w:r w:rsidRPr="004F3975">
        <w:rPr>
          <w:rFonts w:ascii="Arial" w:eastAsia="Times New Roman" w:hAnsi="Arial" w:cs="Times New Roman"/>
          <w:szCs w:val="32"/>
          <w:lang w:val="es-ES"/>
        </w:rPr>
        <w:t>zonas</w:t>
      </w:r>
      <w:proofErr w:type="gramEnd"/>
      <w:r w:rsidRPr="004F3975">
        <w:rPr>
          <w:rFonts w:ascii="Arial" w:eastAsia="Times New Roman" w:hAnsi="Arial" w:cs="Times New Roman"/>
          <w:szCs w:val="32"/>
          <w:lang w:val="es-ES"/>
        </w:rPr>
        <w:t xml:space="preserve"> de Pesca de la FAO (las cuales están actualmente fuera del ámbito de la revisión propuesta).</w:t>
      </w:r>
    </w:p>
    <w:p w14:paraId="297983EA" w14:textId="77777777" w:rsidR="004F3975" w:rsidRPr="004F3975" w:rsidRDefault="004F3975" w:rsidP="004F3975">
      <w:pPr>
        <w:widowControl w:val="0"/>
        <w:autoSpaceDE w:val="0"/>
        <w:autoSpaceDN w:val="0"/>
        <w:adjustRightInd w:val="0"/>
        <w:spacing w:after="0" w:line="240" w:lineRule="auto"/>
        <w:ind w:left="540"/>
        <w:contextualSpacing/>
        <w:jc w:val="both"/>
        <w:rPr>
          <w:rFonts w:ascii="Arial" w:eastAsia="Times New Roman" w:hAnsi="Arial" w:cs="Times New Roman"/>
          <w:szCs w:val="32"/>
          <w:lang w:val="es-ES"/>
        </w:rPr>
      </w:pPr>
    </w:p>
    <w:p w14:paraId="1B9B5191" w14:textId="77777777" w:rsidR="004F3975" w:rsidRPr="004F3975" w:rsidRDefault="004F3975" w:rsidP="004F3975">
      <w:pPr>
        <w:widowControl w:val="0"/>
        <w:autoSpaceDE w:val="0"/>
        <w:autoSpaceDN w:val="0"/>
        <w:adjustRightInd w:val="0"/>
        <w:spacing w:after="0" w:line="240" w:lineRule="auto"/>
        <w:ind w:left="540"/>
        <w:contextualSpacing/>
        <w:jc w:val="both"/>
        <w:rPr>
          <w:rFonts w:ascii="Arial" w:eastAsia="Times New Roman" w:hAnsi="Arial" w:cs="Arial"/>
          <w:iCs/>
          <w:lang w:val="es-ES"/>
        </w:rPr>
      </w:pPr>
      <w:r w:rsidRPr="004F3975">
        <w:rPr>
          <w:rFonts w:ascii="Arial" w:eastAsia="Times New Roman" w:hAnsi="Arial" w:cs="Arial"/>
          <w:b/>
          <w:bCs/>
          <w:lang w:val="es-ES"/>
        </w:rPr>
        <w:t>Tabla 1.</w:t>
      </w:r>
      <w:r w:rsidRPr="004F3975">
        <w:rPr>
          <w:rFonts w:ascii="Arial" w:eastAsia="Times New Roman" w:hAnsi="Arial" w:cs="Arial"/>
          <w:lang w:val="es-ES"/>
        </w:rPr>
        <w:t xml:space="preserve"> </w:t>
      </w:r>
      <w:r w:rsidRPr="004F3975">
        <w:rPr>
          <w:rFonts w:ascii="Arial" w:eastAsia="Times New Roman" w:hAnsi="Arial" w:cs="Arial"/>
          <w:iCs/>
          <w:lang w:val="es-ES"/>
        </w:rPr>
        <w:t xml:space="preserve">Ocurrencia de las especies de tiburones y rayas que se enumeran en los Apéndices de la CMS y del </w:t>
      </w:r>
      <w:proofErr w:type="spellStart"/>
      <w:r w:rsidRPr="004F3975">
        <w:rPr>
          <w:rFonts w:ascii="Arial" w:eastAsia="Times New Roman" w:hAnsi="Arial" w:cs="Arial"/>
          <w:iCs/>
          <w:lang w:val="es-ES"/>
        </w:rPr>
        <w:t>MdE</w:t>
      </w:r>
      <w:proofErr w:type="spellEnd"/>
      <w:r w:rsidRPr="004F3975">
        <w:rPr>
          <w:rFonts w:ascii="Arial" w:eastAsia="Times New Roman" w:hAnsi="Arial" w:cs="Arial"/>
          <w:iCs/>
          <w:lang w:val="es-ES"/>
        </w:rPr>
        <w:t xml:space="preserve"> sobre Tiburones </w:t>
      </w:r>
      <w:r w:rsidRPr="004F3975">
        <w:rPr>
          <w:rFonts w:ascii="Arial" w:eastAsia="Times New Roman" w:hAnsi="Arial" w:cs="Arial"/>
          <w:iCs/>
          <w:lang w:val="es-ES"/>
        </w:rPr>
        <w:br/>
        <w:t xml:space="preserve">Anexo 1 para las zonas principales de pesca de la FAO, la 37 (mar Mediterráneo y mar Negro) y la 87 (sudeste del Pacífico). </w:t>
      </w:r>
      <w:r w:rsidRPr="004F3975">
        <w:rPr>
          <w:rFonts w:ascii="Segoe UI Symbol" w:eastAsia="Noto Sans Symbols" w:hAnsi="Segoe UI Symbol" w:cs="Segoe UI Symbol"/>
          <w:iCs/>
          <w:lang w:val="es-ES"/>
        </w:rPr>
        <w:t>⬤</w:t>
      </w:r>
      <w:r w:rsidRPr="004F3975">
        <w:rPr>
          <w:rFonts w:ascii="Arial" w:eastAsia="Times New Roman" w:hAnsi="Arial" w:cs="Arial"/>
          <w:iCs/>
          <w:lang w:val="es-ES"/>
        </w:rPr>
        <w:t xml:space="preserve"> = presente; </w:t>
      </w:r>
      <w:bookmarkStart w:id="0" w:name="_Hlk122515780"/>
      <w:r w:rsidRPr="004F3975">
        <w:rPr>
          <w:rFonts w:ascii="Cambria Math" w:eastAsia="Noto Sans Symbols" w:hAnsi="Cambria Math" w:cs="Cambria Math"/>
          <w:iCs/>
          <w:lang w:val="es-ES"/>
        </w:rPr>
        <w:t>◉</w:t>
      </w:r>
      <w:r w:rsidRPr="004F3975">
        <w:rPr>
          <w:rFonts w:ascii="Arial" w:eastAsia="Times New Roman" w:hAnsi="Arial" w:cs="Arial"/>
          <w:iCs/>
          <w:lang w:val="es-ES"/>
        </w:rPr>
        <w:t xml:space="preserve"> = borde de la distribución/ registros fuera de límite</w:t>
      </w:r>
      <w:bookmarkEnd w:id="0"/>
      <w:r w:rsidRPr="004F3975">
        <w:rPr>
          <w:rFonts w:ascii="Arial" w:eastAsia="Times New Roman" w:hAnsi="Arial" w:cs="Arial"/>
          <w:iCs/>
          <w:lang w:val="es-ES"/>
        </w:rPr>
        <w:t xml:space="preserve">; </w:t>
      </w:r>
      <w:r w:rsidRPr="004F3975">
        <w:rPr>
          <w:rFonts w:ascii="Arial" w:eastAsia="Times New Roman" w:hAnsi="Arial" w:cs="Arial"/>
          <w:noProof/>
          <w:sz w:val="20"/>
          <w:szCs w:val="20"/>
          <w:lang w:val="es-ES"/>
        </w:rPr>
        <w:drawing>
          <wp:inline distT="0" distB="0" distL="0" distR="0" wp14:anchorId="2A4B6595" wp14:editId="2984CFC2">
            <wp:extent cx="95250" cy="95250"/>
            <wp:effectExtent l="0" t="0" r="0" b="0"/>
            <wp:docPr id="63" name="Picture 6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r w:rsidRPr="004F3975">
        <w:rPr>
          <w:rFonts w:ascii="Arial" w:eastAsia="Times New Roman" w:hAnsi="Arial" w:cs="Arial"/>
          <w:iCs/>
          <w:lang w:val="es-ES"/>
        </w:rPr>
        <w:t xml:space="preserve"> = ausente</w:t>
      </w:r>
      <w:proofErr w:type="gramStart"/>
      <w:r w:rsidRPr="004F3975">
        <w:rPr>
          <w:rFonts w:ascii="Arial" w:eastAsia="Times New Roman" w:hAnsi="Arial" w:cs="Arial"/>
          <w:iCs/>
          <w:lang w:val="es-ES"/>
        </w:rPr>
        <w:t>, ?</w:t>
      </w:r>
      <w:proofErr w:type="gramEnd"/>
      <w:r w:rsidRPr="004F3975">
        <w:rPr>
          <w:rFonts w:ascii="Arial" w:eastAsia="Times New Roman" w:hAnsi="Arial" w:cs="Arial"/>
          <w:iCs/>
          <w:lang w:val="es-ES"/>
        </w:rPr>
        <w:t xml:space="preserve"> = incierto; NA = No aplicable.</w:t>
      </w:r>
    </w:p>
    <w:p w14:paraId="3094E99D" w14:textId="77777777" w:rsidR="004F3975" w:rsidRPr="004F3975" w:rsidRDefault="004F3975" w:rsidP="004F3975">
      <w:pPr>
        <w:widowControl w:val="0"/>
        <w:autoSpaceDE w:val="0"/>
        <w:autoSpaceDN w:val="0"/>
        <w:adjustRightInd w:val="0"/>
        <w:spacing w:after="0" w:line="240" w:lineRule="auto"/>
        <w:ind w:left="540"/>
        <w:contextualSpacing/>
        <w:jc w:val="both"/>
        <w:rPr>
          <w:rFonts w:ascii="Arial" w:eastAsia="Times New Roman" w:hAnsi="Arial" w:cs="Arial"/>
          <w:iCs/>
          <w:lang w:val="es-ES"/>
        </w:rPr>
      </w:pPr>
    </w:p>
    <w:tbl>
      <w:tblPr>
        <w:tblStyle w:val="PlainTable23"/>
        <w:tblW w:w="0" w:type="auto"/>
        <w:tblInd w:w="540" w:type="dxa"/>
        <w:tblLook w:val="04A0" w:firstRow="1" w:lastRow="0" w:firstColumn="1" w:lastColumn="0" w:noHBand="0" w:noVBand="1"/>
      </w:tblPr>
      <w:tblGrid>
        <w:gridCol w:w="2684"/>
        <w:gridCol w:w="609"/>
        <w:gridCol w:w="614"/>
        <w:gridCol w:w="793"/>
        <w:gridCol w:w="2536"/>
        <w:gridCol w:w="612"/>
        <w:gridCol w:w="612"/>
      </w:tblGrid>
      <w:tr w:rsidR="004F3975" w:rsidRPr="004F3975" w14:paraId="5C29BEEE" w14:textId="77777777" w:rsidTr="004F3975">
        <w:trPr>
          <w:cnfStyle w:val="100000000000" w:firstRow="1" w:lastRow="0" w:firstColumn="0" w:lastColumn="0" w:oddVBand="0" w:evenVBand="0" w:oddHBand="0" w:evenHBand="0" w:firstRowFirstColumn="0" w:firstRowLastColumn="0" w:lastRowFirstColumn="0" w:lastRowLastColumn="0"/>
          <w:trHeight w:val="257"/>
          <w:tblHeader/>
        </w:trPr>
        <w:tc>
          <w:tcPr>
            <w:cnfStyle w:val="001000000000" w:firstRow="0" w:lastRow="0" w:firstColumn="1" w:lastColumn="0" w:oddVBand="0" w:evenVBand="0" w:oddHBand="0" w:evenHBand="0" w:firstRowFirstColumn="0" w:firstRowLastColumn="0" w:lastRowFirstColumn="0" w:lastRowLastColumn="0"/>
            <w:tcW w:w="2484" w:type="dxa"/>
            <w:tcBorders>
              <w:top w:val="single" w:sz="4" w:space="0" w:color="7F7F7F"/>
              <w:left w:val="nil"/>
              <w:right w:val="nil"/>
            </w:tcBorders>
            <w:hideMark/>
          </w:tcPr>
          <w:p w14:paraId="5BD2FFE1" w14:textId="77777777" w:rsidR="004F3975" w:rsidRPr="004F3975" w:rsidRDefault="004F3975" w:rsidP="004F3975">
            <w:pPr>
              <w:widowControl w:val="0"/>
              <w:autoSpaceDE w:val="0"/>
              <w:autoSpaceDN w:val="0"/>
              <w:adjustRightInd w:val="0"/>
              <w:contextualSpacing/>
              <w:jc w:val="both"/>
              <w:rPr>
                <w:rFonts w:eastAsia="Times New Roman" w:cs="Arial"/>
                <w:iCs/>
                <w:sz w:val="20"/>
                <w:szCs w:val="20"/>
                <w:lang w:val="es-ES"/>
              </w:rPr>
            </w:pPr>
            <w:r w:rsidRPr="004F3975">
              <w:rPr>
                <w:rFonts w:eastAsia="Times New Roman" w:cs="Arial"/>
                <w:sz w:val="20"/>
                <w:szCs w:val="20"/>
                <w:lang w:val="es-ES"/>
              </w:rPr>
              <w:t>Nombre científico</w:t>
            </w:r>
          </w:p>
        </w:tc>
        <w:tc>
          <w:tcPr>
            <w:tcW w:w="609" w:type="dxa"/>
            <w:tcBorders>
              <w:top w:val="single" w:sz="4" w:space="0" w:color="7F7F7F"/>
              <w:left w:val="nil"/>
              <w:right w:val="nil"/>
            </w:tcBorders>
            <w:hideMark/>
          </w:tcPr>
          <w:p w14:paraId="48AF3E65" w14:textId="77777777" w:rsidR="004F3975" w:rsidRPr="004F3975" w:rsidRDefault="004F3975" w:rsidP="004F3975">
            <w:pPr>
              <w:widowControl w:val="0"/>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sz w:val="20"/>
                <w:szCs w:val="20"/>
                <w:lang w:val="es-ES"/>
              </w:rPr>
              <w:t>37</w:t>
            </w:r>
          </w:p>
        </w:tc>
        <w:tc>
          <w:tcPr>
            <w:tcW w:w="614" w:type="dxa"/>
            <w:tcBorders>
              <w:top w:val="single" w:sz="4" w:space="0" w:color="7F7F7F"/>
              <w:left w:val="nil"/>
              <w:right w:val="nil"/>
            </w:tcBorders>
            <w:hideMark/>
          </w:tcPr>
          <w:p w14:paraId="05F97280" w14:textId="77777777" w:rsidR="004F3975" w:rsidRPr="004F3975" w:rsidRDefault="004F3975" w:rsidP="004F3975">
            <w:pPr>
              <w:widowControl w:val="0"/>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sz w:val="20"/>
                <w:szCs w:val="20"/>
                <w:lang w:val="es-ES"/>
              </w:rPr>
              <w:t>87</w:t>
            </w:r>
          </w:p>
        </w:tc>
        <w:tc>
          <w:tcPr>
            <w:tcW w:w="793" w:type="dxa"/>
            <w:tcBorders>
              <w:top w:val="single" w:sz="4" w:space="0" w:color="7F7F7F"/>
              <w:left w:val="nil"/>
              <w:right w:val="nil"/>
            </w:tcBorders>
          </w:tcPr>
          <w:p w14:paraId="4DAA48C1" w14:textId="77777777" w:rsidR="004F3975" w:rsidRPr="004F3975" w:rsidRDefault="004F3975" w:rsidP="004F3975">
            <w:pPr>
              <w:widowControl w:val="0"/>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Arial"/>
                <w:iCs/>
                <w:sz w:val="20"/>
                <w:szCs w:val="20"/>
                <w:lang w:val="es-ES"/>
              </w:rPr>
            </w:pPr>
          </w:p>
        </w:tc>
        <w:tc>
          <w:tcPr>
            <w:tcW w:w="2536" w:type="dxa"/>
            <w:tcBorders>
              <w:top w:val="single" w:sz="4" w:space="0" w:color="7F7F7F"/>
              <w:left w:val="nil"/>
              <w:right w:val="nil"/>
            </w:tcBorders>
            <w:hideMark/>
          </w:tcPr>
          <w:p w14:paraId="18B5ED0E" w14:textId="77777777" w:rsidR="004F3975" w:rsidRPr="004F3975" w:rsidRDefault="004F3975" w:rsidP="004F3975">
            <w:pPr>
              <w:widowControl w:val="0"/>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sz w:val="20"/>
                <w:szCs w:val="20"/>
                <w:lang w:val="es-ES"/>
              </w:rPr>
              <w:t>Nombre científico</w:t>
            </w:r>
          </w:p>
        </w:tc>
        <w:tc>
          <w:tcPr>
            <w:tcW w:w="612" w:type="dxa"/>
            <w:tcBorders>
              <w:top w:val="single" w:sz="4" w:space="0" w:color="7F7F7F"/>
              <w:left w:val="nil"/>
              <w:right w:val="nil"/>
            </w:tcBorders>
            <w:hideMark/>
          </w:tcPr>
          <w:p w14:paraId="1653FCDE" w14:textId="77777777" w:rsidR="004F3975" w:rsidRPr="004F3975" w:rsidRDefault="004F3975" w:rsidP="004F3975">
            <w:pPr>
              <w:widowControl w:val="0"/>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sz w:val="20"/>
                <w:szCs w:val="20"/>
                <w:lang w:val="es-ES"/>
              </w:rPr>
              <w:t>37</w:t>
            </w:r>
          </w:p>
        </w:tc>
        <w:tc>
          <w:tcPr>
            <w:tcW w:w="612" w:type="dxa"/>
            <w:tcBorders>
              <w:top w:val="single" w:sz="4" w:space="0" w:color="7F7F7F"/>
              <w:left w:val="nil"/>
              <w:right w:val="nil"/>
            </w:tcBorders>
            <w:hideMark/>
          </w:tcPr>
          <w:p w14:paraId="2F188EC4" w14:textId="77777777" w:rsidR="004F3975" w:rsidRPr="004F3975" w:rsidRDefault="004F3975" w:rsidP="004F3975">
            <w:pPr>
              <w:widowControl w:val="0"/>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sz w:val="20"/>
                <w:szCs w:val="20"/>
                <w:lang w:val="es-ES"/>
              </w:rPr>
              <w:t>87</w:t>
            </w:r>
          </w:p>
        </w:tc>
      </w:tr>
      <w:tr w:rsidR="004F3975" w:rsidRPr="004F3975" w14:paraId="04D543D0" w14:textId="77777777" w:rsidTr="00F31E2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488EA679"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Squalus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acanthias</w:t>
            </w:r>
            <w:proofErr w:type="spellEnd"/>
            <w:r w:rsidRPr="004F3975">
              <w:rPr>
                <w:rFonts w:eastAsia="Times New Roman" w:cs="Arial"/>
                <w:i/>
                <w:iCs/>
                <w:sz w:val="20"/>
                <w:szCs w:val="20"/>
                <w:bdr w:val="none" w:sz="0" w:space="0" w:color="auto" w:frame="1"/>
                <w:vertAlign w:val="superscript"/>
                <w:lang w:val="es-ES" w:eastAsia="es-ES"/>
              </w:rPr>
              <w:footnoteReference w:id="3"/>
            </w:r>
            <w:r w:rsidRPr="004F3975">
              <w:rPr>
                <w:rFonts w:eastAsia="Times New Roman" w:cs="Arial"/>
                <w:i/>
                <w:iCs/>
                <w:sz w:val="20"/>
                <w:szCs w:val="20"/>
                <w:lang w:val="es-ES"/>
              </w:rPr>
              <w:t xml:space="preserve"> </w:t>
            </w:r>
          </w:p>
        </w:tc>
        <w:tc>
          <w:tcPr>
            <w:tcW w:w="609" w:type="dxa"/>
            <w:tcBorders>
              <w:left w:val="nil"/>
              <w:right w:val="nil"/>
            </w:tcBorders>
            <w:hideMark/>
          </w:tcPr>
          <w:p w14:paraId="23954D05"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left w:val="nil"/>
              <w:right w:val="nil"/>
            </w:tcBorders>
            <w:hideMark/>
          </w:tcPr>
          <w:p w14:paraId="31B88339"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sz w:val="20"/>
                <w:szCs w:val="20"/>
                <w:lang w:val="es-ES"/>
              </w:rPr>
              <w:t>N/A</w:t>
            </w:r>
          </w:p>
        </w:tc>
        <w:tc>
          <w:tcPr>
            <w:tcW w:w="793" w:type="dxa"/>
            <w:tcBorders>
              <w:left w:val="nil"/>
              <w:right w:val="nil"/>
            </w:tcBorders>
          </w:tcPr>
          <w:p w14:paraId="0E8EE359"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p>
        </w:tc>
        <w:tc>
          <w:tcPr>
            <w:tcW w:w="2536" w:type="dxa"/>
            <w:tcBorders>
              <w:left w:val="nil"/>
              <w:right w:val="nil"/>
            </w:tcBorders>
            <w:hideMark/>
          </w:tcPr>
          <w:p w14:paraId="1AB4854E"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Rhinobatos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rhinobatos</w:t>
            </w:r>
            <w:proofErr w:type="spellEnd"/>
          </w:p>
        </w:tc>
        <w:tc>
          <w:tcPr>
            <w:tcW w:w="612" w:type="dxa"/>
            <w:tcBorders>
              <w:left w:val="nil"/>
              <w:right w:val="nil"/>
            </w:tcBorders>
            <w:hideMark/>
          </w:tcPr>
          <w:p w14:paraId="1A6ACF1D"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2" w:type="dxa"/>
            <w:tcBorders>
              <w:left w:val="nil"/>
              <w:right w:val="nil"/>
            </w:tcBorders>
            <w:hideMark/>
          </w:tcPr>
          <w:p w14:paraId="0E9853D8"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67231C04" wp14:editId="48F6BDCA">
                  <wp:extent cx="95250" cy="95250"/>
                  <wp:effectExtent l="0" t="0" r="0" b="0"/>
                  <wp:docPr id="62" name="Picture 6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46EFED4E" w14:textId="77777777" w:rsidTr="00F31E24">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04973AD6"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Squatina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squatina</w:t>
            </w:r>
            <w:proofErr w:type="spellEnd"/>
          </w:p>
        </w:tc>
        <w:tc>
          <w:tcPr>
            <w:tcW w:w="609" w:type="dxa"/>
            <w:tcBorders>
              <w:top w:val="nil"/>
              <w:left w:val="nil"/>
              <w:bottom w:val="nil"/>
              <w:right w:val="nil"/>
            </w:tcBorders>
            <w:hideMark/>
          </w:tcPr>
          <w:p w14:paraId="38B8E707"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top w:val="nil"/>
              <w:left w:val="nil"/>
              <w:bottom w:val="nil"/>
              <w:right w:val="nil"/>
            </w:tcBorders>
            <w:hideMark/>
          </w:tcPr>
          <w:p w14:paraId="2883D5BB"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3CDBBD48" wp14:editId="54F95742">
                  <wp:extent cx="95250" cy="95250"/>
                  <wp:effectExtent l="0" t="0" r="0" b="0"/>
                  <wp:docPr id="61" name="Picture 6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793" w:type="dxa"/>
            <w:tcBorders>
              <w:top w:val="nil"/>
              <w:left w:val="nil"/>
              <w:bottom w:val="nil"/>
              <w:right w:val="nil"/>
            </w:tcBorders>
          </w:tcPr>
          <w:p w14:paraId="64AB26C5"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p>
        </w:tc>
        <w:tc>
          <w:tcPr>
            <w:tcW w:w="2536" w:type="dxa"/>
            <w:tcBorders>
              <w:top w:val="nil"/>
              <w:left w:val="nil"/>
              <w:bottom w:val="nil"/>
              <w:right w:val="nil"/>
            </w:tcBorders>
            <w:hideMark/>
          </w:tcPr>
          <w:p w14:paraId="14FB4A7B"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Rhynchobatus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australiae</w:t>
            </w:r>
            <w:proofErr w:type="spellEnd"/>
          </w:p>
        </w:tc>
        <w:tc>
          <w:tcPr>
            <w:tcW w:w="612" w:type="dxa"/>
            <w:tcBorders>
              <w:top w:val="nil"/>
              <w:left w:val="nil"/>
              <w:bottom w:val="nil"/>
              <w:right w:val="nil"/>
            </w:tcBorders>
            <w:hideMark/>
          </w:tcPr>
          <w:p w14:paraId="07650E47"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7C957296" wp14:editId="0C59EF1D">
                  <wp:extent cx="95250" cy="95250"/>
                  <wp:effectExtent l="0" t="0" r="0" b="0"/>
                  <wp:docPr id="60" name="Picture 60"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4AE1791B"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7136E082" wp14:editId="614FC52C">
                  <wp:extent cx="95250" cy="95250"/>
                  <wp:effectExtent l="0" t="0" r="0" b="0"/>
                  <wp:docPr id="59" name="Picture 59"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4C3D604B" w14:textId="77777777" w:rsidTr="00F31E2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7D6FA3C5"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Alopias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pelagicus</w:t>
            </w:r>
            <w:proofErr w:type="spellEnd"/>
          </w:p>
        </w:tc>
        <w:tc>
          <w:tcPr>
            <w:tcW w:w="609" w:type="dxa"/>
            <w:tcBorders>
              <w:left w:val="nil"/>
              <w:right w:val="nil"/>
            </w:tcBorders>
            <w:hideMark/>
          </w:tcPr>
          <w:p w14:paraId="3EEAC5FC"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4C4C2331" wp14:editId="1FEEF275">
                  <wp:extent cx="95250" cy="95250"/>
                  <wp:effectExtent l="0" t="0" r="0" b="0"/>
                  <wp:docPr id="58" name="Picture 58"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4" w:type="dxa"/>
            <w:tcBorders>
              <w:left w:val="nil"/>
              <w:right w:val="nil"/>
            </w:tcBorders>
            <w:hideMark/>
          </w:tcPr>
          <w:p w14:paraId="4FBA337B"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left w:val="nil"/>
              <w:right w:val="nil"/>
            </w:tcBorders>
          </w:tcPr>
          <w:p w14:paraId="3555D4D8"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p>
        </w:tc>
        <w:tc>
          <w:tcPr>
            <w:tcW w:w="2536" w:type="dxa"/>
            <w:tcBorders>
              <w:left w:val="nil"/>
              <w:right w:val="nil"/>
            </w:tcBorders>
            <w:hideMark/>
          </w:tcPr>
          <w:p w14:paraId="38D3302C"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Rhynchobatus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djiddensis</w:t>
            </w:r>
            <w:proofErr w:type="spellEnd"/>
          </w:p>
        </w:tc>
        <w:tc>
          <w:tcPr>
            <w:tcW w:w="612" w:type="dxa"/>
            <w:tcBorders>
              <w:left w:val="nil"/>
              <w:right w:val="nil"/>
            </w:tcBorders>
            <w:hideMark/>
          </w:tcPr>
          <w:p w14:paraId="18EBC953"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2CD83C4F" wp14:editId="7E8E7950">
                  <wp:extent cx="95250" cy="95250"/>
                  <wp:effectExtent l="0" t="0" r="0" b="0"/>
                  <wp:docPr id="57" name="Picture 57"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2897379E"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3AD0F15E" wp14:editId="7CC86E00">
                  <wp:extent cx="95250" cy="95250"/>
                  <wp:effectExtent l="0" t="0" r="0" b="0"/>
                  <wp:docPr id="56" name="Picture 56"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56289088" w14:textId="77777777" w:rsidTr="00F31E24">
        <w:trPr>
          <w:trHeight w:val="241"/>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69A40A6A"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Alopias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superciliosus</w:t>
            </w:r>
            <w:proofErr w:type="spellEnd"/>
          </w:p>
        </w:tc>
        <w:tc>
          <w:tcPr>
            <w:tcW w:w="609" w:type="dxa"/>
            <w:tcBorders>
              <w:top w:val="nil"/>
              <w:left w:val="nil"/>
              <w:bottom w:val="nil"/>
              <w:right w:val="nil"/>
            </w:tcBorders>
            <w:hideMark/>
          </w:tcPr>
          <w:p w14:paraId="5530774C"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3030E173" wp14:editId="5E45BE89">
                  <wp:extent cx="95250" cy="95250"/>
                  <wp:effectExtent l="0" t="0" r="0" b="0"/>
                  <wp:docPr id="55" name="Picture 55"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4" w:type="dxa"/>
            <w:tcBorders>
              <w:top w:val="nil"/>
              <w:left w:val="nil"/>
              <w:bottom w:val="nil"/>
              <w:right w:val="nil"/>
            </w:tcBorders>
            <w:hideMark/>
          </w:tcPr>
          <w:p w14:paraId="3F5D82F0"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Cambria Math" w:eastAsia="Times New Roman" w:hAnsi="Cambria Math" w:cs="Cambria Math"/>
                <w:sz w:val="20"/>
                <w:szCs w:val="20"/>
                <w:lang w:val="es-ES"/>
              </w:rPr>
              <w:t>◉</w:t>
            </w:r>
          </w:p>
        </w:tc>
        <w:tc>
          <w:tcPr>
            <w:tcW w:w="793" w:type="dxa"/>
            <w:tcBorders>
              <w:top w:val="nil"/>
              <w:left w:val="nil"/>
              <w:bottom w:val="nil"/>
              <w:right w:val="nil"/>
            </w:tcBorders>
          </w:tcPr>
          <w:p w14:paraId="01751359"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p>
        </w:tc>
        <w:tc>
          <w:tcPr>
            <w:tcW w:w="2536" w:type="dxa"/>
            <w:tcBorders>
              <w:top w:val="nil"/>
              <w:left w:val="nil"/>
              <w:bottom w:val="nil"/>
              <w:right w:val="nil"/>
            </w:tcBorders>
            <w:hideMark/>
          </w:tcPr>
          <w:p w14:paraId="0373EEDD"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Rhynchobatus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laevis</w:t>
            </w:r>
            <w:proofErr w:type="spellEnd"/>
          </w:p>
        </w:tc>
        <w:tc>
          <w:tcPr>
            <w:tcW w:w="612" w:type="dxa"/>
            <w:tcBorders>
              <w:top w:val="nil"/>
              <w:left w:val="nil"/>
              <w:bottom w:val="nil"/>
              <w:right w:val="nil"/>
            </w:tcBorders>
            <w:hideMark/>
          </w:tcPr>
          <w:p w14:paraId="119F4A3D"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34AB6BBB" wp14:editId="2F50B63B">
                  <wp:extent cx="95250" cy="95250"/>
                  <wp:effectExtent l="0" t="0" r="0" b="0"/>
                  <wp:docPr id="54" name="Picture 5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26EFBCBE"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466BD258" wp14:editId="31715CCD">
                  <wp:extent cx="95250" cy="95250"/>
                  <wp:effectExtent l="0" t="0" r="0" b="0"/>
                  <wp:docPr id="53" name="Picture 5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2FDA7E16" w14:textId="77777777" w:rsidTr="00F31E2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6D3D96B5"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Alopias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vulpinus</w:t>
            </w:r>
            <w:proofErr w:type="spellEnd"/>
          </w:p>
        </w:tc>
        <w:tc>
          <w:tcPr>
            <w:tcW w:w="609" w:type="dxa"/>
            <w:tcBorders>
              <w:left w:val="nil"/>
              <w:right w:val="nil"/>
            </w:tcBorders>
            <w:hideMark/>
          </w:tcPr>
          <w:p w14:paraId="6ECB8DC5"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left w:val="nil"/>
              <w:right w:val="nil"/>
            </w:tcBorders>
            <w:hideMark/>
          </w:tcPr>
          <w:p w14:paraId="120AADB0"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left w:val="nil"/>
              <w:right w:val="nil"/>
            </w:tcBorders>
          </w:tcPr>
          <w:p w14:paraId="3EB5FACD"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p>
        </w:tc>
        <w:tc>
          <w:tcPr>
            <w:tcW w:w="2536" w:type="dxa"/>
            <w:tcBorders>
              <w:left w:val="nil"/>
              <w:right w:val="nil"/>
            </w:tcBorders>
            <w:hideMark/>
          </w:tcPr>
          <w:p w14:paraId="66635759"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Anoxypristis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cuspidata</w:t>
            </w:r>
            <w:proofErr w:type="spellEnd"/>
          </w:p>
        </w:tc>
        <w:tc>
          <w:tcPr>
            <w:tcW w:w="612" w:type="dxa"/>
            <w:tcBorders>
              <w:left w:val="nil"/>
              <w:right w:val="nil"/>
            </w:tcBorders>
            <w:hideMark/>
          </w:tcPr>
          <w:p w14:paraId="0C1AD91C"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6501EE5A" wp14:editId="1621D049">
                  <wp:extent cx="95250" cy="95250"/>
                  <wp:effectExtent l="0" t="0" r="0" b="0"/>
                  <wp:docPr id="52" name="Picture 5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7D07D099"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2A402EFA" wp14:editId="7B56F7F8">
                  <wp:extent cx="95250" cy="95250"/>
                  <wp:effectExtent l="0" t="0" r="0" b="0"/>
                  <wp:docPr id="51" name="Picture 5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2FC641C3" w14:textId="77777777" w:rsidTr="00F31E24">
        <w:trPr>
          <w:trHeight w:val="241"/>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6C23D93F"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Cetorhinus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maximus</w:t>
            </w:r>
            <w:proofErr w:type="spellEnd"/>
          </w:p>
        </w:tc>
        <w:tc>
          <w:tcPr>
            <w:tcW w:w="609" w:type="dxa"/>
            <w:tcBorders>
              <w:top w:val="nil"/>
              <w:left w:val="nil"/>
              <w:bottom w:val="nil"/>
              <w:right w:val="nil"/>
            </w:tcBorders>
            <w:hideMark/>
          </w:tcPr>
          <w:p w14:paraId="36523C20"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top w:val="nil"/>
              <w:left w:val="nil"/>
              <w:bottom w:val="nil"/>
              <w:right w:val="nil"/>
            </w:tcBorders>
            <w:hideMark/>
          </w:tcPr>
          <w:p w14:paraId="0BD96362"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top w:val="nil"/>
              <w:left w:val="nil"/>
              <w:bottom w:val="nil"/>
              <w:right w:val="nil"/>
            </w:tcBorders>
          </w:tcPr>
          <w:p w14:paraId="2DC64C38"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p>
        </w:tc>
        <w:tc>
          <w:tcPr>
            <w:tcW w:w="2536" w:type="dxa"/>
            <w:tcBorders>
              <w:top w:val="nil"/>
              <w:left w:val="nil"/>
              <w:bottom w:val="nil"/>
              <w:right w:val="nil"/>
            </w:tcBorders>
            <w:hideMark/>
          </w:tcPr>
          <w:p w14:paraId="2B66BADD"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Pristis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clavata</w:t>
            </w:r>
            <w:proofErr w:type="spellEnd"/>
          </w:p>
        </w:tc>
        <w:tc>
          <w:tcPr>
            <w:tcW w:w="612" w:type="dxa"/>
            <w:tcBorders>
              <w:top w:val="nil"/>
              <w:left w:val="nil"/>
              <w:bottom w:val="nil"/>
              <w:right w:val="nil"/>
            </w:tcBorders>
            <w:hideMark/>
          </w:tcPr>
          <w:p w14:paraId="1F1B84CE"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5273EC6A" wp14:editId="44417A25">
                  <wp:extent cx="95250" cy="95250"/>
                  <wp:effectExtent l="0" t="0" r="0" b="0"/>
                  <wp:docPr id="50" name="Picture 50"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7DC2A87A"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1EF7BCE7" wp14:editId="2116AD22">
                  <wp:extent cx="95250" cy="95250"/>
                  <wp:effectExtent l="0" t="0" r="0" b="0"/>
                  <wp:docPr id="49" name="Picture 49"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5CECFC72" w14:textId="77777777" w:rsidTr="00F31E2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63D5AFFA"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Carcharodon</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carcharias</w:t>
            </w:r>
            <w:proofErr w:type="spellEnd"/>
          </w:p>
        </w:tc>
        <w:tc>
          <w:tcPr>
            <w:tcW w:w="609" w:type="dxa"/>
            <w:tcBorders>
              <w:left w:val="nil"/>
              <w:right w:val="nil"/>
            </w:tcBorders>
            <w:hideMark/>
          </w:tcPr>
          <w:p w14:paraId="17CCF75E"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left w:val="nil"/>
              <w:right w:val="nil"/>
            </w:tcBorders>
            <w:hideMark/>
          </w:tcPr>
          <w:p w14:paraId="2D3A9A0E"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left w:val="nil"/>
              <w:right w:val="nil"/>
            </w:tcBorders>
          </w:tcPr>
          <w:p w14:paraId="3C34DACF"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p>
        </w:tc>
        <w:tc>
          <w:tcPr>
            <w:tcW w:w="2536" w:type="dxa"/>
            <w:tcBorders>
              <w:left w:val="nil"/>
              <w:right w:val="nil"/>
            </w:tcBorders>
            <w:hideMark/>
          </w:tcPr>
          <w:p w14:paraId="52BB1B3A"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Pristis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pectinata</w:t>
            </w:r>
            <w:proofErr w:type="spellEnd"/>
          </w:p>
        </w:tc>
        <w:tc>
          <w:tcPr>
            <w:tcW w:w="612" w:type="dxa"/>
            <w:tcBorders>
              <w:left w:val="nil"/>
              <w:right w:val="nil"/>
            </w:tcBorders>
            <w:hideMark/>
          </w:tcPr>
          <w:p w14:paraId="6F106CB7"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7DFCA234" wp14:editId="5FE78F36">
                  <wp:extent cx="95250" cy="95250"/>
                  <wp:effectExtent l="0" t="0" r="0" b="0"/>
                  <wp:docPr id="6" name="Picture 6"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642790DB"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516E013A" wp14:editId="0431FC85">
                  <wp:extent cx="95250" cy="95250"/>
                  <wp:effectExtent l="0" t="0" r="0" b="0"/>
                  <wp:docPr id="48" name="Picture 48"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6C09D0F1" w14:textId="77777777" w:rsidTr="00F31E24">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0A9D87EB"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Isurus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oxyrinchus</w:t>
            </w:r>
            <w:proofErr w:type="spellEnd"/>
          </w:p>
        </w:tc>
        <w:tc>
          <w:tcPr>
            <w:tcW w:w="609" w:type="dxa"/>
            <w:tcBorders>
              <w:top w:val="nil"/>
              <w:left w:val="nil"/>
              <w:bottom w:val="nil"/>
              <w:right w:val="nil"/>
            </w:tcBorders>
            <w:hideMark/>
          </w:tcPr>
          <w:p w14:paraId="5874086E"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top w:val="nil"/>
              <w:left w:val="nil"/>
              <w:bottom w:val="nil"/>
              <w:right w:val="nil"/>
            </w:tcBorders>
            <w:hideMark/>
          </w:tcPr>
          <w:p w14:paraId="7674376E"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top w:val="nil"/>
              <w:left w:val="nil"/>
              <w:bottom w:val="nil"/>
              <w:right w:val="nil"/>
            </w:tcBorders>
          </w:tcPr>
          <w:p w14:paraId="637F5E23"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p>
        </w:tc>
        <w:tc>
          <w:tcPr>
            <w:tcW w:w="2536" w:type="dxa"/>
            <w:tcBorders>
              <w:top w:val="nil"/>
              <w:left w:val="nil"/>
              <w:bottom w:val="nil"/>
              <w:right w:val="nil"/>
            </w:tcBorders>
            <w:hideMark/>
          </w:tcPr>
          <w:p w14:paraId="284B4334"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Pristis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pristis</w:t>
            </w:r>
            <w:proofErr w:type="spellEnd"/>
          </w:p>
        </w:tc>
        <w:tc>
          <w:tcPr>
            <w:tcW w:w="612" w:type="dxa"/>
            <w:tcBorders>
              <w:top w:val="nil"/>
              <w:left w:val="nil"/>
              <w:bottom w:val="nil"/>
              <w:right w:val="nil"/>
            </w:tcBorders>
            <w:hideMark/>
          </w:tcPr>
          <w:p w14:paraId="6A5DD73D"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0CB123C1" wp14:editId="02B567C0">
                  <wp:extent cx="95250" cy="95250"/>
                  <wp:effectExtent l="0" t="0" r="0" b="0"/>
                  <wp:docPr id="2" name="Picture 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2D172597"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r>
      <w:tr w:rsidR="004F3975" w:rsidRPr="004F3975" w14:paraId="4149B5E3" w14:textId="77777777" w:rsidTr="00F31E2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4FA1AB81"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Isurus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paucus</w:t>
            </w:r>
            <w:proofErr w:type="spellEnd"/>
          </w:p>
        </w:tc>
        <w:tc>
          <w:tcPr>
            <w:tcW w:w="609" w:type="dxa"/>
            <w:tcBorders>
              <w:left w:val="nil"/>
              <w:right w:val="nil"/>
            </w:tcBorders>
            <w:hideMark/>
          </w:tcPr>
          <w:p w14:paraId="083D5ABE"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Cambria Math" w:eastAsia="Times New Roman" w:hAnsi="Cambria Math" w:cs="Cambria Math"/>
                <w:sz w:val="20"/>
                <w:szCs w:val="20"/>
                <w:lang w:val="es-ES"/>
              </w:rPr>
              <w:t>◉</w:t>
            </w:r>
          </w:p>
        </w:tc>
        <w:tc>
          <w:tcPr>
            <w:tcW w:w="614" w:type="dxa"/>
            <w:tcBorders>
              <w:left w:val="nil"/>
              <w:right w:val="nil"/>
            </w:tcBorders>
            <w:hideMark/>
          </w:tcPr>
          <w:p w14:paraId="34CEED90"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left w:val="nil"/>
              <w:right w:val="nil"/>
            </w:tcBorders>
          </w:tcPr>
          <w:p w14:paraId="017C6C2E"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p>
        </w:tc>
        <w:tc>
          <w:tcPr>
            <w:tcW w:w="2536" w:type="dxa"/>
            <w:tcBorders>
              <w:left w:val="nil"/>
              <w:right w:val="nil"/>
            </w:tcBorders>
            <w:hideMark/>
          </w:tcPr>
          <w:p w14:paraId="1D4EE366"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Pristis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zijsron</w:t>
            </w:r>
            <w:proofErr w:type="spellEnd"/>
          </w:p>
        </w:tc>
        <w:tc>
          <w:tcPr>
            <w:tcW w:w="612" w:type="dxa"/>
            <w:tcBorders>
              <w:left w:val="nil"/>
              <w:right w:val="nil"/>
            </w:tcBorders>
            <w:hideMark/>
          </w:tcPr>
          <w:p w14:paraId="76768CDB"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0459F2EA" wp14:editId="09C8BD66">
                  <wp:extent cx="95250" cy="95250"/>
                  <wp:effectExtent l="0" t="0" r="0" b="0"/>
                  <wp:docPr id="47" name="Picture 47"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3D0699DE"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7516B9F9" wp14:editId="03E984CB">
                  <wp:extent cx="95250" cy="95250"/>
                  <wp:effectExtent l="0" t="0" r="0" b="0"/>
                  <wp:docPr id="46" name="Picture 46"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41E7D791" w14:textId="77777777" w:rsidTr="00F31E24">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43D38FF2"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Lamna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nasus</w:t>
            </w:r>
            <w:proofErr w:type="spellEnd"/>
          </w:p>
        </w:tc>
        <w:tc>
          <w:tcPr>
            <w:tcW w:w="609" w:type="dxa"/>
            <w:tcBorders>
              <w:top w:val="nil"/>
              <w:left w:val="nil"/>
              <w:bottom w:val="nil"/>
              <w:right w:val="nil"/>
            </w:tcBorders>
            <w:hideMark/>
          </w:tcPr>
          <w:p w14:paraId="2645FF85"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top w:val="nil"/>
              <w:left w:val="nil"/>
              <w:bottom w:val="nil"/>
              <w:right w:val="nil"/>
            </w:tcBorders>
            <w:hideMark/>
          </w:tcPr>
          <w:p w14:paraId="66686B87"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top w:val="nil"/>
              <w:left w:val="nil"/>
              <w:bottom w:val="nil"/>
              <w:right w:val="nil"/>
            </w:tcBorders>
          </w:tcPr>
          <w:p w14:paraId="4EF20E8E"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p>
        </w:tc>
        <w:tc>
          <w:tcPr>
            <w:tcW w:w="2536" w:type="dxa"/>
            <w:tcBorders>
              <w:top w:val="nil"/>
              <w:left w:val="nil"/>
              <w:bottom w:val="nil"/>
              <w:right w:val="nil"/>
            </w:tcBorders>
            <w:hideMark/>
          </w:tcPr>
          <w:p w14:paraId="372548BC"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Mobula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alfredi</w:t>
            </w:r>
            <w:proofErr w:type="spellEnd"/>
          </w:p>
        </w:tc>
        <w:tc>
          <w:tcPr>
            <w:tcW w:w="612" w:type="dxa"/>
            <w:tcBorders>
              <w:top w:val="nil"/>
              <w:left w:val="nil"/>
              <w:bottom w:val="nil"/>
              <w:right w:val="nil"/>
            </w:tcBorders>
            <w:hideMark/>
          </w:tcPr>
          <w:p w14:paraId="2C642466"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30980B95" wp14:editId="54011092">
                  <wp:extent cx="95250" cy="95250"/>
                  <wp:effectExtent l="0" t="0" r="0" b="0"/>
                  <wp:docPr id="45" name="Picture 45"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18D51734"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47E588C8" wp14:editId="4BBD2F08">
                  <wp:extent cx="95250" cy="95250"/>
                  <wp:effectExtent l="0" t="0" r="0" b="0"/>
                  <wp:docPr id="44" name="Picture 4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38B2541A" w14:textId="77777777" w:rsidTr="00F31E2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7645BFEC"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Rhincodon</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typus</w:t>
            </w:r>
            <w:proofErr w:type="spellEnd"/>
            <w:r w:rsidRPr="004F3975">
              <w:rPr>
                <w:rFonts w:eastAsia="Times New Roman" w:cs="Arial"/>
                <w:i/>
                <w:iCs/>
                <w:sz w:val="20"/>
                <w:szCs w:val="20"/>
                <w:vertAlign w:val="superscript"/>
                <w:lang w:val="es-ES"/>
              </w:rPr>
              <w:footnoteReference w:id="4"/>
            </w:r>
          </w:p>
        </w:tc>
        <w:tc>
          <w:tcPr>
            <w:tcW w:w="609" w:type="dxa"/>
            <w:tcBorders>
              <w:left w:val="nil"/>
              <w:right w:val="nil"/>
            </w:tcBorders>
            <w:hideMark/>
          </w:tcPr>
          <w:p w14:paraId="6CE0B04D"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Cambria Math" w:eastAsia="Times New Roman" w:hAnsi="Cambria Math" w:cs="Cambria Math"/>
                <w:sz w:val="20"/>
                <w:szCs w:val="20"/>
                <w:lang w:val="es-ES"/>
              </w:rPr>
              <w:t>◉</w:t>
            </w:r>
          </w:p>
        </w:tc>
        <w:tc>
          <w:tcPr>
            <w:tcW w:w="614" w:type="dxa"/>
            <w:tcBorders>
              <w:left w:val="nil"/>
              <w:right w:val="nil"/>
            </w:tcBorders>
            <w:hideMark/>
          </w:tcPr>
          <w:p w14:paraId="02D865A6"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left w:val="nil"/>
              <w:right w:val="nil"/>
            </w:tcBorders>
          </w:tcPr>
          <w:p w14:paraId="42C04588"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p>
        </w:tc>
        <w:tc>
          <w:tcPr>
            <w:tcW w:w="2536" w:type="dxa"/>
            <w:tcBorders>
              <w:left w:val="nil"/>
              <w:right w:val="nil"/>
            </w:tcBorders>
            <w:hideMark/>
          </w:tcPr>
          <w:p w14:paraId="65383D09"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Mobula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birostris</w:t>
            </w:r>
            <w:proofErr w:type="spellEnd"/>
          </w:p>
        </w:tc>
        <w:tc>
          <w:tcPr>
            <w:tcW w:w="612" w:type="dxa"/>
            <w:tcBorders>
              <w:left w:val="nil"/>
              <w:right w:val="nil"/>
            </w:tcBorders>
            <w:hideMark/>
          </w:tcPr>
          <w:p w14:paraId="398A6FD1"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33C21F99" wp14:editId="3942F451">
                  <wp:extent cx="95250" cy="95250"/>
                  <wp:effectExtent l="0" t="0" r="0" b="0"/>
                  <wp:docPr id="42" name="Picture 4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0EF06DD6"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r>
      <w:tr w:rsidR="004F3975" w:rsidRPr="004F3975" w14:paraId="4637D6AD" w14:textId="77777777" w:rsidTr="00F31E24">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2C514D7A"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Galeorhinus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galeus</w:t>
            </w:r>
            <w:proofErr w:type="spellEnd"/>
          </w:p>
        </w:tc>
        <w:tc>
          <w:tcPr>
            <w:tcW w:w="609" w:type="dxa"/>
            <w:tcBorders>
              <w:top w:val="nil"/>
              <w:left w:val="nil"/>
              <w:bottom w:val="nil"/>
              <w:right w:val="nil"/>
            </w:tcBorders>
            <w:hideMark/>
          </w:tcPr>
          <w:p w14:paraId="4616079A"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top w:val="nil"/>
              <w:left w:val="nil"/>
              <w:bottom w:val="nil"/>
              <w:right w:val="nil"/>
            </w:tcBorders>
            <w:hideMark/>
          </w:tcPr>
          <w:p w14:paraId="562E8752"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top w:val="nil"/>
              <w:left w:val="nil"/>
              <w:bottom w:val="nil"/>
              <w:right w:val="nil"/>
            </w:tcBorders>
          </w:tcPr>
          <w:p w14:paraId="520A2F9A"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p>
        </w:tc>
        <w:tc>
          <w:tcPr>
            <w:tcW w:w="2536" w:type="dxa"/>
            <w:tcBorders>
              <w:top w:val="nil"/>
              <w:left w:val="nil"/>
              <w:bottom w:val="nil"/>
              <w:right w:val="nil"/>
            </w:tcBorders>
            <w:hideMark/>
          </w:tcPr>
          <w:p w14:paraId="6BD1067A"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Mobula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eregoodootenkee</w:t>
            </w:r>
            <w:proofErr w:type="spellEnd"/>
          </w:p>
        </w:tc>
        <w:tc>
          <w:tcPr>
            <w:tcW w:w="612" w:type="dxa"/>
            <w:tcBorders>
              <w:top w:val="nil"/>
              <w:left w:val="nil"/>
              <w:bottom w:val="nil"/>
              <w:right w:val="nil"/>
            </w:tcBorders>
            <w:hideMark/>
          </w:tcPr>
          <w:p w14:paraId="4CF266DD"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58A3A90E" wp14:editId="199971EE">
                  <wp:extent cx="95250" cy="95250"/>
                  <wp:effectExtent l="0" t="0" r="0" b="0"/>
                  <wp:docPr id="40" name="Picture 40"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0A60FF89"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2EB463E5" wp14:editId="59691704">
                  <wp:extent cx="95250" cy="95250"/>
                  <wp:effectExtent l="0" t="0" r="0" b="0"/>
                  <wp:docPr id="14" name="Picture 1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02F30878" w14:textId="77777777" w:rsidTr="00F31E2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6733959E"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Carcharhinus.falciformis</w:t>
            </w:r>
            <w:proofErr w:type="spellEnd"/>
          </w:p>
        </w:tc>
        <w:tc>
          <w:tcPr>
            <w:tcW w:w="609" w:type="dxa"/>
            <w:tcBorders>
              <w:left w:val="nil"/>
              <w:right w:val="nil"/>
            </w:tcBorders>
            <w:hideMark/>
          </w:tcPr>
          <w:p w14:paraId="40FFC862"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Cambria Math" w:eastAsia="Times New Roman" w:hAnsi="Cambria Math" w:cs="Cambria Math"/>
                <w:sz w:val="20"/>
                <w:szCs w:val="20"/>
                <w:lang w:val="es-ES"/>
              </w:rPr>
              <w:t>◉</w:t>
            </w:r>
          </w:p>
        </w:tc>
        <w:tc>
          <w:tcPr>
            <w:tcW w:w="614" w:type="dxa"/>
            <w:tcBorders>
              <w:left w:val="nil"/>
              <w:right w:val="nil"/>
            </w:tcBorders>
            <w:hideMark/>
          </w:tcPr>
          <w:p w14:paraId="2FB7265A"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left w:val="nil"/>
              <w:right w:val="nil"/>
            </w:tcBorders>
          </w:tcPr>
          <w:p w14:paraId="204720DD"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p>
        </w:tc>
        <w:tc>
          <w:tcPr>
            <w:tcW w:w="2536" w:type="dxa"/>
            <w:tcBorders>
              <w:left w:val="nil"/>
              <w:right w:val="nil"/>
            </w:tcBorders>
            <w:hideMark/>
          </w:tcPr>
          <w:p w14:paraId="63C493C7"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Mobula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hypostoma</w:t>
            </w:r>
            <w:proofErr w:type="spellEnd"/>
            <w:r w:rsidRPr="004F3975">
              <w:rPr>
                <w:rFonts w:eastAsia="Times New Roman" w:cs="Arial"/>
                <w:i/>
                <w:iCs/>
                <w:sz w:val="20"/>
                <w:szCs w:val="20"/>
                <w:bdr w:val="none" w:sz="0" w:space="0" w:color="auto" w:frame="1"/>
                <w:vertAlign w:val="superscript"/>
                <w:lang w:val="es-ES" w:eastAsia="es-ES"/>
              </w:rPr>
              <w:footnoteReference w:id="5"/>
            </w:r>
            <w:r w:rsidRPr="004F3975">
              <w:rPr>
                <w:rFonts w:eastAsia="Times New Roman" w:cs="Arial"/>
                <w:i/>
                <w:iCs/>
                <w:sz w:val="20"/>
                <w:szCs w:val="20"/>
                <w:lang w:val="es-ES"/>
              </w:rPr>
              <w:t xml:space="preserve"> </w:t>
            </w:r>
          </w:p>
        </w:tc>
        <w:tc>
          <w:tcPr>
            <w:tcW w:w="612" w:type="dxa"/>
            <w:tcBorders>
              <w:left w:val="nil"/>
              <w:right w:val="nil"/>
            </w:tcBorders>
            <w:hideMark/>
          </w:tcPr>
          <w:p w14:paraId="07661CCD"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2FA4D197" wp14:editId="61095F3A">
                  <wp:extent cx="95250" cy="95250"/>
                  <wp:effectExtent l="0" t="0" r="0" b="0"/>
                  <wp:docPr id="13" name="Picture 1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736BA056"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3F9717F3" wp14:editId="227EA3FD">
                  <wp:extent cx="95250" cy="95250"/>
                  <wp:effectExtent l="0" t="0" r="0" b="0"/>
                  <wp:docPr id="12" name="Picture 1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7A08AD7A" w14:textId="77777777" w:rsidTr="00F31E24">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40989592"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Carcharhinus.longimanus</w:t>
            </w:r>
            <w:proofErr w:type="spellEnd"/>
          </w:p>
        </w:tc>
        <w:tc>
          <w:tcPr>
            <w:tcW w:w="609" w:type="dxa"/>
            <w:tcBorders>
              <w:top w:val="nil"/>
              <w:left w:val="nil"/>
              <w:bottom w:val="nil"/>
              <w:right w:val="nil"/>
            </w:tcBorders>
            <w:hideMark/>
          </w:tcPr>
          <w:p w14:paraId="38AEE1CD"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sz w:val="20"/>
                <w:szCs w:val="20"/>
                <w:lang w:val="es-ES"/>
              </w:rPr>
              <w:t>?</w:t>
            </w:r>
          </w:p>
        </w:tc>
        <w:tc>
          <w:tcPr>
            <w:tcW w:w="614" w:type="dxa"/>
            <w:tcBorders>
              <w:top w:val="nil"/>
              <w:left w:val="nil"/>
              <w:bottom w:val="nil"/>
              <w:right w:val="nil"/>
            </w:tcBorders>
            <w:hideMark/>
          </w:tcPr>
          <w:p w14:paraId="28194533"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top w:val="nil"/>
              <w:left w:val="nil"/>
              <w:bottom w:val="nil"/>
              <w:right w:val="nil"/>
            </w:tcBorders>
          </w:tcPr>
          <w:p w14:paraId="6C807331"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p>
        </w:tc>
        <w:tc>
          <w:tcPr>
            <w:tcW w:w="2536" w:type="dxa"/>
            <w:tcBorders>
              <w:top w:val="nil"/>
              <w:left w:val="nil"/>
              <w:bottom w:val="nil"/>
              <w:right w:val="nil"/>
            </w:tcBorders>
            <w:hideMark/>
          </w:tcPr>
          <w:p w14:paraId="16D00B73"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Mobula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kuhlii</w:t>
            </w:r>
            <w:proofErr w:type="spellEnd"/>
          </w:p>
        </w:tc>
        <w:tc>
          <w:tcPr>
            <w:tcW w:w="612" w:type="dxa"/>
            <w:tcBorders>
              <w:top w:val="nil"/>
              <w:left w:val="nil"/>
              <w:bottom w:val="nil"/>
              <w:right w:val="nil"/>
            </w:tcBorders>
            <w:hideMark/>
          </w:tcPr>
          <w:p w14:paraId="4653FCF0"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6F65EB29" wp14:editId="33FB8453">
                  <wp:extent cx="95250" cy="95250"/>
                  <wp:effectExtent l="0" t="0" r="0" b="0"/>
                  <wp:docPr id="11" name="Picture 1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1F1B6BF1"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53102484" wp14:editId="2D55B6EB">
                  <wp:extent cx="95250" cy="95250"/>
                  <wp:effectExtent l="0" t="0" r="0" b="0"/>
                  <wp:docPr id="9" name="Picture 9"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4F3975" w:rsidRPr="004F3975" w14:paraId="546C2BE7" w14:textId="77777777" w:rsidTr="00F31E24">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39F4129D"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Carcharhinus</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obscurus</w:t>
            </w:r>
            <w:proofErr w:type="spellEnd"/>
          </w:p>
        </w:tc>
        <w:tc>
          <w:tcPr>
            <w:tcW w:w="609" w:type="dxa"/>
            <w:tcBorders>
              <w:left w:val="nil"/>
              <w:right w:val="nil"/>
            </w:tcBorders>
            <w:hideMark/>
          </w:tcPr>
          <w:p w14:paraId="637ADD16"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left w:val="nil"/>
              <w:right w:val="nil"/>
            </w:tcBorders>
            <w:hideMark/>
          </w:tcPr>
          <w:p w14:paraId="7B807CD7"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sz w:val="20"/>
                <w:szCs w:val="20"/>
                <w:lang w:val="es-ES"/>
              </w:rPr>
              <w:t>?</w:t>
            </w:r>
          </w:p>
        </w:tc>
        <w:tc>
          <w:tcPr>
            <w:tcW w:w="793" w:type="dxa"/>
            <w:tcBorders>
              <w:left w:val="nil"/>
              <w:right w:val="nil"/>
            </w:tcBorders>
          </w:tcPr>
          <w:p w14:paraId="0B423ADF"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p>
        </w:tc>
        <w:tc>
          <w:tcPr>
            <w:tcW w:w="2536" w:type="dxa"/>
            <w:tcBorders>
              <w:left w:val="nil"/>
              <w:right w:val="nil"/>
            </w:tcBorders>
            <w:hideMark/>
          </w:tcPr>
          <w:p w14:paraId="06D92CBF"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Mobula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mobular</w:t>
            </w:r>
            <w:proofErr w:type="spellEnd"/>
            <w:r w:rsidRPr="004F3975">
              <w:rPr>
                <w:rFonts w:eastAsia="Times New Roman" w:cs="Arial"/>
                <w:i/>
                <w:iCs/>
                <w:sz w:val="20"/>
                <w:szCs w:val="20"/>
                <w:bdr w:val="none" w:sz="0" w:space="0" w:color="auto" w:frame="1"/>
                <w:vertAlign w:val="superscript"/>
                <w:lang w:val="es-ES" w:eastAsia="es-ES"/>
              </w:rPr>
              <w:footnoteReference w:id="6"/>
            </w:r>
          </w:p>
        </w:tc>
        <w:tc>
          <w:tcPr>
            <w:tcW w:w="612" w:type="dxa"/>
            <w:tcBorders>
              <w:left w:val="nil"/>
              <w:right w:val="nil"/>
            </w:tcBorders>
            <w:hideMark/>
          </w:tcPr>
          <w:p w14:paraId="5496438C"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2" w:type="dxa"/>
            <w:tcBorders>
              <w:left w:val="nil"/>
              <w:right w:val="nil"/>
            </w:tcBorders>
            <w:hideMark/>
          </w:tcPr>
          <w:p w14:paraId="23AA397D"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r>
      <w:tr w:rsidR="004F3975" w:rsidRPr="004F3975" w14:paraId="6A13EA8D" w14:textId="77777777" w:rsidTr="00F31E24">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54DD1F4C"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Prionace</w:t>
            </w:r>
            <w:proofErr w:type="spellEnd"/>
            <w:r w:rsidRPr="004F3975">
              <w:rPr>
                <w:rFonts w:eastAsia="Times New Roman" w:cs="Arial"/>
                <w:i/>
                <w:iCs/>
                <w:sz w:val="20"/>
                <w:szCs w:val="20"/>
                <w:lang w:val="es-ES"/>
              </w:rPr>
              <w:t xml:space="preserve"> glauca</w:t>
            </w:r>
          </w:p>
        </w:tc>
        <w:tc>
          <w:tcPr>
            <w:tcW w:w="609" w:type="dxa"/>
            <w:tcBorders>
              <w:top w:val="nil"/>
              <w:left w:val="nil"/>
              <w:bottom w:val="nil"/>
              <w:right w:val="nil"/>
            </w:tcBorders>
            <w:hideMark/>
          </w:tcPr>
          <w:p w14:paraId="42069368"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top w:val="nil"/>
              <w:left w:val="nil"/>
              <w:bottom w:val="nil"/>
              <w:right w:val="nil"/>
            </w:tcBorders>
            <w:hideMark/>
          </w:tcPr>
          <w:p w14:paraId="1151CCBC"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top w:val="nil"/>
              <w:left w:val="nil"/>
              <w:bottom w:val="nil"/>
              <w:right w:val="nil"/>
            </w:tcBorders>
          </w:tcPr>
          <w:p w14:paraId="0A27F482"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p>
        </w:tc>
        <w:tc>
          <w:tcPr>
            <w:tcW w:w="2536" w:type="dxa"/>
            <w:tcBorders>
              <w:top w:val="nil"/>
              <w:left w:val="nil"/>
              <w:bottom w:val="nil"/>
              <w:right w:val="nil"/>
            </w:tcBorders>
            <w:hideMark/>
          </w:tcPr>
          <w:p w14:paraId="39DBD926"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Mobula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munkiana</w:t>
            </w:r>
            <w:proofErr w:type="spellEnd"/>
          </w:p>
        </w:tc>
        <w:tc>
          <w:tcPr>
            <w:tcW w:w="612" w:type="dxa"/>
            <w:tcBorders>
              <w:top w:val="nil"/>
              <w:left w:val="nil"/>
              <w:bottom w:val="nil"/>
              <w:right w:val="nil"/>
            </w:tcBorders>
            <w:hideMark/>
          </w:tcPr>
          <w:p w14:paraId="422649F1"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4C571C7A" wp14:editId="44EC5C9F">
                  <wp:extent cx="95250" cy="95250"/>
                  <wp:effectExtent l="0" t="0" r="0" b="0"/>
                  <wp:docPr id="8" name="Picture 8"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51EF72CC"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r>
      <w:tr w:rsidR="004F3975" w:rsidRPr="004F3975" w14:paraId="5B4F34A6" w14:textId="77777777" w:rsidTr="00F31E2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191A1963"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Sphyrna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lewini</w:t>
            </w:r>
            <w:proofErr w:type="spellEnd"/>
          </w:p>
        </w:tc>
        <w:tc>
          <w:tcPr>
            <w:tcW w:w="609" w:type="dxa"/>
            <w:tcBorders>
              <w:left w:val="nil"/>
              <w:right w:val="nil"/>
            </w:tcBorders>
            <w:hideMark/>
          </w:tcPr>
          <w:p w14:paraId="194CAF9A"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Cambria Math" w:eastAsia="Times New Roman" w:hAnsi="Cambria Math" w:cs="Cambria Math"/>
                <w:sz w:val="20"/>
                <w:szCs w:val="20"/>
                <w:lang w:val="es-ES"/>
              </w:rPr>
              <w:t>◉</w:t>
            </w:r>
          </w:p>
        </w:tc>
        <w:tc>
          <w:tcPr>
            <w:tcW w:w="614" w:type="dxa"/>
            <w:tcBorders>
              <w:left w:val="nil"/>
              <w:right w:val="nil"/>
            </w:tcBorders>
            <w:hideMark/>
          </w:tcPr>
          <w:p w14:paraId="2DF9691C"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left w:val="nil"/>
              <w:right w:val="nil"/>
            </w:tcBorders>
          </w:tcPr>
          <w:p w14:paraId="5442198F"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p>
        </w:tc>
        <w:tc>
          <w:tcPr>
            <w:tcW w:w="2536" w:type="dxa"/>
            <w:tcBorders>
              <w:left w:val="nil"/>
              <w:right w:val="nil"/>
            </w:tcBorders>
            <w:hideMark/>
          </w:tcPr>
          <w:p w14:paraId="06DB5A3F"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Mobula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tarapacana</w:t>
            </w:r>
            <w:proofErr w:type="spellEnd"/>
          </w:p>
        </w:tc>
        <w:tc>
          <w:tcPr>
            <w:tcW w:w="612" w:type="dxa"/>
            <w:tcBorders>
              <w:left w:val="nil"/>
              <w:right w:val="nil"/>
            </w:tcBorders>
            <w:hideMark/>
          </w:tcPr>
          <w:p w14:paraId="2821C774"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3AAA139B" wp14:editId="29BF04F7">
                  <wp:extent cx="95250" cy="95250"/>
                  <wp:effectExtent l="0" t="0" r="0" b="0"/>
                  <wp:docPr id="5" name="Picture 5"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32ED7932"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r>
      <w:tr w:rsidR="004F3975" w:rsidRPr="004F3975" w14:paraId="3A4C4DC2" w14:textId="77777777" w:rsidTr="00F31E24">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08A3BB12"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Sphyrna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mokarran</w:t>
            </w:r>
            <w:proofErr w:type="spellEnd"/>
          </w:p>
        </w:tc>
        <w:tc>
          <w:tcPr>
            <w:tcW w:w="609" w:type="dxa"/>
            <w:tcBorders>
              <w:top w:val="nil"/>
              <w:left w:val="nil"/>
              <w:bottom w:val="nil"/>
              <w:right w:val="nil"/>
            </w:tcBorders>
            <w:hideMark/>
          </w:tcPr>
          <w:p w14:paraId="0C4C5132"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Cambria Math" w:eastAsia="Times New Roman" w:hAnsi="Cambria Math" w:cs="Cambria Math"/>
                <w:sz w:val="20"/>
                <w:szCs w:val="20"/>
                <w:lang w:val="es-ES"/>
              </w:rPr>
              <w:t>◉</w:t>
            </w:r>
          </w:p>
        </w:tc>
        <w:tc>
          <w:tcPr>
            <w:tcW w:w="614" w:type="dxa"/>
            <w:tcBorders>
              <w:top w:val="nil"/>
              <w:left w:val="nil"/>
              <w:bottom w:val="nil"/>
              <w:right w:val="nil"/>
            </w:tcBorders>
            <w:hideMark/>
          </w:tcPr>
          <w:p w14:paraId="66D3B2B8"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top w:val="nil"/>
              <w:left w:val="nil"/>
              <w:bottom w:val="nil"/>
              <w:right w:val="nil"/>
            </w:tcBorders>
          </w:tcPr>
          <w:p w14:paraId="627C2897"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p>
        </w:tc>
        <w:tc>
          <w:tcPr>
            <w:tcW w:w="2536" w:type="dxa"/>
            <w:tcBorders>
              <w:top w:val="nil"/>
              <w:left w:val="nil"/>
              <w:bottom w:val="nil"/>
              <w:right w:val="nil"/>
            </w:tcBorders>
            <w:hideMark/>
          </w:tcPr>
          <w:p w14:paraId="502E0A56"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
                <w:iCs/>
                <w:sz w:val="20"/>
                <w:szCs w:val="20"/>
                <w:lang w:val="es-ES"/>
              </w:rPr>
            </w:pPr>
            <w:proofErr w:type="spellStart"/>
            <w:r w:rsidRPr="004F3975">
              <w:rPr>
                <w:rFonts w:eastAsia="Times New Roman" w:cs="Arial"/>
                <w:i/>
                <w:iCs/>
                <w:sz w:val="20"/>
                <w:szCs w:val="20"/>
                <w:lang w:val="es-ES"/>
              </w:rPr>
              <w:t>Mobula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thurstoni</w:t>
            </w:r>
            <w:proofErr w:type="spellEnd"/>
          </w:p>
        </w:tc>
        <w:tc>
          <w:tcPr>
            <w:tcW w:w="612" w:type="dxa"/>
            <w:tcBorders>
              <w:top w:val="nil"/>
              <w:left w:val="nil"/>
              <w:bottom w:val="nil"/>
              <w:right w:val="nil"/>
            </w:tcBorders>
            <w:hideMark/>
          </w:tcPr>
          <w:p w14:paraId="114F6B26"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eastAsia="Times New Roman" w:cs="Arial"/>
                <w:noProof/>
                <w:sz w:val="20"/>
                <w:szCs w:val="20"/>
                <w:lang w:val="es-ES"/>
              </w:rPr>
              <w:drawing>
                <wp:inline distT="0" distB="0" distL="0" distR="0" wp14:anchorId="202E4189" wp14:editId="2994FB63">
                  <wp:extent cx="95250" cy="95250"/>
                  <wp:effectExtent l="0" t="0" r="0" b="0"/>
                  <wp:docPr id="1" name="Picture 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tatusCircl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2ECE457B" w14:textId="77777777" w:rsidR="004F3975" w:rsidRPr="004F3975" w:rsidRDefault="004F3975" w:rsidP="004F3975">
            <w:pPr>
              <w:widowControl w:val="0"/>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r>
      <w:tr w:rsidR="004F3975" w:rsidRPr="004F3975" w14:paraId="6C353370" w14:textId="77777777" w:rsidTr="00F31E2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1C4FEFA8" w14:textId="77777777" w:rsidR="004F3975" w:rsidRPr="004F3975" w:rsidRDefault="004F3975" w:rsidP="004F3975">
            <w:pPr>
              <w:widowControl w:val="0"/>
              <w:autoSpaceDE w:val="0"/>
              <w:autoSpaceDN w:val="0"/>
              <w:adjustRightInd w:val="0"/>
              <w:contextualSpacing/>
              <w:jc w:val="both"/>
              <w:rPr>
                <w:rFonts w:eastAsia="Times New Roman" w:cs="Arial"/>
                <w:i/>
                <w:iCs/>
                <w:sz w:val="20"/>
                <w:szCs w:val="20"/>
                <w:lang w:val="es-ES"/>
              </w:rPr>
            </w:pPr>
            <w:proofErr w:type="spellStart"/>
            <w:r w:rsidRPr="004F3975">
              <w:rPr>
                <w:rFonts w:eastAsia="Times New Roman" w:cs="Arial"/>
                <w:i/>
                <w:iCs/>
                <w:sz w:val="20"/>
                <w:szCs w:val="20"/>
                <w:lang w:val="es-ES"/>
              </w:rPr>
              <w:t>Sphyrna</w:t>
            </w:r>
            <w:proofErr w:type="spellEnd"/>
            <w:r w:rsidRPr="004F3975">
              <w:rPr>
                <w:rFonts w:eastAsia="Times New Roman" w:cs="Arial"/>
                <w:i/>
                <w:iCs/>
                <w:sz w:val="20"/>
                <w:szCs w:val="20"/>
                <w:lang w:val="es-ES"/>
              </w:rPr>
              <w:t xml:space="preserve"> </w:t>
            </w:r>
            <w:proofErr w:type="spellStart"/>
            <w:r w:rsidRPr="004F3975">
              <w:rPr>
                <w:rFonts w:eastAsia="Times New Roman" w:cs="Arial"/>
                <w:i/>
                <w:iCs/>
                <w:sz w:val="20"/>
                <w:szCs w:val="20"/>
                <w:lang w:val="es-ES"/>
              </w:rPr>
              <w:t>zygaena</w:t>
            </w:r>
            <w:proofErr w:type="spellEnd"/>
          </w:p>
        </w:tc>
        <w:tc>
          <w:tcPr>
            <w:tcW w:w="609" w:type="dxa"/>
            <w:tcBorders>
              <w:left w:val="nil"/>
              <w:right w:val="nil"/>
            </w:tcBorders>
            <w:hideMark/>
          </w:tcPr>
          <w:p w14:paraId="41A9D440"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614" w:type="dxa"/>
            <w:tcBorders>
              <w:left w:val="nil"/>
              <w:right w:val="nil"/>
            </w:tcBorders>
            <w:hideMark/>
          </w:tcPr>
          <w:p w14:paraId="2B407B62"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r w:rsidRPr="004F3975">
              <w:rPr>
                <w:rFonts w:ascii="Segoe UI Symbol" w:eastAsia="Times New Roman" w:hAnsi="Segoe UI Symbol" w:cs="Segoe UI Symbol"/>
                <w:sz w:val="20"/>
                <w:szCs w:val="20"/>
                <w:lang w:val="es-ES"/>
              </w:rPr>
              <w:t>⬤</w:t>
            </w:r>
          </w:p>
        </w:tc>
        <w:tc>
          <w:tcPr>
            <w:tcW w:w="793" w:type="dxa"/>
            <w:tcBorders>
              <w:left w:val="nil"/>
              <w:right w:val="nil"/>
            </w:tcBorders>
          </w:tcPr>
          <w:p w14:paraId="63CA3A29"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iCs/>
                <w:sz w:val="20"/>
                <w:szCs w:val="20"/>
                <w:lang w:val="es-ES"/>
              </w:rPr>
            </w:pPr>
          </w:p>
        </w:tc>
        <w:tc>
          <w:tcPr>
            <w:tcW w:w="2536" w:type="dxa"/>
            <w:tcBorders>
              <w:left w:val="nil"/>
              <w:right w:val="nil"/>
            </w:tcBorders>
            <w:vAlign w:val="center"/>
            <w:hideMark/>
          </w:tcPr>
          <w:p w14:paraId="602635BF" w14:textId="77777777" w:rsidR="004F3975" w:rsidRPr="004F3975" w:rsidRDefault="004F3975" w:rsidP="004F3975">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Times New Roman" w:cs="Arial"/>
                <w:b/>
                <w:bCs/>
                <w:iCs/>
                <w:sz w:val="20"/>
                <w:szCs w:val="20"/>
                <w:lang w:val="es-ES"/>
              </w:rPr>
            </w:pPr>
            <w:r w:rsidRPr="004F3975">
              <w:rPr>
                <w:rFonts w:eastAsia="Times New Roman" w:cs="Arial"/>
                <w:b/>
                <w:bCs/>
                <w:sz w:val="20"/>
                <w:szCs w:val="20"/>
                <w:lang w:val="es-ES"/>
              </w:rPr>
              <w:t>N.º total de especies enumeradas en la CMS</w:t>
            </w:r>
          </w:p>
        </w:tc>
        <w:tc>
          <w:tcPr>
            <w:tcW w:w="612" w:type="dxa"/>
            <w:tcBorders>
              <w:left w:val="nil"/>
              <w:right w:val="nil"/>
            </w:tcBorders>
            <w:hideMark/>
          </w:tcPr>
          <w:p w14:paraId="34E8CE15"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b/>
                <w:bCs/>
                <w:iCs/>
                <w:sz w:val="20"/>
                <w:szCs w:val="20"/>
                <w:lang w:val="es-ES"/>
              </w:rPr>
            </w:pPr>
            <w:r w:rsidRPr="004F3975">
              <w:rPr>
                <w:rFonts w:eastAsia="Times New Roman" w:cs="Arial"/>
                <w:b/>
                <w:bCs/>
                <w:sz w:val="20"/>
                <w:szCs w:val="20"/>
                <w:lang w:val="es-ES"/>
              </w:rPr>
              <w:t>17</w:t>
            </w:r>
          </w:p>
        </w:tc>
        <w:tc>
          <w:tcPr>
            <w:tcW w:w="612" w:type="dxa"/>
            <w:tcBorders>
              <w:left w:val="nil"/>
              <w:right w:val="nil"/>
            </w:tcBorders>
            <w:hideMark/>
          </w:tcPr>
          <w:p w14:paraId="6236D278" w14:textId="77777777" w:rsidR="004F3975" w:rsidRPr="004F3975" w:rsidRDefault="004F3975" w:rsidP="004F3975">
            <w:pPr>
              <w:widowControl w:val="0"/>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b/>
                <w:bCs/>
                <w:iCs/>
                <w:sz w:val="20"/>
                <w:szCs w:val="20"/>
                <w:lang w:val="es-ES"/>
              </w:rPr>
            </w:pPr>
            <w:r w:rsidRPr="004F3975">
              <w:rPr>
                <w:rFonts w:eastAsia="Times New Roman" w:cs="Arial"/>
                <w:b/>
                <w:bCs/>
                <w:sz w:val="20"/>
                <w:szCs w:val="20"/>
                <w:lang w:val="es-ES"/>
              </w:rPr>
              <w:t>22</w:t>
            </w:r>
          </w:p>
        </w:tc>
      </w:tr>
    </w:tbl>
    <w:p w14:paraId="50033477" w14:textId="77777777" w:rsidR="004F3975" w:rsidRPr="004F3975" w:rsidRDefault="004F3975" w:rsidP="004F3975">
      <w:pPr>
        <w:widowControl w:val="0"/>
        <w:autoSpaceDE w:val="0"/>
        <w:autoSpaceDN w:val="0"/>
        <w:adjustRightInd w:val="0"/>
        <w:spacing w:after="0" w:line="240" w:lineRule="auto"/>
        <w:ind w:left="540" w:right="252"/>
        <w:contextualSpacing/>
        <w:jc w:val="both"/>
        <w:rPr>
          <w:rFonts w:ascii="Arial" w:eastAsia="Times New Roman" w:hAnsi="Arial" w:cs="Times New Roman"/>
          <w:szCs w:val="32"/>
          <w:lang w:val="es-ES"/>
        </w:rPr>
      </w:pPr>
    </w:p>
    <w:p w14:paraId="26009EE9" w14:textId="77777777" w:rsidR="004F3975" w:rsidRPr="004F3975" w:rsidRDefault="004F3975" w:rsidP="004F3975">
      <w:pPr>
        <w:widowControl w:val="0"/>
        <w:autoSpaceDE w:val="0"/>
        <w:autoSpaceDN w:val="0"/>
        <w:adjustRightInd w:val="0"/>
        <w:spacing w:after="0" w:line="240" w:lineRule="auto"/>
        <w:ind w:right="252"/>
        <w:jc w:val="both"/>
        <w:rPr>
          <w:rFonts w:ascii="Arial" w:eastAsia="Times New Roman" w:hAnsi="Arial" w:cs="Times New Roman"/>
          <w:szCs w:val="32"/>
          <w:lang w:val="es-ES"/>
        </w:rPr>
      </w:pPr>
    </w:p>
    <w:p w14:paraId="00DD16C8" w14:textId="77777777" w:rsidR="004F3975" w:rsidRPr="004F3975" w:rsidRDefault="004F3975" w:rsidP="004F3975">
      <w:pPr>
        <w:widowControl w:val="0"/>
        <w:autoSpaceDE w:val="0"/>
        <w:autoSpaceDN w:val="0"/>
        <w:adjustRightInd w:val="0"/>
        <w:spacing w:after="0" w:line="240" w:lineRule="auto"/>
        <w:jc w:val="both"/>
        <w:rPr>
          <w:rFonts w:ascii="Arial" w:eastAsia="Times New Roman" w:hAnsi="Arial" w:cs="Times New Roman"/>
          <w:szCs w:val="32"/>
          <w:lang w:val="es-ES"/>
        </w:rPr>
      </w:pPr>
      <w:r w:rsidRPr="004F3975">
        <w:rPr>
          <w:rFonts w:ascii="Arial" w:eastAsia="Times New Roman" w:hAnsi="Arial" w:cs="Times New Roman"/>
          <w:b/>
          <w:bCs/>
          <w:lang w:val="es-ES"/>
        </w:rPr>
        <w:t xml:space="preserve">En la actualidad, existen trabajos con el fin de implementar la parte b) de la </w:t>
      </w:r>
      <w:r w:rsidRPr="004F3975">
        <w:rPr>
          <w:rFonts w:ascii="Arial" w:eastAsia="Times New Roman" w:hAnsi="Arial" w:cs="Times New Roman"/>
          <w:b/>
          <w:bCs/>
          <w:szCs w:val="32"/>
          <w:lang w:val="es-ES"/>
        </w:rPr>
        <w:t xml:space="preserve">Decisión </w:t>
      </w:r>
      <w:r w:rsidRPr="004F3975">
        <w:rPr>
          <w:rFonts w:ascii="Arial" w:eastAsia="Times New Roman" w:hAnsi="Arial" w:cs="Times New Roman"/>
          <w:b/>
          <w:bCs/>
          <w:lang w:val="es-ES"/>
        </w:rPr>
        <w:t>13.62</w:t>
      </w:r>
    </w:p>
    <w:p w14:paraId="3CBFAABB" w14:textId="77777777" w:rsidR="004F3975" w:rsidRPr="004F3975" w:rsidRDefault="004F3975" w:rsidP="004F3975">
      <w:pPr>
        <w:widowControl w:val="0"/>
        <w:autoSpaceDE w:val="0"/>
        <w:autoSpaceDN w:val="0"/>
        <w:adjustRightInd w:val="0"/>
        <w:spacing w:after="0" w:line="240" w:lineRule="auto"/>
        <w:jc w:val="both"/>
        <w:rPr>
          <w:rFonts w:ascii="Arial" w:eastAsia="Times New Roman" w:hAnsi="Arial" w:cs="Times New Roman"/>
          <w:b/>
          <w:bCs/>
          <w:szCs w:val="32"/>
          <w:lang w:val="es-ES"/>
        </w:rPr>
      </w:pPr>
    </w:p>
    <w:p w14:paraId="2005AAFE" w14:textId="77777777"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iCs/>
          <w:lang w:val="es-ES"/>
        </w:rPr>
      </w:pPr>
      <w:r w:rsidRPr="004F3975">
        <w:rPr>
          <w:rFonts w:ascii="Arial" w:eastAsia="Times New Roman" w:hAnsi="Arial" w:cs="Times New Roman"/>
          <w:szCs w:val="32"/>
          <w:lang w:val="es-ES"/>
        </w:rPr>
        <w:t xml:space="preserve">El </w:t>
      </w:r>
      <w:proofErr w:type="gramStart"/>
      <w:r w:rsidRPr="004F3975">
        <w:rPr>
          <w:rFonts w:ascii="Arial" w:eastAsia="Times New Roman" w:hAnsi="Arial" w:cs="Times New Roman"/>
          <w:szCs w:val="32"/>
          <w:lang w:val="es-ES"/>
        </w:rPr>
        <w:t>Consejero</w:t>
      </w:r>
      <w:proofErr w:type="gramEnd"/>
      <w:r w:rsidRPr="004F3975">
        <w:rPr>
          <w:rFonts w:ascii="Arial" w:eastAsia="Times New Roman" w:hAnsi="Arial" w:cs="Times New Roman"/>
          <w:szCs w:val="32"/>
          <w:lang w:val="es-ES"/>
        </w:rPr>
        <w:t xml:space="preserve"> designado para la captura incidental de la COP de la CMS está llevando a cabo una revisión de las </w:t>
      </w:r>
      <w:r w:rsidRPr="004F3975">
        <w:rPr>
          <w:rFonts w:ascii="Arial" w:eastAsia="Times New Roman" w:hAnsi="Arial" w:cs="Times New Roman"/>
          <w:lang w:val="es-ES"/>
        </w:rPr>
        <w:t xml:space="preserve">medidas más eficientes y apropiadas </w:t>
      </w:r>
      <w:r w:rsidRPr="004F3975">
        <w:rPr>
          <w:rFonts w:ascii="Arial" w:eastAsia="Times New Roman" w:hAnsi="Arial" w:cs="Times New Roman"/>
          <w:szCs w:val="32"/>
          <w:lang w:val="es-ES"/>
        </w:rPr>
        <w:t>para reducir las capturas incidentales. El estudio estará disponible en el 6</w:t>
      </w:r>
      <w:r w:rsidRPr="004F3975">
        <w:rPr>
          <w:rFonts w:ascii="Arial" w:eastAsia="Times New Roman" w:hAnsi="Arial" w:cs="Times New Roman"/>
          <w:szCs w:val="32"/>
          <w:vertAlign w:val="superscript"/>
          <w:lang w:val="es-ES"/>
        </w:rPr>
        <w:t>º</w:t>
      </w:r>
      <w:r w:rsidRPr="004F3975">
        <w:rPr>
          <w:rFonts w:ascii="Arial" w:eastAsia="Times New Roman" w:hAnsi="Arial" w:cs="Times New Roman"/>
          <w:szCs w:val="32"/>
          <w:lang w:val="es-ES"/>
        </w:rPr>
        <w:t xml:space="preserve"> Comité del período de sesiones del Consejo Científico y la COP14 de la CMS, los cuales prevén celebrarse en julio y octubre de 2023, respectivamente. La revisión se centrará en la eficiencia y la viabilidad de las diferentes medidas de mitigación de las capturas incidentales y ofrecerá recomendaciones sobre las medidas de reducción de las mejores prácticas, primero a las Partes de la CMS y, luego, a los Signatarios del </w:t>
      </w:r>
      <w:proofErr w:type="spellStart"/>
      <w:r w:rsidRPr="004F3975">
        <w:rPr>
          <w:rFonts w:ascii="Arial" w:eastAsia="Times New Roman" w:hAnsi="Arial" w:cs="Times New Roman"/>
          <w:szCs w:val="32"/>
          <w:lang w:val="es-ES"/>
        </w:rPr>
        <w:t>MdE</w:t>
      </w:r>
      <w:proofErr w:type="spellEnd"/>
      <w:r w:rsidRPr="004F3975">
        <w:rPr>
          <w:rFonts w:ascii="Arial" w:eastAsia="Times New Roman" w:hAnsi="Arial" w:cs="Times New Roman"/>
          <w:szCs w:val="32"/>
          <w:lang w:val="es-ES"/>
        </w:rPr>
        <w:t xml:space="preserve"> sobre los Tiburones.</w:t>
      </w:r>
    </w:p>
    <w:p w14:paraId="147D9629" w14:textId="77777777" w:rsidR="004F3975" w:rsidRPr="004F3975" w:rsidRDefault="004F3975" w:rsidP="004F3975">
      <w:pPr>
        <w:widowControl w:val="0"/>
        <w:autoSpaceDE w:val="0"/>
        <w:autoSpaceDN w:val="0"/>
        <w:adjustRightInd w:val="0"/>
        <w:spacing w:after="0" w:line="240" w:lineRule="auto"/>
        <w:rPr>
          <w:rFonts w:ascii="Arial" w:eastAsia="Times New Roman" w:hAnsi="Arial" w:cs="Times New Roman"/>
          <w:b/>
          <w:bCs/>
          <w:szCs w:val="32"/>
          <w:lang w:val="es-ES"/>
        </w:rPr>
      </w:pPr>
    </w:p>
    <w:p w14:paraId="30F66C1A" w14:textId="77777777" w:rsidR="004F3975" w:rsidRPr="004F3975" w:rsidRDefault="004F3975" w:rsidP="004F3975">
      <w:pPr>
        <w:widowControl w:val="0"/>
        <w:autoSpaceDE w:val="0"/>
        <w:autoSpaceDN w:val="0"/>
        <w:adjustRightInd w:val="0"/>
        <w:spacing w:after="0" w:line="240" w:lineRule="auto"/>
        <w:rPr>
          <w:rFonts w:ascii="Arial" w:eastAsia="Times New Roman" w:hAnsi="Arial" w:cs="Times New Roman"/>
          <w:b/>
          <w:bCs/>
          <w:lang w:val="es-ES"/>
        </w:rPr>
      </w:pPr>
    </w:p>
    <w:p w14:paraId="789DE6AD" w14:textId="77777777" w:rsidR="004F3975" w:rsidRPr="004F3975" w:rsidRDefault="004F3975" w:rsidP="004F3975">
      <w:pPr>
        <w:autoSpaceDN w:val="0"/>
        <w:spacing w:after="0" w:line="256" w:lineRule="auto"/>
        <w:jc w:val="both"/>
        <w:rPr>
          <w:rFonts w:ascii="Arial" w:eastAsia="Times New Roman" w:hAnsi="Arial" w:cs="Arial"/>
          <w:u w:val="single"/>
          <w:lang w:val="es-ES"/>
        </w:rPr>
      </w:pPr>
      <w:r w:rsidRPr="004F3975">
        <w:rPr>
          <w:rFonts w:ascii="Arial" w:eastAsia="Times New Roman" w:hAnsi="Arial" w:cs="Arial"/>
          <w:u w:val="single"/>
          <w:lang w:val="es-ES"/>
        </w:rPr>
        <w:t>Acción que se solicita:</w:t>
      </w:r>
    </w:p>
    <w:p w14:paraId="5CA774C1" w14:textId="77777777" w:rsidR="004F3975" w:rsidRPr="004F3975" w:rsidRDefault="004F3975" w:rsidP="004F3975">
      <w:pPr>
        <w:widowControl w:val="0"/>
        <w:autoSpaceDE w:val="0"/>
        <w:autoSpaceDN w:val="0"/>
        <w:adjustRightInd w:val="0"/>
        <w:spacing w:after="0" w:line="240" w:lineRule="auto"/>
        <w:jc w:val="both"/>
        <w:rPr>
          <w:rFonts w:ascii="Arial" w:eastAsia="Times New Roman" w:hAnsi="Arial" w:cs="Arial"/>
          <w:lang w:val="es-ES"/>
        </w:rPr>
      </w:pPr>
    </w:p>
    <w:p w14:paraId="1F36FE56" w14:textId="521E591A" w:rsidR="004F3975" w:rsidRPr="004F3975" w:rsidRDefault="004F3975" w:rsidP="004F3975">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lang w:val="es-ES"/>
        </w:rPr>
      </w:pPr>
      <w:r w:rsidRPr="004F3975">
        <w:rPr>
          <w:rFonts w:ascii="Arial" w:eastAsia="Times New Roman" w:hAnsi="Arial" w:cs="Arial"/>
          <w:lang w:val="es-ES"/>
        </w:rPr>
        <w:t>Se solicita a la Reunión:</w:t>
      </w:r>
    </w:p>
    <w:p w14:paraId="1BC7E423" w14:textId="77777777" w:rsidR="004F3975" w:rsidRPr="004F3975" w:rsidRDefault="004F3975" w:rsidP="004F3975">
      <w:pPr>
        <w:widowControl w:val="0"/>
        <w:autoSpaceDE w:val="0"/>
        <w:autoSpaceDN w:val="0"/>
        <w:adjustRightInd w:val="0"/>
        <w:spacing w:after="0" w:line="240" w:lineRule="auto"/>
        <w:ind w:firstLine="360"/>
        <w:jc w:val="both"/>
        <w:rPr>
          <w:rFonts w:ascii="Arial" w:eastAsia="Times New Roman" w:hAnsi="Arial" w:cs="Arial"/>
          <w:lang w:val="es-ES"/>
        </w:rPr>
      </w:pPr>
    </w:p>
    <w:p w14:paraId="5E87E3B6" w14:textId="2E0779C6" w:rsidR="004F3975" w:rsidRPr="004F3975" w:rsidRDefault="002C05A9" w:rsidP="004F3975">
      <w:pPr>
        <w:widowControl w:val="0"/>
        <w:numPr>
          <w:ilvl w:val="0"/>
          <w:numId w:val="5"/>
        </w:numPr>
        <w:autoSpaceDE w:val="0"/>
        <w:autoSpaceDN w:val="0"/>
        <w:adjustRightInd w:val="0"/>
        <w:spacing w:after="0" w:line="240" w:lineRule="auto"/>
        <w:ind w:left="900"/>
        <w:contextualSpacing/>
        <w:jc w:val="both"/>
        <w:rPr>
          <w:rFonts w:ascii="Arial" w:eastAsia="Times New Roman" w:hAnsi="Arial" w:cs="Arial"/>
          <w:lang w:val="es-ES"/>
        </w:rPr>
      </w:pPr>
      <w:r>
        <w:rPr>
          <w:rFonts w:ascii="Arial" w:eastAsia="Times New Roman" w:hAnsi="Arial" w:cs="Arial"/>
          <w:lang w:val="es-ES"/>
        </w:rPr>
        <w:t xml:space="preserve">tomar nota de las Decisiones de la COP13 </w:t>
      </w:r>
      <w:r w:rsidR="004F3975" w:rsidRPr="004F3975">
        <w:rPr>
          <w:rFonts w:ascii="Arial" w:eastAsia="Times New Roman" w:hAnsi="Arial" w:cs="Arial"/>
          <w:lang w:val="es-ES"/>
        </w:rPr>
        <w:t>y ac</w:t>
      </w:r>
      <w:r>
        <w:rPr>
          <w:rFonts w:ascii="Arial" w:eastAsia="Times New Roman" w:hAnsi="Arial" w:cs="Arial"/>
          <w:lang w:val="es-ES"/>
        </w:rPr>
        <w:t>ordar</w:t>
      </w:r>
      <w:r w:rsidR="004F3975" w:rsidRPr="004F3975">
        <w:rPr>
          <w:rFonts w:ascii="Arial" w:eastAsia="Times New Roman" w:hAnsi="Arial" w:cs="Arial"/>
          <w:lang w:val="es-ES"/>
        </w:rPr>
        <w:t xml:space="preserve"> apoyar a la CMS en su implementación;</w:t>
      </w:r>
    </w:p>
    <w:p w14:paraId="1E37A485" w14:textId="77777777" w:rsidR="004F3975" w:rsidRPr="004F3975" w:rsidRDefault="004F3975" w:rsidP="004F3975">
      <w:pPr>
        <w:autoSpaceDN w:val="0"/>
        <w:spacing w:line="240" w:lineRule="auto"/>
        <w:ind w:left="900"/>
        <w:contextualSpacing/>
        <w:jc w:val="both"/>
        <w:rPr>
          <w:rFonts w:ascii="Arial" w:eastAsia="Times New Roman" w:hAnsi="Arial" w:cs="Arial"/>
          <w:lang w:val="es-ES"/>
        </w:rPr>
      </w:pPr>
    </w:p>
    <w:p w14:paraId="57AF4F44" w14:textId="7D2001AE" w:rsidR="004F3975" w:rsidRPr="004F3975" w:rsidRDefault="002C05A9" w:rsidP="004F3975">
      <w:pPr>
        <w:widowControl w:val="0"/>
        <w:numPr>
          <w:ilvl w:val="0"/>
          <w:numId w:val="5"/>
        </w:numPr>
        <w:autoSpaceDE w:val="0"/>
        <w:autoSpaceDN w:val="0"/>
        <w:adjustRightInd w:val="0"/>
        <w:spacing w:after="0" w:line="240" w:lineRule="auto"/>
        <w:ind w:left="900"/>
        <w:contextualSpacing/>
        <w:jc w:val="both"/>
        <w:rPr>
          <w:rFonts w:ascii="Arial" w:eastAsia="Times New Roman" w:hAnsi="Arial" w:cs="Arial"/>
          <w:lang w:val="es-ES"/>
        </w:rPr>
      </w:pPr>
      <w:r>
        <w:rPr>
          <w:rFonts w:ascii="Arial" w:eastAsia="Times New Roman" w:hAnsi="Arial" w:cs="Arial"/>
          <w:lang w:val="es-ES"/>
        </w:rPr>
        <w:t>revisar</w:t>
      </w:r>
      <w:r w:rsidR="004F3975" w:rsidRPr="004F3975">
        <w:rPr>
          <w:rFonts w:ascii="Arial" w:eastAsia="Times New Roman" w:hAnsi="Arial" w:cs="Arial"/>
          <w:lang w:val="es-ES"/>
        </w:rPr>
        <w:t xml:space="preserve"> y ac</w:t>
      </w:r>
      <w:r>
        <w:rPr>
          <w:rFonts w:ascii="Arial" w:eastAsia="Times New Roman" w:hAnsi="Arial" w:cs="Arial"/>
          <w:lang w:val="es-ES"/>
        </w:rPr>
        <w:t>ordar</w:t>
      </w:r>
      <w:r w:rsidR="004F3975" w:rsidRPr="004F3975">
        <w:rPr>
          <w:rFonts w:ascii="Arial" w:eastAsia="Times New Roman" w:hAnsi="Arial" w:cs="Arial"/>
          <w:lang w:val="es-ES"/>
        </w:rPr>
        <w:t xml:space="preserve"> la versión final de los proyectos de decisiones de la reunión en el </w:t>
      </w:r>
      <w:r w:rsidR="004F3975" w:rsidRPr="004F3975">
        <w:rPr>
          <w:rFonts w:ascii="Arial" w:eastAsia="Times New Roman" w:hAnsi="Arial" w:cs="Arial"/>
          <w:u w:val="single"/>
          <w:lang w:val="es-ES"/>
        </w:rPr>
        <w:t>Anexo 1</w:t>
      </w:r>
      <w:r w:rsidR="004F3975" w:rsidRPr="004F3975">
        <w:rPr>
          <w:rFonts w:ascii="Arial" w:eastAsia="Times New Roman" w:hAnsi="Arial" w:cs="Arial"/>
          <w:lang w:val="es-ES"/>
        </w:rPr>
        <w:t xml:space="preserve"> a este documento;</w:t>
      </w:r>
    </w:p>
    <w:p w14:paraId="7B80D272" w14:textId="77777777" w:rsidR="004F3975" w:rsidRPr="004F3975" w:rsidRDefault="004F3975" w:rsidP="004F3975">
      <w:pPr>
        <w:widowControl w:val="0"/>
        <w:autoSpaceDE w:val="0"/>
        <w:autoSpaceDN w:val="0"/>
        <w:adjustRightInd w:val="0"/>
        <w:spacing w:after="0" w:line="240" w:lineRule="auto"/>
        <w:ind w:left="720"/>
        <w:contextualSpacing/>
        <w:rPr>
          <w:rFonts w:ascii="Arial" w:eastAsia="Times New Roman" w:hAnsi="Arial" w:cs="Arial"/>
          <w:lang w:val="es-ES"/>
        </w:rPr>
      </w:pPr>
    </w:p>
    <w:p w14:paraId="18164B17" w14:textId="6971B158" w:rsidR="004F3975" w:rsidRPr="004F3975" w:rsidRDefault="002C05A9" w:rsidP="004F3975">
      <w:pPr>
        <w:widowControl w:val="0"/>
        <w:numPr>
          <w:ilvl w:val="0"/>
          <w:numId w:val="5"/>
        </w:numPr>
        <w:autoSpaceDE w:val="0"/>
        <w:autoSpaceDN w:val="0"/>
        <w:adjustRightInd w:val="0"/>
        <w:spacing w:after="0" w:line="240" w:lineRule="auto"/>
        <w:ind w:left="900"/>
        <w:contextualSpacing/>
        <w:jc w:val="both"/>
        <w:rPr>
          <w:rFonts w:ascii="Arial" w:eastAsia="Times New Roman" w:hAnsi="Arial" w:cs="Arial"/>
          <w:lang w:val="es-ES"/>
        </w:rPr>
      </w:pPr>
      <w:r>
        <w:rPr>
          <w:rFonts w:ascii="Arial" w:eastAsia="Times New Roman" w:hAnsi="Arial" w:cs="Arial"/>
          <w:lang w:val="es-ES"/>
        </w:rPr>
        <w:t>revisar y acordar</w:t>
      </w:r>
      <w:r w:rsidR="004F3975" w:rsidRPr="004F3975">
        <w:rPr>
          <w:rFonts w:ascii="Arial" w:eastAsia="Times New Roman" w:hAnsi="Arial" w:cs="Arial"/>
          <w:lang w:val="es-ES"/>
        </w:rPr>
        <w:t xml:space="preserve"> las actividades sugeridas en el </w:t>
      </w:r>
      <w:r w:rsidR="004F3975" w:rsidRPr="004F3975">
        <w:rPr>
          <w:rFonts w:ascii="Arial" w:eastAsia="Times New Roman" w:hAnsi="Arial" w:cs="Arial"/>
          <w:u w:val="single"/>
          <w:lang w:val="es-ES"/>
        </w:rPr>
        <w:t>Anexo 2</w:t>
      </w:r>
      <w:r w:rsidR="004F3975" w:rsidRPr="004F3975">
        <w:rPr>
          <w:rFonts w:ascii="Arial" w:eastAsia="Times New Roman" w:hAnsi="Arial" w:cs="Arial"/>
          <w:lang w:val="es-ES"/>
        </w:rPr>
        <w:t xml:space="preserve"> de este documento y considere su inclusión en el Programa de Trabajo 2023-2025.</w:t>
      </w:r>
    </w:p>
    <w:p w14:paraId="5C37FC5D" w14:textId="758B9BFD" w:rsidR="00E966DE" w:rsidRDefault="00E966DE" w:rsidP="00E966DE">
      <w:pPr>
        <w:widowControl w:val="0"/>
        <w:autoSpaceDE w:val="0"/>
        <w:autoSpaceDN w:val="0"/>
        <w:adjustRightInd w:val="0"/>
        <w:spacing w:after="0" w:line="240" w:lineRule="auto"/>
        <w:jc w:val="both"/>
        <w:rPr>
          <w:rFonts w:ascii="Arial" w:eastAsia="Times New Roman" w:hAnsi="Arial" w:cs="Arial"/>
          <w:lang w:val="es-ES"/>
        </w:rPr>
      </w:pPr>
    </w:p>
    <w:p w14:paraId="07EC1D2B" w14:textId="07ABF952" w:rsidR="002E7625" w:rsidRDefault="002E7625" w:rsidP="00E966DE">
      <w:pPr>
        <w:widowControl w:val="0"/>
        <w:autoSpaceDE w:val="0"/>
        <w:autoSpaceDN w:val="0"/>
        <w:adjustRightInd w:val="0"/>
        <w:spacing w:after="0" w:line="240" w:lineRule="auto"/>
        <w:jc w:val="both"/>
        <w:rPr>
          <w:rFonts w:ascii="Arial" w:eastAsia="Times New Roman" w:hAnsi="Arial" w:cs="Arial"/>
          <w:lang w:val="es-ES"/>
        </w:rPr>
      </w:pPr>
    </w:p>
    <w:p w14:paraId="792F1C88" w14:textId="77777777" w:rsidR="004F3975" w:rsidRDefault="004F3975" w:rsidP="00E966DE">
      <w:pPr>
        <w:widowControl w:val="0"/>
        <w:autoSpaceDE w:val="0"/>
        <w:autoSpaceDN w:val="0"/>
        <w:adjustRightInd w:val="0"/>
        <w:spacing w:after="0" w:line="240" w:lineRule="auto"/>
        <w:jc w:val="both"/>
        <w:rPr>
          <w:rFonts w:ascii="Arial" w:eastAsia="Times New Roman" w:hAnsi="Arial" w:cs="Arial"/>
          <w:lang w:val="es-ES"/>
        </w:rPr>
        <w:sectPr w:rsidR="004F3975" w:rsidSect="001A259F">
          <w:headerReference w:type="even" r:id="rId13"/>
          <w:headerReference w:type="default" r:id="rId14"/>
          <w:footerReference w:type="even" r:id="rId15"/>
          <w:footerReference w:type="default" r:id="rId16"/>
          <w:footerReference w:type="first" r:id="rId17"/>
          <w:pgSz w:w="11906" w:h="16838" w:code="9"/>
          <w:pgMar w:top="1138" w:right="1138" w:bottom="1138" w:left="1138" w:header="708" w:footer="708" w:gutter="0"/>
          <w:cols w:space="708"/>
          <w:titlePg/>
          <w:docGrid w:linePitch="360"/>
        </w:sectPr>
      </w:pPr>
    </w:p>
    <w:p w14:paraId="648F370D" w14:textId="77777777" w:rsidR="004F3975" w:rsidRPr="004F3975" w:rsidRDefault="004F3975" w:rsidP="004F3975">
      <w:pPr>
        <w:widowControl w:val="0"/>
        <w:autoSpaceDE w:val="0"/>
        <w:autoSpaceDN w:val="0"/>
        <w:adjustRightInd w:val="0"/>
        <w:spacing w:after="0" w:line="240" w:lineRule="auto"/>
        <w:ind w:right="252"/>
        <w:jc w:val="right"/>
        <w:rPr>
          <w:rFonts w:ascii="Arial" w:eastAsia="Times New Roman" w:hAnsi="Arial" w:cs="Arial"/>
          <w:b/>
          <w:iCs/>
          <w:lang w:val="es-ES"/>
        </w:rPr>
      </w:pPr>
      <w:r w:rsidRPr="004F3975">
        <w:rPr>
          <w:rFonts w:ascii="Arial" w:eastAsia="Times New Roman" w:hAnsi="Arial" w:cs="Arial"/>
          <w:b/>
          <w:iCs/>
          <w:lang w:val="es-ES"/>
        </w:rPr>
        <w:lastRenderedPageBreak/>
        <w:t>ANEXO 1</w:t>
      </w:r>
    </w:p>
    <w:p w14:paraId="653FCBE8" w14:textId="77777777" w:rsidR="004F3975" w:rsidRPr="004F3975" w:rsidRDefault="004F3975" w:rsidP="004F3975">
      <w:pPr>
        <w:widowControl w:val="0"/>
        <w:autoSpaceDE w:val="0"/>
        <w:autoSpaceDN w:val="0"/>
        <w:adjustRightInd w:val="0"/>
        <w:spacing w:after="0" w:line="240" w:lineRule="auto"/>
        <w:ind w:right="252"/>
        <w:jc w:val="center"/>
        <w:rPr>
          <w:rFonts w:ascii="Arial" w:eastAsia="Times New Roman" w:hAnsi="Arial" w:cs="Arial"/>
          <w:b/>
          <w:iCs/>
          <w:lang w:val="es-ES"/>
        </w:rPr>
      </w:pPr>
    </w:p>
    <w:p w14:paraId="5B7E697B" w14:textId="77777777" w:rsidR="004F3975" w:rsidRPr="004F3975" w:rsidRDefault="004F3975" w:rsidP="004F3975">
      <w:pPr>
        <w:widowControl w:val="0"/>
        <w:autoSpaceDE w:val="0"/>
        <w:autoSpaceDN w:val="0"/>
        <w:adjustRightInd w:val="0"/>
        <w:spacing w:after="0" w:line="240" w:lineRule="auto"/>
        <w:ind w:right="252"/>
        <w:jc w:val="center"/>
        <w:rPr>
          <w:rFonts w:ascii="Arial" w:eastAsia="Times New Roman" w:hAnsi="Arial" w:cs="Arial"/>
          <w:b/>
          <w:iCs/>
          <w:lang w:val="es-ES"/>
        </w:rPr>
      </w:pPr>
    </w:p>
    <w:p w14:paraId="1BA18A99" w14:textId="77777777" w:rsidR="004F3975" w:rsidRPr="004F3975" w:rsidRDefault="004F3975" w:rsidP="004F3975">
      <w:pPr>
        <w:widowControl w:val="0"/>
        <w:autoSpaceDE w:val="0"/>
        <w:autoSpaceDN w:val="0"/>
        <w:adjustRightInd w:val="0"/>
        <w:spacing w:after="0" w:line="240" w:lineRule="auto"/>
        <w:ind w:right="252"/>
        <w:jc w:val="center"/>
        <w:rPr>
          <w:rFonts w:ascii="Arial" w:eastAsia="Times New Roman" w:hAnsi="Arial" w:cs="Arial"/>
          <w:b/>
          <w:iCs/>
          <w:lang w:val="es-ES"/>
        </w:rPr>
      </w:pPr>
      <w:r w:rsidRPr="004F3975">
        <w:rPr>
          <w:rFonts w:ascii="Arial" w:eastAsia="Times New Roman" w:hAnsi="Arial" w:cs="Arial"/>
          <w:b/>
          <w:iCs/>
          <w:lang w:val="es-ES"/>
        </w:rPr>
        <w:t>PROYECTO DE DECISIONES DE LA REUNIÓN</w:t>
      </w:r>
    </w:p>
    <w:p w14:paraId="1F4ECD2D" w14:textId="77777777" w:rsidR="004F3975" w:rsidRPr="004F3975" w:rsidRDefault="004F3975" w:rsidP="004F3975">
      <w:pPr>
        <w:widowControl w:val="0"/>
        <w:autoSpaceDE w:val="0"/>
        <w:autoSpaceDN w:val="0"/>
        <w:adjustRightInd w:val="0"/>
        <w:spacing w:after="0" w:line="240" w:lineRule="auto"/>
        <w:ind w:right="252"/>
        <w:rPr>
          <w:rFonts w:ascii="Arial" w:eastAsia="Times New Roman" w:hAnsi="Arial" w:cs="Arial"/>
          <w:b/>
          <w:iCs/>
          <w:lang w:val="es-ES"/>
        </w:rPr>
      </w:pPr>
    </w:p>
    <w:p w14:paraId="2D21F6AA" w14:textId="77777777" w:rsidR="004F3975" w:rsidRPr="004F3975" w:rsidRDefault="004F3975" w:rsidP="004F3975">
      <w:pPr>
        <w:widowControl w:val="0"/>
        <w:autoSpaceDE w:val="0"/>
        <w:autoSpaceDN w:val="0"/>
        <w:adjustRightInd w:val="0"/>
        <w:spacing w:after="0" w:line="240" w:lineRule="auto"/>
        <w:ind w:right="252"/>
        <w:rPr>
          <w:rFonts w:ascii="Arial" w:eastAsia="Times New Roman" w:hAnsi="Arial" w:cs="Arial"/>
          <w:bCs/>
          <w:iCs/>
          <w:lang w:val="es-ES"/>
        </w:rPr>
      </w:pPr>
      <w:r w:rsidRPr="004F3975">
        <w:rPr>
          <w:rFonts w:ascii="Arial" w:eastAsia="Times New Roman" w:hAnsi="Arial" w:cs="Arial"/>
          <w:bCs/>
          <w:iCs/>
          <w:lang w:val="es-ES"/>
        </w:rPr>
        <w:t>Signatarios</w:t>
      </w:r>
    </w:p>
    <w:p w14:paraId="0B009DE5" w14:textId="77777777" w:rsidR="004F3975" w:rsidRPr="004F3975" w:rsidRDefault="004F3975" w:rsidP="004F3975">
      <w:pPr>
        <w:widowControl w:val="0"/>
        <w:autoSpaceDE w:val="0"/>
        <w:autoSpaceDN w:val="0"/>
        <w:adjustRightInd w:val="0"/>
        <w:spacing w:after="0" w:line="240" w:lineRule="auto"/>
        <w:ind w:right="252"/>
        <w:jc w:val="both"/>
        <w:rPr>
          <w:rFonts w:ascii="Arial" w:eastAsia="Times New Roman" w:hAnsi="Arial" w:cs="Times New Roman"/>
          <w:szCs w:val="32"/>
          <w:lang w:val="es-ES"/>
        </w:rPr>
      </w:pPr>
    </w:p>
    <w:p w14:paraId="31B60E45" w14:textId="77777777" w:rsidR="004F3975" w:rsidRPr="004F3975" w:rsidRDefault="004F3975" w:rsidP="004F3975">
      <w:pPr>
        <w:widowControl w:val="0"/>
        <w:numPr>
          <w:ilvl w:val="0"/>
          <w:numId w:val="7"/>
        </w:numPr>
        <w:autoSpaceDE w:val="0"/>
        <w:autoSpaceDN w:val="0"/>
        <w:adjustRightInd w:val="0"/>
        <w:spacing w:after="0" w:line="240" w:lineRule="auto"/>
        <w:ind w:right="252"/>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Acordaron ayudar a la CMS en la implementación de las Decisiones de la COP13 de la CMS 13.62 (a) y 13.63 (b);</w:t>
      </w:r>
    </w:p>
    <w:p w14:paraId="304E29C2" w14:textId="77777777" w:rsidR="004F3975" w:rsidRPr="004F3975" w:rsidRDefault="004F3975" w:rsidP="004F3975">
      <w:pPr>
        <w:widowControl w:val="0"/>
        <w:autoSpaceDE w:val="0"/>
        <w:autoSpaceDN w:val="0"/>
        <w:adjustRightInd w:val="0"/>
        <w:spacing w:after="0" w:line="240" w:lineRule="auto"/>
        <w:ind w:left="360" w:right="252"/>
        <w:contextualSpacing/>
        <w:jc w:val="both"/>
        <w:rPr>
          <w:rFonts w:ascii="Arial" w:eastAsia="Times New Roman" w:hAnsi="Arial" w:cs="Times New Roman"/>
          <w:szCs w:val="32"/>
          <w:lang w:val="es-ES"/>
        </w:rPr>
      </w:pPr>
    </w:p>
    <w:p w14:paraId="41A4D643" w14:textId="77777777" w:rsidR="004F3975" w:rsidRPr="004F3975" w:rsidRDefault="004F3975" w:rsidP="004F3975">
      <w:pPr>
        <w:widowControl w:val="0"/>
        <w:numPr>
          <w:ilvl w:val="0"/>
          <w:numId w:val="7"/>
        </w:numPr>
        <w:autoSpaceDE w:val="0"/>
        <w:autoSpaceDN w:val="0"/>
        <w:adjustRightInd w:val="0"/>
        <w:spacing w:after="0" w:line="240" w:lineRule="auto"/>
        <w:ind w:right="252"/>
        <w:contextualSpacing/>
        <w:jc w:val="both"/>
        <w:rPr>
          <w:rFonts w:ascii="Arial" w:eastAsia="Times New Roman" w:hAnsi="Arial" w:cs="Times New Roman"/>
          <w:szCs w:val="32"/>
          <w:lang w:val="es-ES"/>
        </w:rPr>
      </w:pPr>
      <w:r w:rsidRPr="004F3975">
        <w:rPr>
          <w:rFonts w:ascii="Arial" w:eastAsia="Times New Roman" w:hAnsi="Arial" w:cs="Times New Roman"/>
          <w:szCs w:val="32"/>
          <w:lang w:val="es-ES"/>
        </w:rPr>
        <w:t xml:space="preserve">Valoraron positivamente el enfoque propuesto tal como sugirió el Comité Asesor para centrarse así en la mortalidad a causa de las pesquerías en lugar de en las capturas incidentales por las razones señaladas en el </w:t>
      </w:r>
      <w:hyperlink r:id="rId18" w:history="1">
        <w:r w:rsidRPr="004F3975">
          <w:rPr>
            <w:rFonts w:ascii="Arial" w:eastAsia="Times New Roman" w:hAnsi="Arial" w:cs="Times New Roman"/>
            <w:color w:val="0000FF"/>
            <w:szCs w:val="32"/>
            <w:u w:val="single"/>
            <w:lang w:val="es-ES"/>
          </w:rPr>
          <w:t>CMS/</w:t>
        </w:r>
        <w:proofErr w:type="spellStart"/>
        <w:r w:rsidRPr="004F3975">
          <w:rPr>
            <w:rFonts w:ascii="Arial" w:eastAsia="Times New Roman" w:hAnsi="Arial" w:cs="Times New Roman"/>
            <w:color w:val="0000FF"/>
            <w:szCs w:val="32"/>
            <w:u w:val="single"/>
            <w:lang w:val="es-ES"/>
          </w:rPr>
          <w:t>S</w:t>
        </w:r>
        <w:r w:rsidRPr="004F3975">
          <w:rPr>
            <w:rFonts w:ascii="Arial" w:eastAsia="Times New Roman" w:hAnsi="Arial" w:cs="Times New Roman"/>
            <w:color w:val="0000FF"/>
            <w:szCs w:val="32"/>
            <w:u w:val="single"/>
            <w:lang w:val="es-ES"/>
          </w:rPr>
          <w:t>harks</w:t>
        </w:r>
        <w:proofErr w:type="spellEnd"/>
        <w:r w:rsidRPr="004F3975">
          <w:rPr>
            <w:rFonts w:ascii="Arial" w:eastAsia="Times New Roman" w:hAnsi="Arial" w:cs="Times New Roman"/>
            <w:color w:val="0000FF"/>
            <w:szCs w:val="32"/>
            <w:u w:val="single"/>
            <w:lang w:val="es-ES"/>
          </w:rPr>
          <w:t>/MOS4/Doc.10.7</w:t>
        </w:r>
      </w:hyperlink>
      <w:r w:rsidRPr="004F3975">
        <w:rPr>
          <w:rFonts w:ascii="Arial" w:eastAsia="Times New Roman" w:hAnsi="Arial" w:cs="Times New Roman"/>
          <w:szCs w:val="32"/>
          <w:lang w:val="es-ES"/>
        </w:rPr>
        <w:t xml:space="preserve"> y acordaron realizar un estudio piloto para las zonas de pesca de la FAO, siendo la 37 (mar Mediterráneo y mar Negro) y la 87 (sudeste del Pacífico).</w:t>
      </w:r>
    </w:p>
    <w:p w14:paraId="35341830" w14:textId="0D5C47A5" w:rsidR="002E7625" w:rsidRDefault="002E7625" w:rsidP="00E966DE">
      <w:pPr>
        <w:widowControl w:val="0"/>
        <w:autoSpaceDE w:val="0"/>
        <w:autoSpaceDN w:val="0"/>
        <w:adjustRightInd w:val="0"/>
        <w:spacing w:after="0" w:line="240" w:lineRule="auto"/>
        <w:jc w:val="both"/>
        <w:rPr>
          <w:rFonts w:ascii="Arial" w:eastAsia="Times New Roman" w:hAnsi="Arial" w:cs="Arial"/>
          <w:lang w:val="es-ES"/>
        </w:rPr>
      </w:pPr>
    </w:p>
    <w:p w14:paraId="1B5AE2B6" w14:textId="77777777" w:rsidR="004F3975" w:rsidRDefault="004F3975" w:rsidP="00E966DE">
      <w:pPr>
        <w:widowControl w:val="0"/>
        <w:autoSpaceDE w:val="0"/>
        <w:autoSpaceDN w:val="0"/>
        <w:adjustRightInd w:val="0"/>
        <w:spacing w:after="0" w:line="240" w:lineRule="auto"/>
        <w:jc w:val="both"/>
        <w:rPr>
          <w:rFonts w:ascii="Arial" w:eastAsia="Times New Roman" w:hAnsi="Arial" w:cs="Arial"/>
          <w:lang w:val="es-ES"/>
        </w:rPr>
        <w:sectPr w:rsidR="004F3975" w:rsidSect="001A259F">
          <w:headerReference w:type="first" r:id="rId19"/>
          <w:footerReference w:type="first" r:id="rId20"/>
          <w:pgSz w:w="11906" w:h="16838" w:code="9"/>
          <w:pgMar w:top="1138" w:right="1138" w:bottom="1138" w:left="1138" w:header="708" w:footer="708" w:gutter="0"/>
          <w:cols w:space="708"/>
          <w:titlePg/>
          <w:docGrid w:linePitch="360"/>
        </w:sectPr>
      </w:pPr>
    </w:p>
    <w:p w14:paraId="2EB8D2F2" w14:textId="77777777" w:rsidR="004F3975" w:rsidRPr="004F3975" w:rsidRDefault="004F3975" w:rsidP="004F3975">
      <w:pPr>
        <w:widowControl w:val="0"/>
        <w:autoSpaceDE w:val="0"/>
        <w:autoSpaceDN w:val="0"/>
        <w:adjustRightInd w:val="0"/>
        <w:spacing w:after="0" w:line="240" w:lineRule="auto"/>
        <w:ind w:right="252"/>
        <w:jc w:val="right"/>
        <w:rPr>
          <w:rFonts w:ascii="Arial" w:eastAsia="Times New Roman" w:hAnsi="Arial" w:cs="Arial"/>
          <w:b/>
          <w:iCs/>
          <w:lang w:val="es-ES"/>
        </w:rPr>
      </w:pPr>
      <w:r w:rsidRPr="004F3975">
        <w:rPr>
          <w:rFonts w:ascii="Arial" w:eastAsia="Times New Roman" w:hAnsi="Arial" w:cs="Arial"/>
          <w:b/>
          <w:iCs/>
          <w:lang w:val="es-ES"/>
        </w:rPr>
        <w:lastRenderedPageBreak/>
        <w:t>ANEXO 2</w:t>
      </w:r>
    </w:p>
    <w:p w14:paraId="0381484A" w14:textId="77777777" w:rsidR="004F3975" w:rsidRPr="004F3975" w:rsidRDefault="004F3975" w:rsidP="004F3975">
      <w:pPr>
        <w:widowControl w:val="0"/>
        <w:autoSpaceDE w:val="0"/>
        <w:autoSpaceDN w:val="0"/>
        <w:adjustRightInd w:val="0"/>
        <w:spacing w:after="0" w:line="240" w:lineRule="auto"/>
        <w:ind w:right="252"/>
        <w:jc w:val="center"/>
        <w:rPr>
          <w:rFonts w:ascii="Arial" w:eastAsia="Times New Roman" w:hAnsi="Arial" w:cs="Arial"/>
          <w:bCs/>
          <w:iCs/>
          <w:lang w:val="es-ES"/>
        </w:rPr>
      </w:pPr>
    </w:p>
    <w:p w14:paraId="11BEDF1B" w14:textId="77777777" w:rsidR="004F3975" w:rsidRPr="004F3975" w:rsidRDefault="004F3975" w:rsidP="004F3975">
      <w:pPr>
        <w:widowControl w:val="0"/>
        <w:autoSpaceDE w:val="0"/>
        <w:autoSpaceDN w:val="0"/>
        <w:adjustRightInd w:val="0"/>
        <w:spacing w:after="0" w:line="240" w:lineRule="auto"/>
        <w:ind w:right="252"/>
        <w:jc w:val="center"/>
        <w:rPr>
          <w:rFonts w:ascii="Arial" w:eastAsia="Times New Roman" w:hAnsi="Arial" w:cs="Arial"/>
          <w:bCs/>
          <w:iCs/>
          <w:lang w:val="es-ES"/>
        </w:rPr>
      </w:pPr>
    </w:p>
    <w:p w14:paraId="6281C654" w14:textId="77777777" w:rsidR="004F3975" w:rsidRPr="004F3975" w:rsidRDefault="004F3975" w:rsidP="004F3975">
      <w:pPr>
        <w:widowControl w:val="0"/>
        <w:autoSpaceDE w:val="0"/>
        <w:autoSpaceDN w:val="0"/>
        <w:adjustRightInd w:val="0"/>
        <w:spacing w:after="0" w:line="240" w:lineRule="auto"/>
        <w:ind w:right="252"/>
        <w:jc w:val="center"/>
        <w:rPr>
          <w:rFonts w:ascii="Arial" w:eastAsia="Times New Roman" w:hAnsi="Arial" w:cs="Arial"/>
          <w:b/>
          <w:iCs/>
          <w:lang w:val="es-ES"/>
        </w:rPr>
      </w:pPr>
      <w:r w:rsidRPr="004F3975">
        <w:rPr>
          <w:rFonts w:ascii="Arial" w:eastAsia="Times New Roman" w:hAnsi="Arial" w:cs="Arial"/>
          <w:b/>
          <w:iCs/>
          <w:lang w:val="es-ES"/>
        </w:rPr>
        <w:t>BORRADOR DE ACTIVIDADES PARA LA INCLUSIÓN EN EL PROGRAMA DE TRABAJO 2023-2025</w:t>
      </w:r>
    </w:p>
    <w:p w14:paraId="27A27536" w14:textId="77777777" w:rsidR="004F3975" w:rsidRPr="004F3975" w:rsidRDefault="004F3975" w:rsidP="004F3975">
      <w:pPr>
        <w:widowControl w:val="0"/>
        <w:autoSpaceDE w:val="0"/>
        <w:autoSpaceDN w:val="0"/>
        <w:adjustRightInd w:val="0"/>
        <w:spacing w:after="0" w:line="240" w:lineRule="auto"/>
        <w:ind w:right="252"/>
        <w:jc w:val="center"/>
        <w:rPr>
          <w:rFonts w:ascii="Arial" w:eastAsia="Times New Roman" w:hAnsi="Arial" w:cs="Arial"/>
          <w:bCs/>
          <w:iCs/>
          <w:lang w:val="es-ES"/>
        </w:rPr>
      </w:pPr>
    </w:p>
    <w:tbl>
      <w:tblPr>
        <w:tblStyle w:val="PlainTable24"/>
        <w:tblW w:w="5000" w:type="pct"/>
        <w:tblLook w:val="04A0" w:firstRow="1" w:lastRow="0" w:firstColumn="1" w:lastColumn="0" w:noHBand="0" w:noVBand="1"/>
      </w:tblPr>
      <w:tblGrid>
        <w:gridCol w:w="718"/>
        <w:gridCol w:w="3974"/>
        <w:gridCol w:w="1313"/>
        <w:gridCol w:w="1489"/>
        <w:gridCol w:w="1172"/>
        <w:gridCol w:w="2006"/>
        <w:gridCol w:w="1969"/>
        <w:gridCol w:w="1884"/>
        <w:gridCol w:w="37"/>
      </w:tblGrid>
      <w:tr w:rsidR="004F3975" w:rsidRPr="004F3975" w14:paraId="05016A0A" w14:textId="77777777" w:rsidTr="00F31E24">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72" w:type="pct"/>
            <w:vAlign w:val="center"/>
            <w:hideMark/>
          </w:tcPr>
          <w:p w14:paraId="1E77534A" w14:textId="77777777" w:rsidR="004F3975" w:rsidRPr="004F3975" w:rsidRDefault="004F3975" w:rsidP="004F3975">
            <w:pPr>
              <w:textAlignment w:val="baseline"/>
              <w:rPr>
                <w:rFonts w:eastAsia="Times New Roman" w:cs="Arial"/>
                <w:sz w:val="20"/>
                <w:szCs w:val="20"/>
                <w:lang w:val="es-ES" w:eastAsia="en-GB"/>
              </w:rPr>
            </w:pPr>
            <w:bookmarkStart w:id="2" w:name="_Hlk122090648"/>
            <w:r w:rsidRPr="004F3975">
              <w:rPr>
                <w:rFonts w:eastAsia="Times New Roman" w:cs="Arial"/>
                <w:sz w:val="20"/>
                <w:szCs w:val="20"/>
                <w:lang w:val="es-ES" w:eastAsia="es-ES"/>
              </w:rPr>
              <w:t>N.º </w:t>
            </w:r>
          </w:p>
        </w:tc>
        <w:tc>
          <w:tcPr>
            <w:tcW w:w="1390" w:type="pct"/>
            <w:vAlign w:val="center"/>
            <w:hideMark/>
          </w:tcPr>
          <w:p w14:paraId="62C2F9F9" w14:textId="77777777" w:rsidR="004F3975" w:rsidRPr="004F3975" w:rsidRDefault="004F3975" w:rsidP="004F3975">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color w:val="000000"/>
                <w:sz w:val="20"/>
                <w:szCs w:val="20"/>
                <w:lang w:val="es-ES" w:eastAsia="es-ES"/>
              </w:rPr>
              <w:t>Actividad</w:t>
            </w:r>
          </w:p>
        </w:tc>
        <w:tc>
          <w:tcPr>
            <w:tcW w:w="476" w:type="pct"/>
            <w:vAlign w:val="center"/>
            <w:hideMark/>
          </w:tcPr>
          <w:p w14:paraId="6CFCB938" w14:textId="77777777" w:rsidR="004F3975" w:rsidRPr="004F3975" w:rsidRDefault="004F3975" w:rsidP="004F3975">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Mandato</w:t>
            </w:r>
            <w:r w:rsidRPr="004F3975">
              <w:rPr>
                <w:rFonts w:eastAsia="Times New Roman" w:cs="Arial"/>
                <w:sz w:val="20"/>
                <w:szCs w:val="20"/>
                <w:vertAlign w:val="superscript"/>
                <w:lang w:val="es-ES" w:eastAsia="es-ES"/>
              </w:rPr>
              <w:footnoteReference w:id="7"/>
            </w:r>
          </w:p>
        </w:tc>
        <w:tc>
          <w:tcPr>
            <w:tcW w:w="439" w:type="pct"/>
            <w:vAlign w:val="center"/>
            <w:hideMark/>
          </w:tcPr>
          <w:p w14:paraId="365A8B89" w14:textId="77777777" w:rsidR="004F3975" w:rsidRPr="004F3975" w:rsidRDefault="004F3975" w:rsidP="004F3975">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Prioridad</w:t>
            </w:r>
          </w:p>
          <w:p w14:paraId="4AA7D9B7" w14:textId="77777777" w:rsidR="004F3975" w:rsidRPr="004F3975" w:rsidRDefault="004F3975" w:rsidP="004F3975">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clasificación</w:t>
            </w:r>
            <w:r w:rsidRPr="004F3975">
              <w:rPr>
                <w:rFonts w:eastAsia="Times New Roman" w:cs="Arial"/>
                <w:sz w:val="20"/>
                <w:szCs w:val="20"/>
                <w:vertAlign w:val="superscript"/>
                <w:lang w:val="es-ES" w:eastAsia="es-ES"/>
              </w:rPr>
              <w:footnoteReference w:id="8"/>
            </w:r>
          </w:p>
        </w:tc>
        <w:tc>
          <w:tcPr>
            <w:tcW w:w="321" w:type="pct"/>
            <w:vAlign w:val="center"/>
            <w:hideMark/>
          </w:tcPr>
          <w:p w14:paraId="24581E3E" w14:textId="77777777" w:rsidR="004F3975" w:rsidRPr="004F3975" w:rsidRDefault="004F3975" w:rsidP="004F3975">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Marco temporal</w:t>
            </w:r>
            <w:r w:rsidRPr="004F3975">
              <w:rPr>
                <w:rFonts w:eastAsia="Times New Roman" w:cs="Arial"/>
                <w:sz w:val="20"/>
                <w:szCs w:val="20"/>
                <w:vertAlign w:val="superscript"/>
                <w:lang w:val="es-ES" w:eastAsia="es-ES"/>
              </w:rPr>
              <w:footnoteReference w:id="9"/>
            </w:r>
          </w:p>
        </w:tc>
        <w:tc>
          <w:tcPr>
            <w:tcW w:w="714" w:type="pct"/>
            <w:vAlign w:val="center"/>
            <w:hideMark/>
          </w:tcPr>
          <w:p w14:paraId="638D056A" w14:textId="77777777" w:rsidR="004F3975" w:rsidRPr="004F3975" w:rsidRDefault="004F3975" w:rsidP="004F3975">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Entidad responsable</w:t>
            </w:r>
            <w:r w:rsidRPr="004F3975">
              <w:rPr>
                <w:rFonts w:eastAsia="Times New Roman" w:cs="Arial"/>
                <w:sz w:val="20"/>
                <w:szCs w:val="20"/>
                <w:vertAlign w:val="superscript"/>
                <w:lang w:val="es-ES" w:eastAsia="es-ES"/>
              </w:rPr>
              <w:footnoteReference w:id="10"/>
            </w:r>
          </w:p>
        </w:tc>
        <w:tc>
          <w:tcPr>
            <w:tcW w:w="701" w:type="pct"/>
            <w:vAlign w:val="center"/>
            <w:hideMark/>
          </w:tcPr>
          <w:p w14:paraId="3415ABFE" w14:textId="77777777" w:rsidR="004F3975" w:rsidRPr="004F3975" w:rsidRDefault="004F3975" w:rsidP="004F3975">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Necesidades de financiación para la implementación</w:t>
            </w:r>
          </w:p>
        </w:tc>
        <w:tc>
          <w:tcPr>
            <w:tcW w:w="686" w:type="pct"/>
            <w:gridSpan w:val="2"/>
            <w:vAlign w:val="center"/>
            <w:hideMark/>
          </w:tcPr>
          <w:p w14:paraId="3E740C1C" w14:textId="77777777" w:rsidR="004F3975" w:rsidRPr="004F3975" w:rsidRDefault="004F3975" w:rsidP="004F3975">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Personal de la Secretaría necesario para la implementación (días laborables) </w:t>
            </w:r>
          </w:p>
        </w:tc>
      </w:tr>
      <w:tr w:rsidR="004F3975" w:rsidRPr="004F3975" w14:paraId="18639948" w14:textId="77777777" w:rsidTr="00F31E24">
        <w:trPr>
          <w:gridAfter w:val="1"/>
          <w:cnfStyle w:val="000000100000" w:firstRow="0" w:lastRow="0" w:firstColumn="0" w:lastColumn="0" w:oddVBand="0" w:evenVBand="0" w:oddHBand="1" w:evenHBand="0" w:firstRowFirstColumn="0" w:firstRowLastColumn="0" w:lastRowFirstColumn="0" w:lastRowLastColumn="0"/>
          <w:wAfter w:w="15" w:type="pct"/>
          <w:trHeight w:val="270"/>
        </w:trPr>
        <w:tc>
          <w:tcPr>
            <w:cnfStyle w:val="001000000000" w:firstRow="0" w:lastRow="0" w:firstColumn="1" w:lastColumn="0" w:oddVBand="0" w:evenVBand="0" w:oddHBand="0" w:evenHBand="0" w:firstRowFirstColumn="0" w:firstRowLastColumn="0" w:lastRowFirstColumn="0" w:lastRowLastColumn="0"/>
            <w:tcW w:w="4985" w:type="pct"/>
            <w:gridSpan w:val="8"/>
            <w:hideMark/>
          </w:tcPr>
          <w:p w14:paraId="224DA946" w14:textId="77777777" w:rsidR="004F3975" w:rsidRPr="004F3975" w:rsidRDefault="004F3975" w:rsidP="004F3975">
            <w:pPr>
              <w:textAlignment w:val="baseline"/>
              <w:rPr>
                <w:rFonts w:eastAsia="Times New Roman" w:cs="Arial"/>
                <w:sz w:val="20"/>
                <w:szCs w:val="20"/>
                <w:lang w:val="es-ES" w:eastAsia="en-GB"/>
              </w:rPr>
            </w:pPr>
            <w:r w:rsidRPr="004F3975">
              <w:rPr>
                <w:rFonts w:eastAsia="Times New Roman" w:cs="Arial"/>
                <w:sz w:val="20"/>
                <w:szCs w:val="20"/>
                <w:lang w:val="es-ES" w:eastAsia="es-ES"/>
              </w:rPr>
              <w:t>Conservación de Especies/Conservación del Hábitat </w:t>
            </w:r>
          </w:p>
        </w:tc>
      </w:tr>
      <w:tr w:rsidR="004F3975" w:rsidRPr="004F3975" w14:paraId="442A251C" w14:textId="77777777" w:rsidTr="00F31E24">
        <w:trPr>
          <w:gridAfter w:val="1"/>
          <w:wAfter w:w="15" w:type="pct"/>
          <w:trHeight w:val="270"/>
        </w:trPr>
        <w:tc>
          <w:tcPr>
            <w:cnfStyle w:val="001000000000" w:firstRow="0" w:lastRow="0" w:firstColumn="1" w:lastColumn="0" w:oddVBand="0" w:evenVBand="0" w:oddHBand="0" w:evenHBand="0" w:firstRowFirstColumn="0" w:firstRowLastColumn="0" w:lastRowFirstColumn="0" w:lastRowLastColumn="0"/>
            <w:tcW w:w="4985" w:type="pct"/>
            <w:gridSpan w:val="8"/>
          </w:tcPr>
          <w:p w14:paraId="3FFC1122" w14:textId="77777777" w:rsidR="004F3975" w:rsidRPr="004F3975" w:rsidRDefault="004F3975" w:rsidP="004F3975">
            <w:pPr>
              <w:widowControl w:val="0"/>
              <w:autoSpaceDE w:val="0"/>
              <w:autoSpaceDN w:val="0"/>
              <w:adjustRightInd w:val="0"/>
              <w:ind w:right="252"/>
              <w:rPr>
                <w:rFonts w:eastAsia="Times New Roman" w:cs="Arial"/>
                <w:sz w:val="20"/>
                <w:szCs w:val="20"/>
                <w:lang w:val="es-ES"/>
              </w:rPr>
            </w:pPr>
            <w:r w:rsidRPr="004F3975">
              <w:rPr>
                <w:rFonts w:eastAsia="Times New Roman" w:cs="Arial"/>
                <w:sz w:val="20"/>
                <w:szCs w:val="20"/>
                <w:lang w:val="es-ES" w:eastAsia="es-ES"/>
              </w:rPr>
              <w:t xml:space="preserve">X. Revisión de la mortalidad a causa de pesquerías de las especies enumeradas en el Anexo 1 del </w:t>
            </w:r>
            <w:proofErr w:type="spellStart"/>
            <w:r w:rsidRPr="004F3975">
              <w:rPr>
                <w:rFonts w:eastAsia="Times New Roman" w:cs="Arial"/>
                <w:sz w:val="20"/>
                <w:szCs w:val="20"/>
                <w:lang w:val="es-ES" w:eastAsia="es-ES"/>
              </w:rPr>
              <w:t>MdE</w:t>
            </w:r>
            <w:proofErr w:type="spellEnd"/>
            <w:r w:rsidRPr="004F3975">
              <w:rPr>
                <w:rFonts w:eastAsia="Times New Roman" w:cs="Arial"/>
                <w:sz w:val="20"/>
                <w:szCs w:val="20"/>
                <w:lang w:val="es-ES" w:eastAsia="es-ES"/>
              </w:rPr>
              <w:t xml:space="preserve"> sobre los Tiburones y los Apéndices de la CMS</w:t>
            </w:r>
          </w:p>
        </w:tc>
      </w:tr>
      <w:tr w:rsidR="004F3975" w:rsidRPr="004F3975" w14:paraId="2EE3C129" w14:textId="77777777" w:rsidTr="00F31E2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2" w:type="pct"/>
            <w:hideMark/>
          </w:tcPr>
          <w:p w14:paraId="1FDE8242" w14:textId="77777777" w:rsidR="004F3975" w:rsidRPr="004F3975" w:rsidRDefault="004F3975" w:rsidP="004F3975">
            <w:pPr>
              <w:textAlignment w:val="baseline"/>
              <w:rPr>
                <w:rFonts w:eastAsia="Times New Roman" w:cs="Arial"/>
                <w:sz w:val="20"/>
                <w:szCs w:val="20"/>
                <w:lang w:val="es-ES" w:eastAsia="en-GB"/>
              </w:rPr>
            </w:pPr>
            <w:r w:rsidRPr="004F3975">
              <w:rPr>
                <w:rFonts w:eastAsia="Times New Roman" w:cs="Arial"/>
                <w:sz w:val="20"/>
                <w:szCs w:val="20"/>
                <w:lang w:val="es-ES" w:eastAsia="es-ES"/>
              </w:rPr>
              <w:t>x.1</w:t>
            </w:r>
          </w:p>
        </w:tc>
        <w:tc>
          <w:tcPr>
            <w:tcW w:w="1390" w:type="pct"/>
          </w:tcPr>
          <w:p w14:paraId="3637E4B6" w14:textId="77777777" w:rsidR="004F3975" w:rsidRPr="004F3975" w:rsidRDefault="004F3975" w:rsidP="004F3975">
            <w:pPr>
              <w:spacing w:after="24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val="es-ES" w:eastAsia="en-GB"/>
              </w:rPr>
            </w:pPr>
            <w:r w:rsidRPr="004F3975">
              <w:rPr>
                <w:rFonts w:eastAsia="Times New Roman" w:cs="Arial"/>
                <w:sz w:val="20"/>
                <w:szCs w:val="20"/>
                <w:lang w:val="es-ES" w:eastAsia="es-ES"/>
              </w:rPr>
              <w:t>Proporcionar apoyo técnico a la revisión.</w:t>
            </w:r>
          </w:p>
        </w:tc>
        <w:tc>
          <w:tcPr>
            <w:tcW w:w="476" w:type="pct"/>
          </w:tcPr>
          <w:p w14:paraId="194DDF94" w14:textId="77777777" w:rsidR="004F3975" w:rsidRPr="004F3975" w:rsidRDefault="004F3975" w:rsidP="004F397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 xml:space="preserve">Decisiones MOS4 </w:t>
            </w:r>
          </w:p>
        </w:tc>
        <w:tc>
          <w:tcPr>
            <w:tcW w:w="439" w:type="pct"/>
          </w:tcPr>
          <w:p w14:paraId="5B86F2DA" w14:textId="77777777" w:rsidR="004F3975" w:rsidRPr="004F3975" w:rsidRDefault="004F3975" w:rsidP="004F3975">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Por determinar</w:t>
            </w:r>
          </w:p>
        </w:tc>
        <w:tc>
          <w:tcPr>
            <w:tcW w:w="321" w:type="pct"/>
          </w:tcPr>
          <w:p w14:paraId="631F76FA" w14:textId="77777777" w:rsidR="004F3975" w:rsidRPr="004F3975" w:rsidRDefault="004F3975" w:rsidP="004F3975">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Por determinar</w:t>
            </w:r>
          </w:p>
        </w:tc>
        <w:tc>
          <w:tcPr>
            <w:tcW w:w="714" w:type="pct"/>
          </w:tcPr>
          <w:p w14:paraId="4924303C" w14:textId="77777777" w:rsidR="004F3975" w:rsidRPr="004F3975" w:rsidRDefault="004F3975" w:rsidP="004F3975">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CA</w:t>
            </w:r>
          </w:p>
        </w:tc>
        <w:tc>
          <w:tcPr>
            <w:tcW w:w="701" w:type="pct"/>
          </w:tcPr>
          <w:p w14:paraId="0C5B385B" w14:textId="77777777" w:rsidR="004F3975" w:rsidRPr="004F3975" w:rsidRDefault="004F3975" w:rsidP="004F397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highlight w:val="yellow"/>
                <w:lang w:val="es-ES" w:eastAsia="en-GB"/>
              </w:rPr>
            </w:pPr>
          </w:p>
        </w:tc>
        <w:tc>
          <w:tcPr>
            <w:tcW w:w="686" w:type="pct"/>
            <w:gridSpan w:val="2"/>
          </w:tcPr>
          <w:p w14:paraId="228DA445" w14:textId="77777777" w:rsidR="004F3975" w:rsidRPr="004F3975" w:rsidRDefault="004F3975" w:rsidP="004F397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highlight w:val="yellow"/>
                <w:lang w:val="es-ES" w:eastAsia="en-GB"/>
              </w:rPr>
            </w:pPr>
          </w:p>
        </w:tc>
      </w:tr>
      <w:tr w:rsidR="004F3975" w:rsidRPr="004F3975" w14:paraId="33CF95D5" w14:textId="77777777" w:rsidTr="00F31E24">
        <w:trPr>
          <w:trHeight w:val="850"/>
        </w:trPr>
        <w:tc>
          <w:tcPr>
            <w:cnfStyle w:val="001000000000" w:firstRow="0" w:lastRow="0" w:firstColumn="1" w:lastColumn="0" w:oddVBand="0" w:evenVBand="0" w:oddHBand="0" w:evenHBand="0" w:firstRowFirstColumn="0" w:firstRowLastColumn="0" w:lastRowFirstColumn="0" w:lastRowLastColumn="0"/>
            <w:tcW w:w="272" w:type="pct"/>
            <w:hideMark/>
          </w:tcPr>
          <w:p w14:paraId="7276106B" w14:textId="77777777" w:rsidR="004F3975" w:rsidRPr="004F3975" w:rsidRDefault="004F3975" w:rsidP="004F3975">
            <w:pPr>
              <w:textAlignment w:val="baseline"/>
              <w:rPr>
                <w:rFonts w:eastAsia="Times New Roman" w:cs="Arial"/>
                <w:sz w:val="20"/>
                <w:szCs w:val="20"/>
                <w:lang w:val="es-ES" w:eastAsia="en-GB"/>
              </w:rPr>
            </w:pPr>
            <w:r w:rsidRPr="004F3975">
              <w:rPr>
                <w:rFonts w:eastAsia="Times New Roman" w:cs="Arial"/>
                <w:sz w:val="20"/>
                <w:szCs w:val="20"/>
                <w:lang w:val="es-ES" w:eastAsia="es-ES"/>
              </w:rPr>
              <w:t>x.2 </w:t>
            </w:r>
          </w:p>
        </w:tc>
        <w:tc>
          <w:tcPr>
            <w:tcW w:w="1390" w:type="pct"/>
          </w:tcPr>
          <w:p w14:paraId="3660C07F"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Arial" w:cs="Arial"/>
                <w:bCs/>
                <w:sz w:val="20"/>
                <w:szCs w:val="20"/>
                <w:lang w:val="es-ES"/>
              </w:rPr>
            </w:pPr>
            <w:r w:rsidRPr="004F3975">
              <w:rPr>
                <w:rFonts w:eastAsia="Arial" w:cs="Arial"/>
                <w:bCs/>
                <w:sz w:val="20"/>
                <w:szCs w:val="20"/>
                <w:lang w:val="es-ES"/>
              </w:rPr>
              <w:t>Proporcionar apoyo financiero para la consecución del estudio piloto sobre las dos zonas de la FAO.</w:t>
            </w:r>
          </w:p>
        </w:tc>
        <w:tc>
          <w:tcPr>
            <w:tcW w:w="476" w:type="pct"/>
          </w:tcPr>
          <w:p w14:paraId="38C5AA12"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Decisiones MOS4</w:t>
            </w:r>
          </w:p>
        </w:tc>
        <w:tc>
          <w:tcPr>
            <w:tcW w:w="439" w:type="pct"/>
          </w:tcPr>
          <w:p w14:paraId="121A3787" w14:textId="77777777" w:rsidR="004F3975" w:rsidRPr="004F3975" w:rsidRDefault="004F3975" w:rsidP="004F3975">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Por determinar</w:t>
            </w:r>
          </w:p>
        </w:tc>
        <w:tc>
          <w:tcPr>
            <w:tcW w:w="321" w:type="pct"/>
          </w:tcPr>
          <w:p w14:paraId="12D0F85C" w14:textId="77777777" w:rsidR="004F3975" w:rsidRPr="004F3975" w:rsidRDefault="004F3975" w:rsidP="004F3975">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Por determinar</w:t>
            </w:r>
          </w:p>
        </w:tc>
        <w:tc>
          <w:tcPr>
            <w:tcW w:w="714" w:type="pct"/>
          </w:tcPr>
          <w:p w14:paraId="75D48B61"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 xml:space="preserve">SIG (SEC: si se proporcionaron fondos a través de la Secretaría) </w:t>
            </w:r>
          </w:p>
        </w:tc>
        <w:tc>
          <w:tcPr>
            <w:tcW w:w="701" w:type="pct"/>
          </w:tcPr>
          <w:p w14:paraId="75F3FDA6"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50 000 EUR</w:t>
            </w:r>
          </w:p>
          <w:p w14:paraId="2C56BB6C"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p w14:paraId="1660EA4A"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(asesoramiento: la financiación ya se encuentra disponible)</w:t>
            </w:r>
          </w:p>
          <w:p w14:paraId="1F08DA5F"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p w14:paraId="31AE3EE9"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tc>
        <w:tc>
          <w:tcPr>
            <w:tcW w:w="686" w:type="pct"/>
            <w:gridSpan w:val="2"/>
          </w:tcPr>
          <w:p w14:paraId="04B046AB"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Personal profesional: 10</w:t>
            </w:r>
          </w:p>
          <w:p w14:paraId="7993AF50"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Personal de servicios generales: 1</w:t>
            </w:r>
          </w:p>
          <w:p w14:paraId="31B97BD0" w14:textId="77777777" w:rsidR="004F3975" w:rsidRPr="004F3975" w:rsidRDefault="004F3975" w:rsidP="004F397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4F3975">
              <w:rPr>
                <w:rFonts w:eastAsia="Times New Roman" w:cs="Arial"/>
                <w:sz w:val="20"/>
                <w:szCs w:val="20"/>
                <w:lang w:val="es-ES" w:eastAsia="es-ES"/>
              </w:rPr>
              <w:t>(gestión de los acuerdos de los donantes, contratación y supervisión del asesor)</w:t>
            </w:r>
          </w:p>
        </w:tc>
      </w:tr>
      <w:tr w:rsidR="004F3975" w:rsidRPr="004F3975" w14:paraId="2405B101" w14:textId="77777777" w:rsidTr="00F31E2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72" w:type="pct"/>
          </w:tcPr>
          <w:p w14:paraId="3DB3D9DB" w14:textId="77777777" w:rsidR="004F3975" w:rsidRPr="004F3975" w:rsidRDefault="004F3975" w:rsidP="004F3975">
            <w:pPr>
              <w:textAlignment w:val="baseline"/>
              <w:rPr>
                <w:rFonts w:eastAsia="Times New Roman" w:cs="Arial"/>
                <w:sz w:val="20"/>
                <w:szCs w:val="20"/>
                <w:lang w:val="es-ES" w:eastAsia="en-GB"/>
              </w:rPr>
            </w:pPr>
          </w:p>
        </w:tc>
        <w:tc>
          <w:tcPr>
            <w:tcW w:w="1390" w:type="pct"/>
          </w:tcPr>
          <w:p w14:paraId="37B9795B" w14:textId="77777777" w:rsidR="004F3975" w:rsidRPr="004F3975" w:rsidRDefault="004F3975" w:rsidP="004F3975">
            <w:pPr>
              <w:textAlignment w:val="baseline"/>
              <w:cnfStyle w:val="000000100000" w:firstRow="0" w:lastRow="0" w:firstColumn="0" w:lastColumn="0" w:oddVBand="0" w:evenVBand="0" w:oddHBand="1" w:evenHBand="0" w:firstRowFirstColumn="0" w:firstRowLastColumn="0" w:lastRowFirstColumn="0" w:lastRowLastColumn="0"/>
              <w:rPr>
                <w:rFonts w:eastAsia="Arial" w:cs="Arial"/>
                <w:bCs/>
                <w:sz w:val="20"/>
                <w:szCs w:val="20"/>
                <w:lang w:val="es-ES"/>
              </w:rPr>
            </w:pPr>
          </w:p>
        </w:tc>
        <w:tc>
          <w:tcPr>
            <w:tcW w:w="476" w:type="pct"/>
          </w:tcPr>
          <w:p w14:paraId="617166E2" w14:textId="77777777" w:rsidR="004F3975" w:rsidRPr="004F3975" w:rsidRDefault="004F3975" w:rsidP="004F397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439" w:type="pct"/>
          </w:tcPr>
          <w:p w14:paraId="5684C93D" w14:textId="77777777" w:rsidR="004F3975" w:rsidRPr="004F3975" w:rsidRDefault="004F3975" w:rsidP="004F3975">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321" w:type="pct"/>
          </w:tcPr>
          <w:p w14:paraId="3F28FA88" w14:textId="77777777" w:rsidR="004F3975" w:rsidRPr="004F3975" w:rsidRDefault="004F3975" w:rsidP="004F3975">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714" w:type="pct"/>
          </w:tcPr>
          <w:p w14:paraId="2220174A" w14:textId="77777777" w:rsidR="004F3975" w:rsidRPr="004F3975" w:rsidRDefault="004F3975" w:rsidP="004F397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701" w:type="pct"/>
          </w:tcPr>
          <w:p w14:paraId="442A2A3B" w14:textId="77777777" w:rsidR="004F3975" w:rsidRPr="004F3975" w:rsidRDefault="004F3975" w:rsidP="004F397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c>
          <w:tcPr>
            <w:tcW w:w="686" w:type="pct"/>
            <w:gridSpan w:val="2"/>
          </w:tcPr>
          <w:p w14:paraId="20A2E3B1" w14:textId="77777777" w:rsidR="004F3975" w:rsidRPr="004F3975" w:rsidRDefault="004F3975" w:rsidP="004F397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r>
      <w:bookmarkEnd w:id="2"/>
    </w:tbl>
    <w:p w14:paraId="09643395" w14:textId="77777777" w:rsidR="004F3975" w:rsidRPr="004F3975" w:rsidRDefault="004F3975" w:rsidP="004F3975">
      <w:pPr>
        <w:widowControl w:val="0"/>
        <w:autoSpaceDE w:val="0"/>
        <w:autoSpaceDN w:val="0"/>
        <w:adjustRightInd w:val="0"/>
        <w:spacing w:after="0" w:line="240" w:lineRule="auto"/>
        <w:ind w:right="252"/>
        <w:jc w:val="center"/>
        <w:rPr>
          <w:rFonts w:ascii="Arial" w:eastAsia="Times New Roman" w:hAnsi="Arial" w:cs="Arial"/>
          <w:bCs/>
          <w:iCs/>
          <w:lang w:val="es-ES"/>
        </w:rPr>
      </w:pPr>
    </w:p>
    <w:p w14:paraId="641B81CA" w14:textId="77777777" w:rsidR="004F3975" w:rsidRPr="004F3975" w:rsidRDefault="004F3975" w:rsidP="004F3975">
      <w:pPr>
        <w:widowControl w:val="0"/>
        <w:autoSpaceDE w:val="0"/>
        <w:autoSpaceDN w:val="0"/>
        <w:adjustRightInd w:val="0"/>
        <w:spacing w:after="0" w:line="240" w:lineRule="auto"/>
        <w:ind w:right="252"/>
        <w:jc w:val="center"/>
        <w:rPr>
          <w:rFonts w:ascii="Arial" w:eastAsia="Times New Roman" w:hAnsi="Arial" w:cs="Arial"/>
          <w:bCs/>
          <w:iCs/>
          <w:lang w:val="es-ES"/>
        </w:rPr>
      </w:pPr>
    </w:p>
    <w:p w14:paraId="6BE789F4" w14:textId="77777777" w:rsidR="004F3975" w:rsidRPr="004F3975" w:rsidRDefault="004F3975" w:rsidP="004F3975">
      <w:pPr>
        <w:widowControl w:val="0"/>
        <w:autoSpaceDE w:val="0"/>
        <w:autoSpaceDN w:val="0"/>
        <w:adjustRightInd w:val="0"/>
        <w:spacing w:after="0" w:line="240" w:lineRule="auto"/>
        <w:ind w:right="252"/>
        <w:jc w:val="both"/>
        <w:rPr>
          <w:rFonts w:ascii="Arial" w:eastAsia="Times New Roman" w:hAnsi="Arial" w:cs="Times New Roman"/>
          <w:szCs w:val="32"/>
          <w:lang w:val="es-ES"/>
        </w:rPr>
      </w:pPr>
    </w:p>
    <w:p w14:paraId="28352F0E" w14:textId="77777777" w:rsidR="004F3975" w:rsidRPr="00E966DE" w:rsidRDefault="004F3975" w:rsidP="00E966DE">
      <w:pPr>
        <w:widowControl w:val="0"/>
        <w:autoSpaceDE w:val="0"/>
        <w:autoSpaceDN w:val="0"/>
        <w:adjustRightInd w:val="0"/>
        <w:spacing w:after="0" w:line="240" w:lineRule="auto"/>
        <w:jc w:val="both"/>
        <w:rPr>
          <w:rFonts w:ascii="Arial" w:eastAsia="Times New Roman" w:hAnsi="Arial" w:cs="Arial"/>
          <w:lang w:val="es-ES"/>
        </w:rPr>
      </w:pPr>
    </w:p>
    <w:sectPr w:rsidR="004F3975" w:rsidRPr="00E966DE" w:rsidSect="00FF6AF2">
      <w:headerReference w:type="first" r:id="rId21"/>
      <w:pgSz w:w="16838" w:h="11906" w:orient="landscape" w:code="9"/>
      <w:pgMar w:top="1138" w:right="1138" w:bottom="1138" w:left="1138"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892" w14:textId="77777777" w:rsidR="00E966DE" w:rsidRDefault="00E966DE" w:rsidP="00E966DE">
      <w:pPr>
        <w:spacing w:after="0" w:line="240" w:lineRule="auto"/>
      </w:pPr>
      <w:r>
        <w:separator/>
      </w:r>
    </w:p>
  </w:endnote>
  <w:endnote w:type="continuationSeparator" w:id="0">
    <w:p w14:paraId="06AB7F87" w14:textId="77777777" w:rsidR="00E966DE" w:rsidRDefault="00E966DE" w:rsidP="00E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40849"/>
      <w:docPartObj>
        <w:docPartGallery w:val="Page Numbers (Bottom of Page)"/>
        <w:docPartUnique/>
      </w:docPartObj>
    </w:sdtPr>
    <w:sdtEndPr>
      <w:rPr>
        <w:rFonts w:ascii="Arial" w:hAnsi="Arial" w:cs="Arial"/>
        <w:noProof/>
        <w:sz w:val="18"/>
        <w:szCs w:val="18"/>
      </w:rPr>
    </w:sdtEndPr>
    <w:sdtContent>
      <w:p w14:paraId="7FF59FB6" w14:textId="5F562366"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4001"/>
      <w:docPartObj>
        <w:docPartGallery w:val="Page Numbers (Bottom of Page)"/>
        <w:docPartUnique/>
      </w:docPartObj>
    </w:sdtPr>
    <w:sdtEndPr>
      <w:rPr>
        <w:rFonts w:ascii="Arial" w:hAnsi="Arial" w:cs="Arial"/>
        <w:noProof/>
        <w:sz w:val="18"/>
        <w:szCs w:val="18"/>
      </w:rPr>
    </w:sdtEndPr>
    <w:sdtContent>
      <w:p w14:paraId="1D3B48F7" w14:textId="4E29EF9C"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6746" w14:textId="0EF203E2" w:rsidR="003E6A17" w:rsidRPr="003E6A17" w:rsidRDefault="003E6A17">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16534"/>
      <w:docPartObj>
        <w:docPartGallery w:val="Page Numbers (Bottom of Page)"/>
        <w:docPartUnique/>
      </w:docPartObj>
    </w:sdtPr>
    <w:sdtEndPr>
      <w:rPr>
        <w:rFonts w:ascii="Arial" w:hAnsi="Arial" w:cs="Arial"/>
        <w:noProof/>
        <w:sz w:val="18"/>
        <w:szCs w:val="18"/>
      </w:rPr>
    </w:sdtEndPr>
    <w:sdtContent>
      <w:p w14:paraId="5F72160F" w14:textId="4728C95C" w:rsidR="002C05A9" w:rsidRPr="002C05A9" w:rsidRDefault="002C05A9">
        <w:pPr>
          <w:pStyle w:val="Footer"/>
          <w:jc w:val="center"/>
          <w:rPr>
            <w:rFonts w:ascii="Arial" w:hAnsi="Arial" w:cs="Arial"/>
            <w:sz w:val="18"/>
            <w:szCs w:val="18"/>
          </w:rPr>
        </w:pPr>
        <w:r w:rsidRPr="002C05A9">
          <w:rPr>
            <w:rFonts w:ascii="Arial" w:hAnsi="Arial" w:cs="Arial"/>
            <w:sz w:val="18"/>
            <w:szCs w:val="18"/>
          </w:rPr>
          <w:fldChar w:fldCharType="begin"/>
        </w:r>
        <w:r w:rsidRPr="002C05A9">
          <w:rPr>
            <w:rFonts w:ascii="Arial" w:hAnsi="Arial" w:cs="Arial"/>
            <w:sz w:val="18"/>
            <w:szCs w:val="18"/>
          </w:rPr>
          <w:instrText xml:space="preserve"> PAGE   \* MERGEFORMAT </w:instrText>
        </w:r>
        <w:r w:rsidRPr="002C05A9">
          <w:rPr>
            <w:rFonts w:ascii="Arial" w:hAnsi="Arial" w:cs="Arial"/>
            <w:sz w:val="18"/>
            <w:szCs w:val="18"/>
          </w:rPr>
          <w:fldChar w:fldCharType="separate"/>
        </w:r>
        <w:r w:rsidRPr="002C05A9">
          <w:rPr>
            <w:rFonts w:ascii="Arial" w:hAnsi="Arial" w:cs="Arial"/>
            <w:noProof/>
            <w:sz w:val="18"/>
            <w:szCs w:val="18"/>
          </w:rPr>
          <w:t>2</w:t>
        </w:r>
        <w:r w:rsidRPr="002C05A9">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1A9F" w14:textId="77777777" w:rsidR="00E966DE" w:rsidRDefault="00E966DE" w:rsidP="00E966DE">
      <w:pPr>
        <w:spacing w:after="0" w:line="240" w:lineRule="auto"/>
      </w:pPr>
      <w:r>
        <w:separator/>
      </w:r>
    </w:p>
  </w:footnote>
  <w:footnote w:type="continuationSeparator" w:id="0">
    <w:p w14:paraId="25854B90" w14:textId="77777777" w:rsidR="00E966DE" w:rsidRDefault="00E966DE" w:rsidP="00E966DE">
      <w:pPr>
        <w:spacing w:after="0" w:line="240" w:lineRule="auto"/>
      </w:pPr>
      <w:r>
        <w:continuationSeparator/>
      </w:r>
    </w:p>
  </w:footnote>
  <w:footnote w:id="1">
    <w:p w14:paraId="29E4C344" w14:textId="77777777" w:rsidR="004F3975" w:rsidRPr="000C606C" w:rsidRDefault="004F3975" w:rsidP="004F3975">
      <w:pPr>
        <w:pStyle w:val="FootnoteText"/>
        <w:jc w:val="both"/>
        <w:rPr>
          <w:rFonts w:ascii="Arial" w:hAnsi="Arial" w:cs="Arial"/>
          <w:sz w:val="16"/>
          <w:szCs w:val="16"/>
          <w:lang w:val="es-ES"/>
        </w:rPr>
      </w:pPr>
      <w:r w:rsidRPr="00FF6AF2">
        <w:rPr>
          <w:rStyle w:val="FootnoteReference"/>
          <w:rFonts w:ascii="Arial" w:hAnsi="Arial" w:cs="Arial"/>
          <w:sz w:val="16"/>
          <w:szCs w:val="16"/>
        </w:rPr>
        <w:footnoteRef/>
      </w:r>
      <w:r w:rsidRPr="000C606C">
        <w:rPr>
          <w:rFonts w:ascii="Arial" w:hAnsi="Arial" w:cs="Arial"/>
          <w:sz w:val="16"/>
          <w:szCs w:val="16"/>
          <w:lang w:val="es-ES"/>
        </w:rPr>
        <w:t xml:space="preserve"> </w:t>
      </w:r>
      <w:r w:rsidRPr="000C606C">
        <w:rPr>
          <w:rStyle w:val="cf01"/>
          <w:rFonts w:ascii="Arial" w:hAnsi="Arial" w:cs="Arial"/>
          <w:sz w:val="16"/>
          <w:szCs w:val="16"/>
          <w:lang w:val="es-ES"/>
        </w:rPr>
        <w:t>La definición incluye aquellos elementos de las capturas que pueden describirse como "captura incidental".</w:t>
      </w:r>
    </w:p>
  </w:footnote>
  <w:footnote w:id="2">
    <w:p w14:paraId="4823DE52" w14:textId="77777777" w:rsidR="004F3975" w:rsidRPr="000C606C" w:rsidRDefault="004F3975" w:rsidP="004F3975">
      <w:pPr>
        <w:pStyle w:val="FootnoteText"/>
        <w:jc w:val="both"/>
        <w:rPr>
          <w:rFonts w:ascii="Arial" w:hAnsi="Arial" w:cs="Arial"/>
          <w:sz w:val="16"/>
          <w:szCs w:val="16"/>
          <w:lang w:val="es-ES"/>
        </w:rPr>
      </w:pPr>
      <w:r w:rsidRPr="00FF6AF2">
        <w:rPr>
          <w:rStyle w:val="FootnoteReference"/>
          <w:rFonts w:ascii="Arial" w:hAnsi="Arial" w:cs="Arial"/>
          <w:sz w:val="16"/>
          <w:szCs w:val="16"/>
        </w:rPr>
        <w:footnoteRef/>
      </w:r>
      <w:r w:rsidRPr="000C606C">
        <w:rPr>
          <w:rFonts w:ascii="Arial" w:hAnsi="Arial" w:cs="Arial"/>
          <w:sz w:val="16"/>
          <w:szCs w:val="16"/>
          <w:lang w:val="es-ES"/>
        </w:rPr>
        <w:t xml:space="preserve"> Según el </w:t>
      </w:r>
      <w:proofErr w:type="spellStart"/>
      <w:r w:rsidRPr="000C606C">
        <w:rPr>
          <w:rFonts w:ascii="Arial" w:hAnsi="Arial" w:cs="Arial"/>
          <w:sz w:val="16"/>
          <w:szCs w:val="16"/>
          <w:lang w:val="es-ES"/>
        </w:rPr>
        <w:t>MdE</w:t>
      </w:r>
      <w:proofErr w:type="spellEnd"/>
      <w:r w:rsidRPr="000C606C">
        <w:rPr>
          <w:rFonts w:ascii="Arial" w:hAnsi="Arial" w:cs="Arial"/>
          <w:sz w:val="16"/>
          <w:szCs w:val="16"/>
          <w:lang w:val="es-ES"/>
        </w:rPr>
        <w:t xml:space="preserve"> sobre los Tiburones, el término "tiburón" se usará aquí en referencia a cualquier especie de la clase </w:t>
      </w:r>
      <w:proofErr w:type="spellStart"/>
      <w:r w:rsidRPr="000C606C">
        <w:rPr>
          <w:rFonts w:ascii="Arial" w:hAnsi="Arial" w:cs="Arial"/>
          <w:sz w:val="16"/>
          <w:szCs w:val="16"/>
          <w:lang w:val="es-ES"/>
        </w:rPr>
        <w:t>Chondrichthyes</w:t>
      </w:r>
      <w:proofErr w:type="spellEnd"/>
      <w:r w:rsidRPr="000C606C">
        <w:rPr>
          <w:rFonts w:ascii="Arial" w:hAnsi="Arial" w:cs="Arial"/>
          <w:sz w:val="16"/>
          <w:szCs w:val="16"/>
          <w:lang w:val="es-ES"/>
        </w:rPr>
        <w:t xml:space="preserve"> (= clase </w:t>
      </w:r>
      <w:proofErr w:type="spellStart"/>
      <w:r w:rsidRPr="000C606C">
        <w:rPr>
          <w:rFonts w:ascii="Arial" w:hAnsi="Arial" w:cs="Arial"/>
          <w:sz w:val="16"/>
          <w:szCs w:val="16"/>
          <w:lang w:val="es-ES"/>
        </w:rPr>
        <w:t>Elasmobranchii</w:t>
      </w:r>
      <w:proofErr w:type="spellEnd"/>
      <w:r w:rsidRPr="000C606C">
        <w:rPr>
          <w:rFonts w:ascii="Arial" w:hAnsi="Arial" w:cs="Arial"/>
          <w:sz w:val="16"/>
          <w:szCs w:val="16"/>
          <w:lang w:val="es-ES"/>
        </w:rPr>
        <w:t xml:space="preserve"> y clase </w:t>
      </w:r>
      <w:proofErr w:type="spellStart"/>
      <w:r w:rsidRPr="000C606C">
        <w:rPr>
          <w:rFonts w:ascii="Arial" w:hAnsi="Arial" w:cs="Arial"/>
          <w:sz w:val="16"/>
          <w:szCs w:val="16"/>
          <w:lang w:val="es-ES"/>
        </w:rPr>
        <w:t>Holocephali</w:t>
      </w:r>
      <w:proofErr w:type="spellEnd"/>
      <w:r w:rsidRPr="000C606C">
        <w:rPr>
          <w:rFonts w:ascii="Arial" w:hAnsi="Arial" w:cs="Arial"/>
          <w:sz w:val="16"/>
          <w:szCs w:val="16"/>
          <w:lang w:val="es-ES"/>
        </w:rPr>
        <w:t>) e incluye a los tiburones, mantas, rayas y quimeras.</w:t>
      </w:r>
    </w:p>
  </w:footnote>
  <w:footnote w:id="3">
    <w:p w14:paraId="2314C8BB" w14:textId="77777777" w:rsidR="004F3975" w:rsidRPr="000C606C" w:rsidRDefault="004F3975" w:rsidP="004F3975">
      <w:pPr>
        <w:pStyle w:val="FootnoteText"/>
        <w:jc w:val="both"/>
        <w:rPr>
          <w:rFonts w:ascii="Arial" w:hAnsi="Arial" w:cs="Arial"/>
          <w:sz w:val="16"/>
          <w:szCs w:val="16"/>
          <w:lang w:val="es-ES"/>
        </w:rPr>
      </w:pPr>
      <w:r w:rsidRPr="00FF6AF2">
        <w:rPr>
          <w:rStyle w:val="FootnoteReference"/>
          <w:rFonts w:ascii="Arial" w:hAnsi="Arial" w:cs="Arial"/>
          <w:sz w:val="16"/>
          <w:szCs w:val="16"/>
        </w:rPr>
        <w:footnoteRef/>
      </w:r>
      <w:r w:rsidRPr="000C606C">
        <w:rPr>
          <w:rFonts w:ascii="Arial" w:hAnsi="Arial" w:cs="Arial"/>
          <w:sz w:val="16"/>
          <w:szCs w:val="16"/>
          <w:lang w:val="es-ES"/>
        </w:rPr>
        <w:t xml:space="preserve"> Solo se enumeran las poblaciones del hemisferio Norte.</w:t>
      </w:r>
    </w:p>
  </w:footnote>
  <w:footnote w:id="4">
    <w:p w14:paraId="6F6578B6" w14:textId="77777777" w:rsidR="004F3975" w:rsidRPr="000C606C" w:rsidRDefault="004F3975" w:rsidP="004F3975">
      <w:pPr>
        <w:pStyle w:val="FootnoteText"/>
        <w:jc w:val="both"/>
        <w:rPr>
          <w:rFonts w:ascii="Arial" w:hAnsi="Arial" w:cs="Arial"/>
          <w:sz w:val="16"/>
          <w:szCs w:val="16"/>
          <w:lang w:val="es-ES"/>
        </w:rPr>
      </w:pPr>
      <w:r w:rsidRPr="00FF6AF2">
        <w:rPr>
          <w:rStyle w:val="FootnoteReference"/>
          <w:rFonts w:ascii="Arial" w:hAnsi="Arial" w:cs="Arial"/>
          <w:sz w:val="16"/>
          <w:szCs w:val="16"/>
        </w:rPr>
        <w:footnoteRef/>
      </w:r>
      <w:r w:rsidRPr="000C606C">
        <w:rPr>
          <w:rFonts w:ascii="Arial" w:hAnsi="Arial" w:cs="Arial"/>
          <w:sz w:val="16"/>
          <w:szCs w:val="16"/>
          <w:lang w:val="es-ES"/>
        </w:rPr>
        <w:t xml:space="preserve">  </w:t>
      </w:r>
      <w:bookmarkStart w:id="1" w:name="_Hlk122515827"/>
      <w:r w:rsidRPr="000C606C">
        <w:rPr>
          <w:rFonts w:ascii="Arial" w:hAnsi="Arial" w:cs="Arial"/>
          <w:sz w:val="16"/>
          <w:szCs w:val="16"/>
          <w:lang w:val="es-ES"/>
        </w:rPr>
        <w:t xml:space="preserve">El 18 de octubre de 2021, un palangrero comercial avistó un tiburón ballena </w:t>
      </w:r>
      <w:proofErr w:type="spellStart"/>
      <w:r w:rsidRPr="000C606C">
        <w:rPr>
          <w:rFonts w:ascii="Arial" w:hAnsi="Arial" w:cs="Arial"/>
          <w:sz w:val="16"/>
          <w:szCs w:val="16"/>
          <w:lang w:val="es-ES"/>
        </w:rPr>
        <w:t>Rhincodon</w:t>
      </w:r>
      <w:proofErr w:type="spellEnd"/>
      <w:r w:rsidRPr="000C606C">
        <w:rPr>
          <w:rFonts w:ascii="Arial" w:hAnsi="Arial" w:cs="Arial"/>
          <w:sz w:val="16"/>
          <w:szCs w:val="16"/>
          <w:lang w:val="es-ES"/>
        </w:rPr>
        <w:t xml:space="preserve"> </w:t>
      </w:r>
      <w:proofErr w:type="spellStart"/>
      <w:r w:rsidRPr="000C606C">
        <w:rPr>
          <w:rFonts w:ascii="Arial" w:hAnsi="Arial" w:cs="Arial"/>
          <w:sz w:val="16"/>
          <w:szCs w:val="16"/>
          <w:lang w:val="es-ES"/>
        </w:rPr>
        <w:t>typus</w:t>
      </w:r>
      <w:proofErr w:type="spellEnd"/>
      <w:r w:rsidRPr="000C606C">
        <w:rPr>
          <w:rFonts w:ascii="Arial" w:hAnsi="Arial" w:cs="Arial"/>
          <w:sz w:val="16"/>
          <w:szCs w:val="16"/>
          <w:lang w:val="es-ES"/>
        </w:rPr>
        <w:t xml:space="preserve"> Smith, 1828 en la costa de </w:t>
      </w:r>
      <w:proofErr w:type="spellStart"/>
      <w:r w:rsidRPr="000C606C">
        <w:rPr>
          <w:rFonts w:ascii="Arial" w:hAnsi="Arial" w:cs="Arial"/>
          <w:sz w:val="16"/>
          <w:szCs w:val="16"/>
          <w:lang w:val="es-ES"/>
        </w:rPr>
        <w:t>Samandağ</w:t>
      </w:r>
      <w:proofErr w:type="spellEnd"/>
      <w:r w:rsidRPr="000C606C">
        <w:rPr>
          <w:rFonts w:ascii="Arial" w:hAnsi="Arial" w:cs="Arial"/>
          <w:sz w:val="16"/>
          <w:szCs w:val="16"/>
          <w:lang w:val="es-ES"/>
        </w:rPr>
        <w:t xml:space="preserve"> (ciudad de Hatay, Turquía, noroeste del mar Mediterráneo). (véase: </w:t>
      </w:r>
      <w:hyperlink r:id="rId1" w:history="1">
        <w:r w:rsidRPr="000C606C">
          <w:rPr>
            <w:rStyle w:val="Hyperlink"/>
            <w:rFonts w:ascii="Arial" w:hAnsi="Arial" w:cs="Arial"/>
            <w:sz w:val="16"/>
            <w:szCs w:val="16"/>
            <w:lang w:val="es-ES"/>
          </w:rPr>
          <w:t xml:space="preserve">Turan, </w:t>
        </w:r>
        <w:proofErr w:type="spellStart"/>
        <w:r w:rsidRPr="000C606C">
          <w:rPr>
            <w:rStyle w:val="Hyperlink"/>
            <w:rFonts w:ascii="Arial" w:hAnsi="Arial" w:cs="Arial"/>
            <w:sz w:val="16"/>
            <w:szCs w:val="16"/>
            <w:lang w:val="es-ES"/>
          </w:rPr>
          <w:t>Cemal</w:t>
        </w:r>
        <w:proofErr w:type="spellEnd"/>
        <w:r w:rsidRPr="000C606C">
          <w:rPr>
            <w:rStyle w:val="Hyperlink"/>
            <w:rFonts w:ascii="Arial" w:hAnsi="Arial" w:cs="Arial"/>
            <w:sz w:val="16"/>
            <w:szCs w:val="16"/>
            <w:lang w:val="es-ES"/>
          </w:rPr>
          <w:t xml:space="preserve"> &amp; </w:t>
        </w:r>
        <w:proofErr w:type="spellStart"/>
        <w:r w:rsidRPr="000C606C">
          <w:rPr>
            <w:rStyle w:val="Hyperlink"/>
            <w:rFonts w:ascii="Arial" w:hAnsi="Arial" w:cs="Arial"/>
            <w:sz w:val="16"/>
            <w:szCs w:val="16"/>
            <w:lang w:val="es-ES"/>
          </w:rPr>
          <w:t>Gürlek</w:t>
        </w:r>
        <w:proofErr w:type="spellEnd"/>
        <w:r w:rsidRPr="000C606C">
          <w:rPr>
            <w:rStyle w:val="Hyperlink"/>
            <w:rFonts w:ascii="Arial" w:hAnsi="Arial" w:cs="Arial"/>
            <w:sz w:val="16"/>
            <w:szCs w:val="16"/>
            <w:lang w:val="es-ES"/>
          </w:rPr>
          <w:t xml:space="preserve">, </w:t>
        </w:r>
        <w:proofErr w:type="spellStart"/>
        <w:r w:rsidRPr="000C606C">
          <w:rPr>
            <w:rStyle w:val="Hyperlink"/>
            <w:rFonts w:ascii="Arial" w:hAnsi="Arial" w:cs="Arial"/>
            <w:sz w:val="16"/>
            <w:szCs w:val="16"/>
            <w:lang w:val="es-ES"/>
          </w:rPr>
          <w:t>Mevlüt</w:t>
        </w:r>
        <w:proofErr w:type="spellEnd"/>
        <w:r w:rsidRPr="000C606C">
          <w:rPr>
            <w:rStyle w:val="Hyperlink"/>
            <w:rFonts w:ascii="Arial" w:hAnsi="Arial" w:cs="Arial"/>
            <w:sz w:val="16"/>
            <w:szCs w:val="16"/>
            <w:lang w:val="es-ES"/>
          </w:rPr>
          <w:t xml:space="preserve"> &amp; </w:t>
        </w:r>
        <w:proofErr w:type="spellStart"/>
        <w:r w:rsidRPr="000C606C">
          <w:rPr>
            <w:rStyle w:val="Hyperlink"/>
            <w:rFonts w:ascii="Arial" w:hAnsi="Arial" w:cs="Arial"/>
            <w:sz w:val="16"/>
            <w:szCs w:val="16"/>
            <w:lang w:val="es-ES"/>
          </w:rPr>
          <w:t>Ergüden</w:t>
        </w:r>
        <w:proofErr w:type="spellEnd"/>
        <w:r w:rsidRPr="000C606C">
          <w:rPr>
            <w:rStyle w:val="Hyperlink"/>
            <w:rFonts w:ascii="Arial" w:hAnsi="Arial" w:cs="Arial"/>
            <w:sz w:val="16"/>
            <w:szCs w:val="16"/>
            <w:lang w:val="es-ES"/>
          </w:rPr>
          <w:t xml:space="preserve">, Deniz &amp; </w:t>
        </w:r>
        <w:proofErr w:type="spellStart"/>
        <w:r w:rsidRPr="000C606C">
          <w:rPr>
            <w:rStyle w:val="Hyperlink"/>
            <w:rFonts w:ascii="Arial" w:hAnsi="Arial" w:cs="Arial"/>
            <w:sz w:val="16"/>
            <w:szCs w:val="16"/>
            <w:lang w:val="es-ES"/>
          </w:rPr>
          <w:t>Kabasakal</w:t>
        </w:r>
        <w:proofErr w:type="spellEnd"/>
        <w:r w:rsidRPr="000C606C">
          <w:rPr>
            <w:rStyle w:val="Hyperlink"/>
            <w:rFonts w:ascii="Arial" w:hAnsi="Arial" w:cs="Arial"/>
            <w:sz w:val="16"/>
            <w:szCs w:val="16"/>
            <w:lang w:val="es-ES"/>
          </w:rPr>
          <w:t>, Hakan. (2021). UN NUEVO REGISTRO DE LA FAUNA DE LOS TIBURONES DEL MAR MEDITERRÁNEO: TIBURÓN BALLENA, RHINCODON TYPUS (ORECTOLOBIFORMES: RHINCODONTIDAE). 10.19233/ASHN.2021.20</w:t>
        </w:r>
      </w:hyperlink>
      <w:r w:rsidRPr="000C606C">
        <w:rPr>
          <w:rFonts w:ascii="Arial" w:hAnsi="Arial" w:cs="Arial"/>
          <w:sz w:val="16"/>
          <w:szCs w:val="16"/>
          <w:lang w:val="es-ES"/>
        </w:rPr>
        <w:t>.)</w:t>
      </w:r>
      <w:bookmarkEnd w:id="1"/>
    </w:p>
  </w:footnote>
  <w:footnote w:id="5">
    <w:p w14:paraId="22D4C299" w14:textId="77777777" w:rsidR="004F3975" w:rsidRPr="000C606C" w:rsidRDefault="004F3975" w:rsidP="004F3975">
      <w:pPr>
        <w:pStyle w:val="FootnoteText"/>
        <w:jc w:val="both"/>
        <w:rPr>
          <w:rFonts w:ascii="Arial" w:hAnsi="Arial" w:cs="Arial"/>
          <w:sz w:val="16"/>
          <w:szCs w:val="16"/>
          <w:lang w:val="es-ES"/>
        </w:rPr>
      </w:pPr>
      <w:r w:rsidRPr="00FF6AF2">
        <w:rPr>
          <w:rStyle w:val="FootnoteReference"/>
          <w:rFonts w:ascii="Arial" w:hAnsi="Arial" w:cs="Arial"/>
          <w:sz w:val="16"/>
          <w:szCs w:val="16"/>
        </w:rPr>
        <w:footnoteRef/>
      </w:r>
      <w:r w:rsidRPr="000C606C">
        <w:rPr>
          <w:rFonts w:ascii="Arial" w:hAnsi="Arial" w:cs="Arial"/>
          <w:sz w:val="16"/>
          <w:szCs w:val="16"/>
          <w:lang w:val="es-ES"/>
        </w:rPr>
        <w:t xml:space="preserve"> Incluye </w:t>
      </w:r>
      <w:r w:rsidRPr="000C606C">
        <w:rPr>
          <w:rFonts w:ascii="Arial" w:hAnsi="Arial" w:cs="Arial"/>
          <w:i/>
          <w:iCs/>
          <w:sz w:val="16"/>
          <w:szCs w:val="16"/>
          <w:lang w:val="es-ES"/>
        </w:rPr>
        <w:t xml:space="preserve">M. </w:t>
      </w:r>
      <w:proofErr w:type="spellStart"/>
      <w:r w:rsidRPr="000C606C">
        <w:rPr>
          <w:rFonts w:ascii="Arial" w:hAnsi="Arial" w:cs="Arial"/>
          <w:i/>
          <w:iCs/>
          <w:sz w:val="16"/>
          <w:szCs w:val="16"/>
          <w:lang w:val="es-ES"/>
        </w:rPr>
        <w:t>rochebrunei</w:t>
      </w:r>
      <w:proofErr w:type="spellEnd"/>
      <w:r w:rsidRPr="000C606C">
        <w:rPr>
          <w:rFonts w:ascii="Arial" w:hAnsi="Arial" w:cs="Arial"/>
          <w:sz w:val="16"/>
          <w:szCs w:val="16"/>
          <w:lang w:val="es-ES"/>
        </w:rPr>
        <w:t>.</w:t>
      </w:r>
    </w:p>
  </w:footnote>
  <w:footnote w:id="6">
    <w:p w14:paraId="573A3163" w14:textId="77777777" w:rsidR="004F3975" w:rsidRPr="000C606C" w:rsidRDefault="004F3975" w:rsidP="004F3975">
      <w:pPr>
        <w:pStyle w:val="FootnoteText"/>
        <w:jc w:val="both"/>
        <w:rPr>
          <w:rFonts w:ascii="Arial" w:hAnsi="Arial" w:cs="Arial"/>
          <w:sz w:val="16"/>
          <w:szCs w:val="16"/>
          <w:lang w:val="es-ES"/>
        </w:rPr>
      </w:pPr>
      <w:r w:rsidRPr="00FF6AF2">
        <w:rPr>
          <w:rStyle w:val="FootnoteReference"/>
          <w:rFonts w:ascii="Arial" w:hAnsi="Arial" w:cs="Arial"/>
          <w:sz w:val="16"/>
          <w:szCs w:val="16"/>
        </w:rPr>
        <w:footnoteRef/>
      </w:r>
      <w:r w:rsidRPr="000C606C">
        <w:rPr>
          <w:rFonts w:ascii="Arial" w:hAnsi="Arial" w:cs="Arial"/>
          <w:sz w:val="16"/>
          <w:szCs w:val="16"/>
          <w:lang w:val="es-ES"/>
        </w:rPr>
        <w:t xml:space="preserve"> Incluye </w:t>
      </w:r>
      <w:r w:rsidRPr="000C606C">
        <w:rPr>
          <w:rFonts w:ascii="Arial" w:hAnsi="Arial" w:cs="Arial"/>
          <w:i/>
          <w:iCs/>
          <w:sz w:val="16"/>
          <w:szCs w:val="16"/>
          <w:lang w:val="es-ES"/>
        </w:rPr>
        <w:t xml:space="preserve">M. </w:t>
      </w:r>
      <w:proofErr w:type="spellStart"/>
      <w:r w:rsidRPr="000C606C">
        <w:rPr>
          <w:rFonts w:ascii="Arial" w:hAnsi="Arial" w:cs="Arial"/>
          <w:i/>
          <w:iCs/>
          <w:sz w:val="16"/>
          <w:szCs w:val="16"/>
          <w:lang w:val="es-ES"/>
        </w:rPr>
        <w:t>japanica</w:t>
      </w:r>
      <w:proofErr w:type="spellEnd"/>
      <w:r w:rsidRPr="000C606C">
        <w:rPr>
          <w:rFonts w:ascii="Arial" w:hAnsi="Arial" w:cs="Arial"/>
          <w:sz w:val="16"/>
          <w:szCs w:val="16"/>
          <w:lang w:val="es-ES"/>
        </w:rPr>
        <w:t>.</w:t>
      </w:r>
    </w:p>
  </w:footnote>
  <w:footnote w:id="7">
    <w:p w14:paraId="2CA43C25" w14:textId="77777777" w:rsidR="004F3975" w:rsidRPr="000C606C" w:rsidRDefault="004F3975" w:rsidP="004F3975">
      <w:pPr>
        <w:pStyle w:val="FootnoteText"/>
        <w:jc w:val="both"/>
        <w:rPr>
          <w:rFonts w:ascii="Arial" w:hAnsi="Arial" w:cs="Arial"/>
          <w:sz w:val="16"/>
          <w:szCs w:val="16"/>
          <w:lang w:val="es-ES"/>
        </w:rPr>
      </w:pPr>
      <w:r w:rsidRPr="00FF6AF2">
        <w:rPr>
          <w:rStyle w:val="FootnoteReference"/>
          <w:rFonts w:ascii="Arial" w:hAnsi="Arial" w:cs="Arial"/>
          <w:sz w:val="16"/>
          <w:szCs w:val="16"/>
        </w:rPr>
        <w:footnoteRef/>
      </w:r>
      <w:r w:rsidRPr="000C606C">
        <w:rPr>
          <w:rFonts w:ascii="Arial" w:hAnsi="Arial" w:cs="Arial"/>
          <w:sz w:val="16"/>
          <w:szCs w:val="16"/>
          <w:lang w:val="es-ES"/>
        </w:rPr>
        <w:t xml:space="preserve"> Plan de Conservación (CP), Términos de Referencia del Comité Asesor (AC TOR), Términos de Referencia de la Secretaría (SEC TOR)</w:t>
      </w:r>
    </w:p>
  </w:footnote>
  <w:footnote w:id="8">
    <w:p w14:paraId="33A41D80" w14:textId="77777777" w:rsidR="004F3975" w:rsidRPr="000C606C" w:rsidRDefault="004F3975" w:rsidP="004F3975">
      <w:pPr>
        <w:pStyle w:val="FootnoteText"/>
        <w:jc w:val="both"/>
        <w:rPr>
          <w:rFonts w:ascii="Arial" w:hAnsi="Arial" w:cs="Arial"/>
          <w:sz w:val="16"/>
          <w:szCs w:val="16"/>
          <w:lang w:val="es-ES"/>
        </w:rPr>
      </w:pPr>
      <w:r w:rsidRPr="00FF6AF2">
        <w:rPr>
          <w:rStyle w:val="FootnoteReference"/>
          <w:rFonts w:ascii="Arial" w:hAnsi="Arial" w:cs="Arial"/>
          <w:sz w:val="16"/>
          <w:szCs w:val="16"/>
        </w:rPr>
        <w:footnoteRef/>
      </w:r>
      <w:r w:rsidRPr="000C606C">
        <w:rPr>
          <w:rFonts w:ascii="Arial" w:hAnsi="Arial" w:cs="Arial"/>
          <w:sz w:val="16"/>
          <w:szCs w:val="16"/>
          <w:lang w:val="es-ES"/>
        </w:rPr>
        <w:t xml:space="preserve"> Actividades Básicas de la Secretaría y prioridades sugeridas (Alta, Media)</w:t>
      </w:r>
    </w:p>
  </w:footnote>
  <w:footnote w:id="9">
    <w:p w14:paraId="3A0C8AF9" w14:textId="77777777" w:rsidR="004F3975" w:rsidRPr="000C606C" w:rsidRDefault="004F3975" w:rsidP="004F3975">
      <w:pPr>
        <w:pStyle w:val="FootnoteText"/>
        <w:jc w:val="both"/>
        <w:rPr>
          <w:rFonts w:ascii="Arial" w:hAnsi="Arial" w:cs="Arial"/>
          <w:sz w:val="16"/>
          <w:szCs w:val="16"/>
          <w:lang w:val="es-ES"/>
        </w:rPr>
      </w:pPr>
      <w:r w:rsidRPr="00FF6AF2">
        <w:rPr>
          <w:rStyle w:val="FootnoteReference"/>
          <w:rFonts w:ascii="Arial" w:hAnsi="Arial" w:cs="Arial"/>
          <w:sz w:val="16"/>
          <w:szCs w:val="16"/>
        </w:rPr>
        <w:footnoteRef/>
      </w:r>
      <w:r w:rsidRPr="000C606C">
        <w:rPr>
          <w:rFonts w:ascii="Arial" w:hAnsi="Arial" w:cs="Arial"/>
          <w:sz w:val="16"/>
          <w:szCs w:val="16"/>
          <w:lang w:val="es-ES"/>
        </w:rPr>
        <w:t xml:space="preserve"> Año(s) durante el(los) cual(es) deberá implementarse la actividad</w:t>
      </w:r>
    </w:p>
  </w:footnote>
  <w:footnote w:id="10">
    <w:p w14:paraId="0E3C3346" w14:textId="77777777" w:rsidR="004F3975" w:rsidRPr="004F3975" w:rsidRDefault="004F3975" w:rsidP="004F3975">
      <w:pPr>
        <w:pStyle w:val="FootnoteText"/>
        <w:jc w:val="both"/>
        <w:rPr>
          <w:sz w:val="16"/>
          <w:szCs w:val="16"/>
          <w:lang w:val="es-ES"/>
        </w:rPr>
      </w:pPr>
      <w:r w:rsidRPr="00FF6AF2">
        <w:rPr>
          <w:rStyle w:val="FootnoteReference"/>
          <w:rFonts w:ascii="Arial" w:hAnsi="Arial" w:cs="Arial"/>
          <w:sz w:val="16"/>
          <w:szCs w:val="16"/>
        </w:rPr>
        <w:footnoteRef/>
      </w:r>
      <w:r w:rsidRPr="004F3975">
        <w:rPr>
          <w:rFonts w:ascii="Arial" w:hAnsi="Arial" w:cs="Arial"/>
          <w:sz w:val="16"/>
          <w:szCs w:val="16"/>
          <w:lang w:val="es-ES"/>
        </w:rPr>
        <w:t xml:space="preserve"> Signatarios (SIG), Comité Asesor (CA), Secretaría (SEC), Grupo de Trabajo de Conservación (CWS), Consultores, Socios Cooperadores (</w:t>
      </w:r>
      <w:proofErr w:type="spellStart"/>
      <w:r w:rsidRPr="004F3975">
        <w:rPr>
          <w:rFonts w:ascii="Arial" w:hAnsi="Arial" w:cs="Arial"/>
          <w:sz w:val="16"/>
          <w:szCs w:val="16"/>
          <w:lang w:val="es-ES"/>
        </w:rPr>
        <w:t>CooP</w:t>
      </w:r>
      <w:proofErr w:type="spellEnd"/>
      <w:r w:rsidRPr="004F3975">
        <w:rPr>
          <w:rFonts w:ascii="Arial" w:hAnsi="Arial" w:cs="Arial"/>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1E03" w14:textId="3256CA70" w:rsidR="00093A40" w:rsidRPr="002C05A9" w:rsidRDefault="003E6A17" w:rsidP="002E7625">
    <w:pPr>
      <w:pStyle w:val="Heading11"/>
      <w:keepNext w:val="0"/>
      <w:pBdr>
        <w:bottom w:val="single" w:sz="4" w:space="1" w:color="auto"/>
      </w:pBdr>
      <w:spacing w:before="0"/>
      <w:rPr>
        <w:rFonts w:ascii="Arial" w:hAnsi="Arial" w:cs="Arial"/>
        <w:color w:val="auto"/>
        <w:sz w:val="18"/>
        <w:szCs w:val="18"/>
      </w:rPr>
    </w:pPr>
    <w:r w:rsidRPr="002C05A9">
      <w:rPr>
        <w:rFonts w:ascii="Arial" w:hAnsi="Arial" w:cs="Arial"/>
        <w:i/>
        <w:color w:val="auto"/>
        <w:sz w:val="18"/>
        <w:szCs w:val="18"/>
      </w:rPr>
      <w:t>CMS/Sharks/MOS</w:t>
    </w:r>
    <w:r w:rsidR="002E7625" w:rsidRPr="002C05A9">
      <w:rPr>
        <w:rFonts w:ascii="Arial" w:hAnsi="Arial" w:cs="Arial"/>
        <w:i/>
        <w:color w:val="auto"/>
        <w:sz w:val="18"/>
        <w:szCs w:val="18"/>
      </w:rPr>
      <w:t>4</w:t>
    </w:r>
    <w:r w:rsidRPr="002C05A9">
      <w:rPr>
        <w:rFonts w:ascii="Arial" w:hAnsi="Arial" w:cs="Arial"/>
        <w:i/>
        <w:color w:val="auto"/>
        <w:sz w:val="18"/>
        <w:szCs w:val="18"/>
      </w:rPr>
      <w:t>/Doc.</w:t>
    </w:r>
    <w:r w:rsidR="004F3975" w:rsidRPr="002C05A9">
      <w:rPr>
        <w:rFonts w:ascii="Arial" w:hAnsi="Arial" w:cs="Arial"/>
        <w:i/>
        <w:color w:val="auto"/>
        <w:sz w:val="18"/>
        <w:szCs w:val="18"/>
      </w:rPr>
      <w:t>10.7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BD6" w14:textId="78EF4342" w:rsidR="002E7625" w:rsidRPr="002C05A9" w:rsidRDefault="002E7625" w:rsidP="002E7625">
    <w:pPr>
      <w:pStyle w:val="Heading11"/>
      <w:keepNext w:val="0"/>
      <w:pBdr>
        <w:bottom w:val="single" w:sz="4" w:space="1" w:color="auto"/>
      </w:pBdr>
      <w:spacing w:before="0"/>
      <w:jc w:val="right"/>
      <w:rPr>
        <w:rFonts w:ascii="Arial" w:hAnsi="Arial" w:cs="Arial"/>
        <w:color w:val="auto"/>
        <w:sz w:val="18"/>
        <w:szCs w:val="18"/>
      </w:rPr>
    </w:pPr>
    <w:r w:rsidRPr="002C05A9">
      <w:rPr>
        <w:rFonts w:ascii="Arial" w:hAnsi="Arial" w:cs="Arial"/>
        <w:i/>
        <w:color w:val="auto"/>
        <w:sz w:val="18"/>
        <w:szCs w:val="18"/>
      </w:rPr>
      <w:t>CMS/Sharks/MOS4/Doc.</w:t>
    </w:r>
    <w:r w:rsidR="004F3975" w:rsidRPr="002C05A9">
      <w:rPr>
        <w:rFonts w:ascii="Arial" w:hAnsi="Arial" w:cs="Arial"/>
        <w:i/>
        <w:color w:val="auto"/>
        <w:sz w:val="18"/>
        <w:szCs w:val="18"/>
      </w:rPr>
      <w:t>10.7</w:t>
    </w:r>
  </w:p>
  <w:p w14:paraId="0A4D9E42" w14:textId="77777777" w:rsidR="002E7625" w:rsidRDefault="002E7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76C6" w14:textId="6E01254E" w:rsidR="002C05A9" w:rsidRPr="002C05A9" w:rsidRDefault="002C05A9" w:rsidP="002C05A9">
    <w:pPr>
      <w:pStyle w:val="Heading11"/>
      <w:keepNext w:val="0"/>
      <w:pBdr>
        <w:bottom w:val="single" w:sz="4" w:space="1" w:color="auto"/>
      </w:pBdr>
      <w:spacing w:before="0"/>
      <w:rPr>
        <w:rFonts w:ascii="Arial" w:hAnsi="Arial" w:cs="Arial"/>
        <w:color w:val="auto"/>
        <w:sz w:val="18"/>
        <w:szCs w:val="18"/>
      </w:rPr>
    </w:pPr>
    <w:r w:rsidRPr="002C05A9">
      <w:rPr>
        <w:rFonts w:ascii="Arial" w:hAnsi="Arial" w:cs="Arial"/>
        <w:i/>
        <w:color w:val="auto"/>
        <w:sz w:val="18"/>
        <w:szCs w:val="18"/>
      </w:rPr>
      <w:t>CMS/Sharks/MOS4/Doc.10.7</w:t>
    </w:r>
    <w:r>
      <w:rPr>
        <w:rFonts w:ascii="Arial" w:hAnsi="Arial" w:cs="Arial"/>
        <w:i/>
        <w:color w:val="auto"/>
        <w:sz w:val="18"/>
        <w:szCs w:val="18"/>
      </w:rPr>
      <w:t>/Anexo 1</w:t>
    </w:r>
  </w:p>
  <w:p w14:paraId="571A1B4E" w14:textId="77777777" w:rsidR="002C05A9" w:rsidRDefault="002C05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BC7A" w14:textId="5245FF5E" w:rsidR="005A2FA7" w:rsidRPr="009E2F56" w:rsidRDefault="002C05A9" w:rsidP="00FF6AF2">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CMS/Sharks/MOS4/Doc.10.7/An</w:t>
    </w:r>
    <w:r>
      <w:rPr>
        <w:rFonts w:ascii="Arial" w:hAnsi="Arial" w:cs="Arial"/>
        <w:i/>
        <w:color w:val="auto"/>
        <w:sz w:val="18"/>
        <w:szCs w:val="18"/>
      </w:rPr>
      <w:t>ex</w:t>
    </w:r>
    <w:r>
      <w:rPr>
        <w:rFonts w:ascii="Arial" w:hAnsi="Arial" w:cs="Arial"/>
        <w:i/>
        <w:color w:val="auto"/>
        <w:sz w:val="18"/>
        <w:szCs w:val="18"/>
      </w:rPr>
      <w:t>o</w:t>
    </w:r>
    <w:r>
      <w:rPr>
        <w:rFonts w:ascii="Arial" w:hAnsi="Arial" w:cs="Arial"/>
        <w:i/>
        <w:color w:val="auto"/>
        <w:sz w:val="18"/>
        <w:szCs w:val="18"/>
      </w:rPr>
      <w:t xml:space="preserve"> 2</w:t>
    </w:r>
  </w:p>
  <w:p w14:paraId="10566911" w14:textId="77777777" w:rsidR="005A2FA7" w:rsidRPr="005A2FA7" w:rsidRDefault="002C05A9" w:rsidP="005A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54AEB"/>
    <w:multiLevelType w:val="hybridMultilevel"/>
    <w:tmpl w:val="35021604"/>
    <w:lvl w:ilvl="0" w:tplc="04090017">
      <w:start w:val="1"/>
      <w:numFmt w:val="lowerLetter"/>
      <w:lvlText w:val="%1)"/>
      <w:lvlJc w:val="left"/>
      <w:pPr>
        <w:ind w:left="720"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164BE"/>
    <w:multiLevelType w:val="hybridMultilevel"/>
    <w:tmpl w:val="2AAC884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6F876DE2"/>
    <w:multiLevelType w:val="hybridMultilevel"/>
    <w:tmpl w:val="B2448842"/>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DD52C8"/>
    <w:multiLevelType w:val="hybridMultilevel"/>
    <w:tmpl w:val="0C0CA072"/>
    <w:lvl w:ilvl="0" w:tplc="159AF8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3NDE0tTQ2NDI2sTBR0lEKTi0uzszPAykwrAUAqFmTbywAAAA="/>
  </w:docVars>
  <w:rsids>
    <w:rsidRoot w:val="00E966DE"/>
    <w:rsid w:val="001A259F"/>
    <w:rsid w:val="002C05A9"/>
    <w:rsid w:val="002E7625"/>
    <w:rsid w:val="003E32B7"/>
    <w:rsid w:val="003E6A17"/>
    <w:rsid w:val="004F3975"/>
    <w:rsid w:val="0056535F"/>
    <w:rsid w:val="006A38CA"/>
    <w:rsid w:val="00B36D40"/>
    <w:rsid w:val="00E966DE"/>
    <w:rsid w:val="00EB3607"/>
    <w:rsid w:val="00FD1AEB"/>
    <w:rsid w:val="00FE1D65"/>
    <w:rsid w:val="00F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34810"/>
  <w15:chartTrackingRefBased/>
  <w15:docId w15:val="{5BA2E732-AE75-484A-A12D-FD465AE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A17"/>
    <w:pPr>
      <w:keepNext/>
      <w:keepLines/>
      <w:spacing w:before="240" w:after="0"/>
      <w:outlineLvl w:val="0"/>
    </w:pPr>
    <w:rPr>
      <w:rFonts w:ascii="Calibri Light" w:eastAsia="MS Gothic"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DE"/>
  </w:style>
  <w:style w:type="paragraph" w:styleId="FootnoteText">
    <w:name w:val="footnote text"/>
    <w:basedOn w:val="Normal"/>
    <w:link w:val="FootnoteTextChar"/>
    <w:uiPriority w:val="99"/>
    <w:semiHidden/>
    <w:unhideWhenUsed/>
    <w:rsid w:val="00FE1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D65"/>
    <w:rPr>
      <w:sz w:val="20"/>
      <w:szCs w:val="20"/>
    </w:rPr>
  </w:style>
  <w:style w:type="character" w:styleId="Hyperlink">
    <w:name w:val="Hyperlink"/>
    <w:uiPriority w:val="99"/>
    <w:rsid w:val="00FE1D65"/>
    <w:rPr>
      <w:rFonts w:cs="Times New Roman"/>
      <w:color w:val="0000FF"/>
      <w:u w:val="single"/>
    </w:rPr>
  </w:style>
  <w:style w:type="character" w:styleId="FootnoteReference">
    <w:name w:val="footnote reference"/>
    <w:basedOn w:val="DefaultParagraphFont"/>
    <w:uiPriority w:val="99"/>
    <w:semiHidden/>
    <w:unhideWhenUsed/>
    <w:rsid w:val="00FE1D65"/>
    <w:rPr>
      <w:vertAlign w:val="superscript"/>
    </w:rPr>
  </w:style>
  <w:style w:type="table" w:customStyle="1" w:styleId="PlainTable21">
    <w:name w:val="Plain Table 21"/>
    <w:basedOn w:val="TableNormal"/>
    <w:next w:val="PlainTable2"/>
    <w:uiPriority w:val="42"/>
    <w:rsid w:val="00FE1D65"/>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E1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E1D65"/>
    <w:pPr>
      <w:ind w:left="720"/>
      <w:contextualSpacing/>
    </w:pPr>
  </w:style>
  <w:style w:type="paragraph" w:customStyle="1" w:styleId="Heading11">
    <w:name w:val="Heading 11"/>
    <w:basedOn w:val="Normal"/>
    <w:next w:val="Normal"/>
    <w:uiPriority w:val="9"/>
    <w:qFormat/>
    <w:rsid w:val="003E6A17"/>
    <w:pPr>
      <w:keepNext/>
      <w:keepLines/>
      <w:widowControl w:val="0"/>
      <w:autoSpaceDE w:val="0"/>
      <w:autoSpaceDN w:val="0"/>
      <w:adjustRightInd w:val="0"/>
      <w:spacing w:before="240" w:after="0" w:line="240" w:lineRule="auto"/>
      <w:outlineLvl w:val="0"/>
    </w:pPr>
    <w:rPr>
      <w:rFonts w:ascii="Calibri Light" w:eastAsia="MS Gothic" w:hAnsi="Calibri Light" w:cs="Times New Roman"/>
      <w:color w:val="2F5496"/>
      <w:sz w:val="32"/>
      <w:szCs w:val="32"/>
    </w:rPr>
  </w:style>
  <w:style w:type="character" w:customStyle="1" w:styleId="Heading1Char">
    <w:name w:val="Heading 1 Char"/>
    <w:basedOn w:val="DefaultParagraphFont"/>
    <w:link w:val="Heading1"/>
    <w:uiPriority w:val="9"/>
    <w:rsid w:val="003E6A17"/>
    <w:rPr>
      <w:rFonts w:ascii="Calibri Light" w:eastAsia="MS Gothic" w:hAnsi="Calibri Light" w:cs="Times New Roman"/>
      <w:color w:val="2F5496"/>
      <w:sz w:val="32"/>
      <w:szCs w:val="32"/>
    </w:rPr>
  </w:style>
  <w:style w:type="table" w:customStyle="1" w:styleId="PlainTable22">
    <w:name w:val="Plain Table 22"/>
    <w:basedOn w:val="TableNormal"/>
    <w:next w:val="PlainTable2"/>
    <w:uiPriority w:val="42"/>
    <w:rsid w:val="003E6A17"/>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3E6A1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F3975"/>
    <w:rPr>
      <w:sz w:val="16"/>
      <w:szCs w:val="16"/>
    </w:rPr>
  </w:style>
  <w:style w:type="paragraph" w:styleId="CommentText">
    <w:name w:val="annotation text"/>
    <w:basedOn w:val="Normal"/>
    <w:link w:val="CommentTextChar"/>
    <w:uiPriority w:val="99"/>
    <w:unhideWhenUsed/>
    <w:rsid w:val="004F3975"/>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F3975"/>
    <w:rPr>
      <w:rFonts w:ascii="Arial" w:eastAsia="Times New Roman" w:hAnsi="Arial" w:cs="Times New Roman"/>
      <w:sz w:val="20"/>
      <w:szCs w:val="20"/>
    </w:rPr>
  </w:style>
  <w:style w:type="table" w:customStyle="1" w:styleId="PlainTable23">
    <w:name w:val="Plain Table 23"/>
    <w:basedOn w:val="TableNormal"/>
    <w:next w:val="PlainTable2"/>
    <w:uiPriority w:val="42"/>
    <w:rsid w:val="004F3975"/>
    <w:pPr>
      <w:spacing w:after="0" w:line="240" w:lineRule="auto"/>
    </w:pPr>
    <w:rPr>
      <w:rFonts w:ascii="Arial" w:hAnsi="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f01">
    <w:name w:val="cf01"/>
    <w:basedOn w:val="DefaultParagraphFont"/>
    <w:rsid w:val="004F3975"/>
    <w:rPr>
      <w:rFonts w:ascii="Segoe UI" w:hAnsi="Segoe UI" w:cs="Segoe UI" w:hint="default"/>
      <w:sz w:val="18"/>
      <w:szCs w:val="18"/>
    </w:rPr>
  </w:style>
  <w:style w:type="table" w:customStyle="1" w:styleId="PlainTable24">
    <w:name w:val="Plain Table 24"/>
    <w:basedOn w:val="TableNormal"/>
    <w:next w:val="PlainTable2"/>
    <w:uiPriority w:val="42"/>
    <w:rsid w:val="004F3975"/>
    <w:pPr>
      <w:spacing w:after="0" w:line="240" w:lineRule="auto"/>
    </w:pPr>
    <w:rPr>
      <w:rFonts w:ascii="Arial" w:hAnsi="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www.cms.int/sharks/en/document/fisheries-induced-mortality-sharks-and-rays"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s/page/decisiones-1361-1363-captura-incidenta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cms.int/sharks/en/document/text-memorandum-understanding-conservation-migratory-shark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57241091_A_NEW_RECORD_FOR_THE_SHARK_FAUNA_OF_THE_MEDITERRANEAN_SEA_WHALE_SHARK_RHINCODON_TYPUS_ORECTOLOBIFORMES_RHINCODONTI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Victoria Cancino Ordenes</dc:creator>
  <cp:keywords/>
  <dc:description/>
  <cp:lastModifiedBy>Ximena Victoria Cancino Ordenes</cp:lastModifiedBy>
  <cp:revision>2</cp:revision>
  <dcterms:created xsi:type="dcterms:W3CDTF">2022-12-30T12:30:00Z</dcterms:created>
  <dcterms:modified xsi:type="dcterms:W3CDTF">2022-12-30T12:30:00Z</dcterms:modified>
</cp:coreProperties>
</file>