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0A7D" w:rsidRDefault="00570A7D" w:rsidP="006020BF">
      <w:pPr>
        <w:tabs>
          <w:tab w:val="left" w:pos="-720"/>
          <w:tab w:val="left" w:pos="310"/>
          <w:tab w:val="left" w:pos="835"/>
        </w:tabs>
        <w:jc w:val="both"/>
        <w:rPr>
          <w:sz w:val="22"/>
          <w:szCs w:val="22"/>
          <w:highlight w:val="yellow"/>
        </w:rPr>
      </w:pPr>
    </w:p>
    <w:p w:rsidR="00570A7D" w:rsidRDefault="00570A7D" w:rsidP="006020BF">
      <w:pPr>
        <w:tabs>
          <w:tab w:val="left" w:pos="-720"/>
          <w:tab w:val="left" w:pos="310"/>
          <w:tab w:val="left" w:pos="835"/>
        </w:tabs>
        <w:jc w:val="both"/>
        <w:rPr>
          <w:sz w:val="22"/>
          <w:szCs w:val="22"/>
          <w:highlight w:val="yellow"/>
        </w:rPr>
      </w:pPr>
    </w:p>
    <w:p w:rsidR="00826BE0" w:rsidRDefault="00570A7D" w:rsidP="00570A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B41E91">
        <w:rPr>
          <w:rFonts w:ascii="Arial" w:hAnsi="Arial" w:cs="Arial"/>
          <w:b/>
          <w:sz w:val="28"/>
          <w:szCs w:val="28"/>
          <w:lang w:val="es-ES"/>
        </w:rPr>
        <w:t xml:space="preserve">Segunda Reunión del Memorando de Entendimiento sobre </w:t>
      </w:r>
    </w:p>
    <w:p w:rsidR="00570A7D" w:rsidRDefault="00826BE0" w:rsidP="00826BE0">
      <w:pPr>
        <w:pBdr>
          <w:bottom w:val="single" w:sz="4" w:space="1" w:color="auto"/>
        </w:pBd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>l</w:t>
      </w:r>
      <w:r w:rsidR="00570A7D" w:rsidRPr="00B41E91">
        <w:rPr>
          <w:rFonts w:ascii="Arial" w:hAnsi="Arial" w:cs="Arial"/>
          <w:b/>
          <w:sz w:val="28"/>
          <w:szCs w:val="28"/>
          <w:lang w:val="es-ES"/>
        </w:rPr>
        <w:t>a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 Conservación de </w:t>
      </w:r>
      <w:r w:rsidR="00570A7D" w:rsidRPr="00B41E91">
        <w:rPr>
          <w:rFonts w:ascii="Arial" w:hAnsi="Arial" w:cs="Arial"/>
          <w:b/>
          <w:sz w:val="28"/>
          <w:szCs w:val="28"/>
          <w:lang w:val="es-ES"/>
        </w:rPr>
        <w:t xml:space="preserve">Aves 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Migratorias </w:t>
      </w:r>
      <w:r w:rsidR="00570A7D" w:rsidRPr="00B41E91">
        <w:rPr>
          <w:rFonts w:ascii="Arial" w:hAnsi="Arial" w:cs="Arial"/>
          <w:b/>
          <w:sz w:val="28"/>
          <w:szCs w:val="28"/>
          <w:lang w:val="es-ES"/>
        </w:rPr>
        <w:t>de Pastizal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>es</w:t>
      </w:r>
      <w:r w:rsidR="00570A7D" w:rsidRPr="00B41E91">
        <w:rPr>
          <w:rFonts w:ascii="Arial" w:hAnsi="Arial" w:cs="Arial"/>
          <w:b/>
          <w:sz w:val="28"/>
          <w:szCs w:val="28"/>
          <w:lang w:val="es-ES"/>
        </w:rPr>
        <w:t xml:space="preserve"> 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del Sur de Sudamérica </w:t>
      </w:r>
      <w:r w:rsidR="00570A7D" w:rsidRPr="00B41E91">
        <w:rPr>
          <w:rFonts w:ascii="Arial" w:hAnsi="Arial" w:cs="Arial"/>
          <w:b/>
          <w:sz w:val="28"/>
          <w:szCs w:val="28"/>
          <w:lang w:val="es-ES"/>
        </w:rPr>
        <w:t xml:space="preserve">y 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 xml:space="preserve">de </w:t>
      </w:r>
      <w:r w:rsidR="00570A7D" w:rsidRPr="00B41E91">
        <w:rPr>
          <w:rFonts w:ascii="Arial" w:hAnsi="Arial" w:cs="Arial"/>
          <w:b/>
          <w:sz w:val="28"/>
          <w:szCs w:val="28"/>
          <w:lang w:val="es-ES"/>
        </w:rPr>
        <w:t>sus H</w:t>
      </w:r>
      <w:r w:rsidR="00D52D0B" w:rsidRPr="00B41E91">
        <w:rPr>
          <w:rFonts w:ascii="Arial" w:hAnsi="Arial" w:cs="Arial"/>
          <w:b/>
          <w:sz w:val="28"/>
          <w:szCs w:val="28"/>
          <w:lang w:val="es-ES"/>
        </w:rPr>
        <w:t>á</w:t>
      </w:r>
      <w:r w:rsidR="00570A7D" w:rsidRPr="00B41E91">
        <w:rPr>
          <w:rFonts w:ascii="Arial" w:hAnsi="Arial" w:cs="Arial"/>
          <w:b/>
          <w:sz w:val="28"/>
          <w:szCs w:val="28"/>
          <w:lang w:val="es-ES"/>
        </w:rPr>
        <w:t xml:space="preserve">bitats </w:t>
      </w:r>
    </w:p>
    <w:p w:rsidR="00826BE0" w:rsidRPr="00826BE0" w:rsidRDefault="00826BE0" w:rsidP="00826BE0">
      <w:pPr>
        <w:pBdr>
          <w:bottom w:val="single" w:sz="4" w:space="1" w:color="auto"/>
        </w:pBd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826BE0">
        <w:rPr>
          <w:rFonts w:ascii="Arial" w:hAnsi="Arial" w:cs="Arial"/>
          <w:i/>
          <w:sz w:val="22"/>
          <w:szCs w:val="22"/>
          <w:lang w:val="es-ES"/>
        </w:rPr>
        <w:t>(24 – 25 julio de 2018, Florianópolis, Bra</w:t>
      </w:r>
      <w:r w:rsidR="003350C7">
        <w:rPr>
          <w:rFonts w:ascii="Arial" w:hAnsi="Arial" w:cs="Arial"/>
          <w:i/>
          <w:sz w:val="22"/>
          <w:szCs w:val="22"/>
          <w:lang w:val="es-ES"/>
        </w:rPr>
        <w:t>s</w:t>
      </w:r>
      <w:r w:rsidRPr="00826BE0">
        <w:rPr>
          <w:rFonts w:ascii="Arial" w:hAnsi="Arial" w:cs="Arial"/>
          <w:i/>
          <w:sz w:val="22"/>
          <w:szCs w:val="22"/>
          <w:lang w:val="es-ES"/>
        </w:rPr>
        <w:t>il)</w:t>
      </w:r>
    </w:p>
    <w:p w:rsidR="00570A7D" w:rsidRPr="00826BE0" w:rsidRDefault="00826BE0" w:rsidP="00826BE0">
      <w:pPr>
        <w:tabs>
          <w:tab w:val="left" w:pos="-720"/>
          <w:tab w:val="left" w:pos="310"/>
          <w:tab w:val="left" w:pos="835"/>
        </w:tabs>
        <w:jc w:val="right"/>
        <w:rPr>
          <w:rFonts w:ascii="Arial" w:hAnsi="Arial" w:cs="Arial"/>
          <w:sz w:val="22"/>
          <w:szCs w:val="22"/>
          <w:lang w:val="es-ES"/>
        </w:rPr>
      </w:pPr>
      <w:r w:rsidRPr="00826BE0">
        <w:rPr>
          <w:rFonts w:ascii="Arial" w:hAnsi="Arial" w:cs="Arial"/>
          <w:sz w:val="22"/>
          <w:szCs w:val="22"/>
          <w:lang w:val="es-ES"/>
        </w:rPr>
        <w:t>UNEP/CMS/MOS2</w:t>
      </w:r>
      <w:r>
        <w:rPr>
          <w:rFonts w:ascii="Arial" w:hAnsi="Arial" w:cs="Arial"/>
          <w:sz w:val="22"/>
          <w:szCs w:val="22"/>
          <w:lang w:val="es-ES"/>
        </w:rPr>
        <w:t>/G</w:t>
      </w:r>
      <w:r w:rsidR="003350C7">
        <w:rPr>
          <w:rFonts w:ascii="Arial" w:hAnsi="Arial" w:cs="Arial"/>
          <w:sz w:val="22"/>
          <w:szCs w:val="22"/>
          <w:lang w:val="es-ES"/>
        </w:rPr>
        <w:t>R</w:t>
      </w:r>
      <w:r>
        <w:rPr>
          <w:rFonts w:ascii="Arial" w:hAnsi="Arial" w:cs="Arial"/>
          <w:sz w:val="22"/>
          <w:szCs w:val="22"/>
          <w:lang w:val="es-ES"/>
        </w:rPr>
        <w:t>B/Doc.</w:t>
      </w:r>
      <w:r w:rsidR="00005798">
        <w:rPr>
          <w:rFonts w:ascii="Arial" w:hAnsi="Arial" w:cs="Arial"/>
          <w:sz w:val="22"/>
          <w:szCs w:val="22"/>
          <w:lang w:val="es-ES"/>
        </w:rPr>
        <w:t>4</w:t>
      </w:r>
    </w:p>
    <w:p w:rsidR="00826BE0" w:rsidRDefault="00826BE0" w:rsidP="00570A7D">
      <w:pPr>
        <w:tabs>
          <w:tab w:val="left" w:pos="-720"/>
          <w:tab w:val="left" w:pos="310"/>
          <w:tab w:val="left" w:pos="835"/>
        </w:tabs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:rsidR="00826BE0" w:rsidRDefault="00826BE0" w:rsidP="00005798">
      <w:pPr>
        <w:tabs>
          <w:tab w:val="left" w:pos="-720"/>
          <w:tab w:val="left" w:pos="310"/>
          <w:tab w:val="left" w:pos="835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:rsidR="00005798" w:rsidRPr="00005798" w:rsidRDefault="00005798" w:rsidP="00005798">
      <w:pPr>
        <w:widowControl w:val="0"/>
        <w:tabs>
          <w:tab w:val="left" w:pos="-1152"/>
          <w:tab w:val="left" w:pos="-720"/>
          <w:tab w:val="left" w:pos="0"/>
          <w:tab w:val="left" w:pos="720"/>
          <w:tab w:val="left" w:pos="128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b/>
          <w:bCs/>
          <w:caps/>
          <w:snapToGrid w:val="0"/>
          <w:lang w:val="es-ES"/>
        </w:rPr>
      </w:pPr>
      <w:r w:rsidRPr="00005798">
        <w:rPr>
          <w:b/>
          <w:bCs/>
          <w:caps/>
          <w:snapToGrid w:val="0"/>
          <w:lang w:val="es-ES"/>
        </w:rPr>
        <w:t>Lista de actividades prioritarias</w:t>
      </w:r>
    </w:p>
    <w:p w:rsidR="00005798" w:rsidRPr="00005798" w:rsidRDefault="00005798" w:rsidP="00005798">
      <w:pPr>
        <w:widowControl w:val="0"/>
        <w:rPr>
          <w:snapToGrid w:val="0"/>
          <w:szCs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4"/>
        <w:gridCol w:w="3188"/>
      </w:tblGrid>
      <w:tr w:rsidR="00005798" w:rsidRPr="00005798" w:rsidTr="006F5D54">
        <w:trPr>
          <w:tblHeader/>
        </w:trPr>
        <w:tc>
          <w:tcPr>
            <w:tcW w:w="6408" w:type="dxa"/>
            <w:shd w:val="clear" w:color="auto" w:fill="E0E0E0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Acciones prioritarias en orden de dificultad de implementación</w:t>
            </w:r>
          </w:p>
        </w:tc>
        <w:tc>
          <w:tcPr>
            <w:tcW w:w="3190" w:type="dxa"/>
            <w:shd w:val="clear" w:color="auto" w:fill="E0E0E0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Impacto de las acciones para mejorar el estado de conservación de las especies</w:t>
            </w:r>
          </w:p>
        </w:tc>
      </w:tr>
      <w:tr w:rsidR="00005798" w:rsidRPr="00005798" w:rsidTr="006F5D54">
        <w:trPr>
          <w:trHeight w:val="331"/>
        </w:trPr>
        <w:tc>
          <w:tcPr>
            <w:tcW w:w="9598" w:type="dxa"/>
            <w:gridSpan w:val="2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Acciones Nacionales</w:t>
            </w:r>
          </w:p>
        </w:tc>
      </w:tr>
      <w:tr w:rsidR="00005798" w:rsidRPr="00005798" w:rsidTr="006F5D54">
        <w:trPr>
          <w:trHeight w:val="397"/>
        </w:trPr>
        <w:tc>
          <w:tcPr>
            <w:tcW w:w="9598" w:type="dxa"/>
            <w:gridSpan w:val="2"/>
            <w:shd w:val="clear" w:color="auto" w:fill="9BBB59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Dificultad Baja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Incluir el componente de conservación de aves de pastizales en los planes de manejo de las </w:t>
            </w:r>
            <w:proofErr w:type="spell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APs</w:t>
            </w:r>
            <w:proofErr w:type="spellEnd"/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4.3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Establecer la línea de base de conocimiento sobre distribución abundancia y estado de conservación de las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3.4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Realizar estudios comparativos en pastizales bajo diferentes tipos de manejo.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7.4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Desarrollar, elaborar materiales de divulgación sobre las especies y sus ambientes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7.3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campañas de divulgación y valoración de las especies y sus ambientes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9598" w:type="dxa"/>
            <w:gridSpan w:val="2"/>
            <w:shd w:val="clear" w:color="auto" w:fill="FFFF00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Dificultad Media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3.6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estudios demográficos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4.4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Promover/conducir </w:t>
            </w:r>
            <w:proofErr w:type="gram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estudios  epidemiológicos</w:t>
            </w:r>
            <w:proofErr w:type="gramEnd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, y del impacto de actividades antrópicas sobre las poblaciones de aves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7.2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Desarrollar campañas educativas para desalentar el comercio ilegal de las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7.6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y divulgar prácticas apropiadas del manejo prescripto del fuego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11.1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convenios y/o alianzas con universidades e instituciones científicas y de conservación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rPr>
          <w:trHeight w:val="306"/>
        </w:trPr>
        <w:tc>
          <w:tcPr>
            <w:tcW w:w="9598" w:type="dxa"/>
            <w:gridSpan w:val="2"/>
            <w:shd w:val="clear" w:color="auto" w:fill="FF0000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Dificultad Alta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Identificar, proponer y crear áreas potenciales para creación de </w:t>
            </w:r>
            <w:proofErr w:type="spell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APs</w:t>
            </w:r>
            <w:proofErr w:type="spellEnd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 xml:space="preserve"> buscando la representatividad y complementariedad regional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1.2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Incentivar la creación de </w:t>
            </w:r>
            <w:proofErr w:type="spell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APs</w:t>
            </w:r>
            <w:proofErr w:type="spellEnd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 xml:space="preserve"> privadas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Promover, crear y/o fortalecer incentivos financieros y/o de mercado, alternativas económicas para productores que manejan pastizales en forma compatible con los requerimientos ecológicos de las especies, especialmente en áreas críticas para especies amenazadas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lastRenderedPageBreak/>
              <w:t>8.3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e implementar reglamentaciones sobre el uso de especies exóticas invasoras forrajeras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9.1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Elaborar e implementar programas de fiscalización para impedir la captura y comercio ilegal de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9.4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Monitoreo y fiscalización de licencias ambientales en áreas de importancia de las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10.1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e implementar el desarrollo y financiación de proyectos para ejecutar el plan de acción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12.1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Capacitación en identificación de especies dirigida a fiscalizadores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</w:t>
            </w:r>
          </w:p>
        </w:tc>
      </w:tr>
      <w:tr w:rsidR="00005798" w:rsidRPr="00005798" w:rsidTr="006F5D54">
        <w:trPr>
          <w:trHeight w:val="503"/>
        </w:trPr>
        <w:tc>
          <w:tcPr>
            <w:tcW w:w="95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Acciones Regionales</w:t>
            </w:r>
          </w:p>
        </w:tc>
      </w:tr>
      <w:tr w:rsidR="00005798" w:rsidRPr="00005798" w:rsidTr="006F5D54">
        <w:trPr>
          <w:trHeight w:val="346"/>
        </w:trPr>
        <w:tc>
          <w:tcPr>
            <w:tcW w:w="9598" w:type="dxa"/>
            <w:gridSpan w:val="2"/>
            <w:shd w:val="clear" w:color="auto" w:fill="9BBB59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Dificultad Baja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Analizar la representatividad de las especies en el sistema de áreas protegidas existentes (GAP Análisis) en la región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4.3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Establecer la línea de base de conocimiento sobre distribución abundancia y estado de conservación de las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4.2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un protocolo único de monitoreo para cada especie o grupo de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7.1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Desarrollo de un logotipo que identifique el </w:t>
            </w:r>
            <w:proofErr w:type="spell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MdE</w:t>
            </w:r>
            <w:proofErr w:type="spellEnd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 xml:space="preserve"> y sus objetivos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7.5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la organización de simposios sobre aves de pastizales en las reuniones nacionales / internacionales de ornitología; en reuniones de conservación y en los encuentros del sector agropecuario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c>
          <w:tcPr>
            <w:tcW w:w="6408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13.3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la transferencia de conocimientos técnico científico entre actores del Memorando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rPr>
          <w:trHeight w:val="389"/>
        </w:trPr>
        <w:tc>
          <w:tcPr>
            <w:tcW w:w="9598" w:type="dxa"/>
            <w:gridSpan w:val="2"/>
            <w:shd w:val="clear" w:color="auto" w:fill="FFFF00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Dificultad Media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4.1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Elaboración e implementación de un programa internacional de anillamiento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9.3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Evaluar el volumen y la escala geográfica del comercio ilegal de las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5.1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el desarrollo de un protocolo único para sistematización de la información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c>
          <w:tcPr>
            <w:tcW w:w="6408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13.7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Lograr asistencia financiera para implementar reuniones de coordinación del </w:t>
            </w:r>
            <w:proofErr w:type="spell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MdE</w:t>
            </w:r>
            <w:proofErr w:type="spellEnd"/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</w:t>
            </w:r>
          </w:p>
        </w:tc>
      </w:tr>
      <w:tr w:rsidR="00005798" w:rsidRPr="00005798" w:rsidTr="006F5D54">
        <w:trPr>
          <w:trHeight w:val="348"/>
        </w:trPr>
        <w:tc>
          <w:tcPr>
            <w:tcW w:w="9598" w:type="dxa"/>
            <w:gridSpan w:val="2"/>
            <w:shd w:val="clear" w:color="auto" w:fill="FF0000"/>
            <w:vAlign w:val="center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b/>
                <w:bCs/>
                <w:snapToGrid w:val="0"/>
                <w:sz w:val="22"/>
                <w:szCs w:val="22"/>
                <w:lang w:val="es-ES"/>
              </w:rPr>
              <w:t>Dificultad Alta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Identificar, proponer y crear </w:t>
            </w:r>
            <w:proofErr w:type="spell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APs</w:t>
            </w:r>
            <w:proofErr w:type="spellEnd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 xml:space="preserve"> buscando la representatividad y complementariedad regional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2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13.5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 xml:space="preserve">Fomentar la creación de una “red regional” de </w:t>
            </w:r>
            <w:proofErr w:type="spellStart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APs</w:t>
            </w:r>
            <w:proofErr w:type="spellEnd"/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, para coordinar acciones comunes/protocolos de manejo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Mejorar el estado del conocimiento de las rutas de migración y las necesidades de hábitats de las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9.3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Evaluar el volumen y la escala geográfica del comercio ilegal de las especies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</w:t>
            </w:r>
          </w:p>
        </w:tc>
      </w:tr>
      <w:tr w:rsidR="00005798" w:rsidRPr="00005798" w:rsidTr="006F5D54">
        <w:tc>
          <w:tcPr>
            <w:tcW w:w="6408" w:type="dxa"/>
          </w:tcPr>
          <w:p w:rsidR="00005798" w:rsidRPr="00005798" w:rsidRDefault="00005798" w:rsidP="00005798">
            <w:pPr>
              <w:widowControl w:val="0"/>
              <w:tabs>
                <w:tab w:val="left" w:pos="540"/>
              </w:tabs>
              <w:ind w:left="540" w:hanging="540"/>
              <w:jc w:val="both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10.1</w:t>
            </w: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ab/>
              <w:t>Promover e implementar el desarrollo y financiación de proyectos para ejecutar el plan de acción</w:t>
            </w:r>
          </w:p>
        </w:tc>
        <w:tc>
          <w:tcPr>
            <w:tcW w:w="3190" w:type="dxa"/>
          </w:tcPr>
          <w:p w:rsidR="00005798" w:rsidRPr="00005798" w:rsidRDefault="00005798" w:rsidP="00005798">
            <w:pPr>
              <w:widowControl w:val="0"/>
              <w:jc w:val="center"/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</w:pPr>
            <w:r w:rsidRPr="00005798">
              <w:rPr>
                <w:rFonts w:ascii="Arial" w:hAnsi="Arial" w:cs="Arial"/>
                <w:snapToGrid w:val="0"/>
                <w:sz w:val="22"/>
                <w:szCs w:val="22"/>
                <w:lang w:val="es-ES"/>
              </w:rPr>
              <w:t>3</w:t>
            </w:r>
          </w:p>
        </w:tc>
      </w:tr>
    </w:tbl>
    <w:p w:rsidR="00005798" w:rsidRPr="00005798" w:rsidRDefault="00005798" w:rsidP="00005798">
      <w:pPr>
        <w:tabs>
          <w:tab w:val="left" w:pos="-720"/>
          <w:tab w:val="left" w:pos="310"/>
          <w:tab w:val="left" w:pos="835"/>
        </w:tabs>
        <w:jc w:val="both"/>
        <w:rPr>
          <w:rFonts w:ascii="Arial" w:hAnsi="Arial" w:cs="Arial"/>
          <w:sz w:val="22"/>
          <w:szCs w:val="22"/>
          <w:lang w:val="es-ES"/>
        </w:rPr>
      </w:pPr>
      <w:bookmarkStart w:id="0" w:name="_GoBack"/>
      <w:bookmarkEnd w:id="0"/>
    </w:p>
    <w:sectPr w:rsidR="00005798" w:rsidRPr="00005798" w:rsidSect="0000579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96" w:right="1152" w:bottom="1440" w:left="1152" w:header="720" w:footer="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17AE" w:rsidRDefault="007F17AE" w:rsidP="00494ED9">
      <w:r>
        <w:separator/>
      </w:r>
    </w:p>
  </w:endnote>
  <w:endnote w:type="continuationSeparator" w:id="0">
    <w:p w:rsidR="007F17AE" w:rsidRDefault="007F17AE" w:rsidP="00494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11797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005798" w:rsidRPr="00005798" w:rsidRDefault="00005798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005798">
          <w:rPr>
            <w:rFonts w:ascii="Arial" w:hAnsi="Arial" w:cs="Arial"/>
            <w:sz w:val="18"/>
            <w:szCs w:val="18"/>
          </w:rPr>
          <w:fldChar w:fldCharType="begin"/>
        </w:r>
        <w:r w:rsidRPr="00005798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005798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005798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216DB7" w:rsidRPr="00005798" w:rsidRDefault="00216DB7" w:rsidP="000057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919" w:rsidRPr="0049751B" w:rsidRDefault="00216DB7" w:rsidP="0049751B">
    <w:pPr>
      <w:tabs>
        <w:tab w:val="left" w:pos="3360"/>
      </w:tabs>
      <w:ind w:left="-360" w:right="-1190"/>
      <w:rPr>
        <w:lang w:val="de-DE"/>
      </w:rPr>
    </w:pPr>
    <w:r w:rsidRPr="00197C00">
      <w:rPr>
        <w:lang w:val="de-DE"/>
      </w:rPr>
      <w:t xml:space="preserve"> </w:t>
    </w:r>
    <w:r w:rsidR="00741919" w:rsidRPr="00197C00">
      <w:rPr>
        <w:lang w:val="de-DE"/>
      </w:rPr>
      <w:t>________________________________________________________________________________</w:t>
    </w:r>
    <w:r w:rsidR="00741919" w:rsidRPr="00197C00">
      <w:rPr>
        <w:lang w:val="de-DE"/>
      </w:rPr>
      <w:tab/>
    </w:r>
  </w:p>
  <w:p w:rsidR="0037111C" w:rsidRPr="008C639C" w:rsidRDefault="0037111C" w:rsidP="0037111C">
    <w:pPr>
      <w:ind w:left="-360" w:right="-1114"/>
      <w:jc w:val="both"/>
      <w:rPr>
        <w:rFonts w:ascii="Arial" w:hAnsi="Arial" w:cs="Arial"/>
        <w:sz w:val="18"/>
        <w:szCs w:val="18"/>
        <w:lang w:val="de-DE"/>
      </w:rPr>
    </w:pPr>
    <w:r w:rsidRPr="008C639C">
      <w:rPr>
        <w:sz w:val="20"/>
        <w:lang w:val="de-DE"/>
      </w:rPr>
      <w:t xml:space="preserve">          </w:t>
    </w:r>
    <w:r w:rsidRPr="008C639C">
      <w:rPr>
        <w:rFonts w:ascii="Arial" w:hAnsi="Arial" w:cs="Arial"/>
        <w:sz w:val="18"/>
        <w:szCs w:val="18"/>
        <w:lang w:val="de-DE"/>
      </w:rPr>
      <w:t>Secretaría PNUMA/CMS   ●   UN Campus   ●   Platz der Vereinten Nationen 1   ●   53113 Bonn   ●   Alemania</w:t>
    </w:r>
  </w:p>
  <w:p w:rsidR="0037111C" w:rsidRPr="008C639C" w:rsidRDefault="0037111C" w:rsidP="0037111C">
    <w:pPr>
      <w:ind w:left="-360" w:right="-1114"/>
      <w:jc w:val="both"/>
      <w:rPr>
        <w:rFonts w:ascii="Arial" w:hAnsi="Arial" w:cs="Arial"/>
        <w:sz w:val="18"/>
        <w:szCs w:val="18"/>
        <w:lang w:val="de-DE"/>
      </w:rPr>
    </w:pPr>
    <w:r w:rsidRPr="008C639C">
      <w:rPr>
        <w:rFonts w:ascii="Arial" w:hAnsi="Arial" w:cs="Arial"/>
        <w:sz w:val="18"/>
        <w:szCs w:val="18"/>
        <w:lang w:val="de-DE"/>
      </w:rPr>
      <w:t xml:space="preserve">    Tel (+49 228) 815 2401   ●   Fax (+49 228) 815 2449   ●   E-Mail: cms.secretariat@cms.int   ●   Website:  www.cms.int</w:t>
    </w:r>
  </w:p>
  <w:p w:rsidR="00216DB7" w:rsidRPr="00734BD6" w:rsidRDefault="00216DB7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17AE" w:rsidRDefault="007F17AE" w:rsidP="00494ED9">
      <w:r>
        <w:separator/>
      </w:r>
    </w:p>
  </w:footnote>
  <w:footnote w:type="continuationSeparator" w:id="0">
    <w:p w:rsidR="007F17AE" w:rsidRDefault="007F17AE" w:rsidP="00494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DB7" w:rsidRDefault="00216DB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3090">
      <w:rPr>
        <w:rStyle w:val="PageNumber"/>
        <w:noProof/>
      </w:rPr>
      <w:t>1</w:t>
    </w:r>
    <w:r>
      <w:rPr>
        <w:rStyle w:val="PageNumber"/>
      </w:rPr>
      <w:fldChar w:fldCharType="end"/>
    </w:r>
  </w:p>
  <w:p w:rsidR="00216DB7" w:rsidRDefault="00216D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798" w:rsidRPr="00A6557D" w:rsidRDefault="00005798" w:rsidP="00005798">
    <w:pPr>
      <w:pBdr>
        <w:bottom w:val="single" w:sz="4" w:space="1" w:color="auto"/>
      </w:pBdr>
      <w:tabs>
        <w:tab w:val="left" w:pos="-720"/>
        <w:tab w:val="left" w:pos="310"/>
        <w:tab w:val="left" w:pos="1080"/>
      </w:tabs>
      <w:ind w:right="-64"/>
      <w:jc w:val="both"/>
      <w:rPr>
        <w:rFonts w:ascii="Arial" w:hAnsi="Arial" w:cs="Arial"/>
        <w:b/>
        <w:i/>
        <w:spacing w:val="5"/>
        <w:sz w:val="20"/>
        <w:szCs w:val="20"/>
      </w:rPr>
    </w:pPr>
    <w:bookmarkStart w:id="1" w:name="_Hlk515881791"/>
    <w:bookmarkStart w:id="2" w:name="_Hlk515881792"/>
    <w:bookmarkStart w:id="3" w:name="_Hlk515881793"/>
    <w:bookmarkStart w:id="4" w:name="_Hlk515881794"/>
    <w:bookmarkStart w:id="5" w:name="_Hlk515881795"/>
    <w:bookmarkStart w:id="6" w:name="_Hlk515881796"/>
    <w:bookmarkStart w:id="7" w:name="_Hlk515881797"/>
    <w:bookmarkStart w:id="8" w:name="_Hlk515881798"/>
    <w:bookmarkStart w:id="9" w:name="_Hlk515881799"/>
    <w:bookmarkStart w:id="10" w:name="_Hlk515882333"/>
    <w:bookmarkStart w:id="11" w:name="_Hlk515882334"/>
    <w:bookmarkStart w:id="12" w:name="_Hlk515882335"/>
    <w:r w:rsidRPr="00A6557D">
      <w:rPr>
        <w:rFonts w:ascii="Arial" w:hAnsi="Arial" w:cs="Arial"/>
        <w:i/>
        <w:noProof/>
        <w:sz w:val="20"/>
        <w:szCs w:val="20"/>
        <w:lang w:val="en-US"/>
      </w:rPr>
      <w:t>UNEP/CMS/MOS2/GRB/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r>
      <w:rPr>
        <w:rFonts w:ascii="Arial" w:hAnsi="Arial" w:cs="Arial"/>
        <w:i/>
        <w:noProof/>
        <w:sz w:val="20"/>
        <w:szCs w:val="20"/>
        <w:lang w:val="en-US"/>
      </w:rPr>
      <w:t>Doc.</w:t>
    </w:r>
    <w:r>
      <w:rPr>
        <w:rFonts w:ascii="Arial" w:hAnsi="Arial" w:cs="Arial"/>
        <w:i/>
        <w:noProof/>
        <w:sz w:val="20"/>
        <w:szCs w:val="20"/>
        <w:lang w:val="en-US"/>
      </w:rPr>
      <w:t>4</w:t>
    </w:r>
  </w:p>
  <w:p w:rsidR="00005798" w:rsidRPr="00005798" w:rsidRDefault="00005798" w:rsidP="00005798">
    <w:pPr>
      <w:tabs>
        <w:tab w:val="left" w:pos="-720"/>
        <w:tab w:val="left" w:pos="310"/>
        <w:tab w:val="left" w:pos="835"/>
      </w:tabs>
      <w:spacing w:line="154" w:lineRule="auto"/>
      <w:ind w:firstLine="310"/>
      <w:jc w:val="both"/>
      <w:rPr>
        <w:rFonts w:ascii="Arial" w:hAnsi="Arial" w:cs="Arial"/>
        <w:kern w:val="2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06" w:rsidRPr="008C639C" w:rsidRDefault="006C1ACD" w:rsidP="00CF6706">
    <w:pPr>
      <w:tabs>
        <w:tab w:val="left" w:pos="-720"/>
        <w:tab w:val="left" w:pos="310"/>
        <w:tab w:val="left" w:pos="1080"/>
      </w:tabs>
      <w:ind w:right="1123"/>
      <w:jc w:val="both"/>
      <w:rPr>
        <w:rFonts w:ascii="Arial" w:hAnsi="Arial" w:cs="Arial"/>
        <w:b/>
        <w:spacing w:val="5"/>
        <w:sz w:val="22"/>
        <w:szCs w:val="22"/>
      </w:rPr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-391795</wp:posOffset>
          </wp:positionH>
          <wp:positionV relativeFrom="paragraph">
            <wp:posOffset>34290</wp:posOffset>
          </wp:positionV>
          <wp:extent cx="1168400" cy="872490"/>
          <wp:effectExtent l="0" t="0" r="0" b="0"/>
          <wp:wrapTight wrapText="bothSides">
            <wp:wrapPolygon edited="0">
              <wp:start x="2817" y="1886"/>
              <wp:lineTo x="1761" y="4245"/>
              <wp:lineTo x="1409" y="18393"/>
              <wp:lineTo x="5283" y="19336"/>
              <wp:lineTo x="7043" y="19336"/>
              <wp:lineTo x="20074" y="18393"/>
              <wp:lineTo x="19370" y="4245"/>
              <wp:lineTo x="18313" y="1886"/>
              <wp:lineTo x="2817" y="1886"/>
            </wp:wrapPolygon>
          </wp:wrapTight>
          <wp:docPr id="30" name="Picture 30" descr="UNEnvironment_Logo_Spanish_Full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NEnvironment_Logo_Spanish_Full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72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904875</wp:posOffset>
              </wp:positionH>
              <wp:positionV relativeFrom="paragraph">
                <wp:posOffset>290830</wp:posOffset>
              </wp:positionV>
              <wp:extent cx="4583430" cy="55880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55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111C" w:rsidRPr="008C639C" w:rsidRDefault="0037111C" w:rsidP="0037111C">
                          <w:pPr>
                            <w:rPr>
                              <w:rFonts w:ascii="Arial" w:hAnsi="Arial" w:cs="Arial"/>
                              <w:b/>
                              <w:spacing w:val="9"/>
                              <w:sz w:val="32"/>
                              <w:szCs w:val="33"/>
                              <w:lang w:val="es-ES"/>
                            </w:rPr>
                          </w:pPr>
                          <w:r w:rsidRPr="008C639C">
                            <w:rPr>
                              <w:rFonts w:ascii="Arial" w:hAnsi="Arial" w:cs="Arial"/>
                              <w:b/>
                              <w:spacing w:val="9"/>
                              <w:sz w:val="32"/>
                              <w:szCs w:val="33"/>
                              <w:lang w:val="es-ES"/>
                            </w:rPr>
                            <w:t>Convención sobre la conservación de las</w:t>
                          </w:r>
                        </w:p>
                        <w:p w:rsidR="00CF6706" w:rsidRPr="0037111C" w:rsidRDefault="0037111C" w:rsidP="0037111C">
                          <w:pPr>
                            <w:rPr>
                              <w:rFonts w:ascii="Arial" w:hAnsi="Arial" w:cs="Arial"/>
                              <w:b/>
                              <w:spacing w:val="6"/>
                              <w:sz w:val="32"/>
                              <w:szCs w:val="33"/>
                              <w:lang w:val="en-US"/>
                            </w:rPr>
                          </w:pP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especies</w:t>
                          </w:r>
                          <w:proofErr w:type="spellEnd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migratorias</w:t>
                          </w:r>
                          <w:proofErr w:type="spellEnd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 xml:space="preserve"> de </w:t>
                          </w: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animales</w:t>
                          </w:r>
                          <w:proofErr w:type="spellEnd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7111C">
                            <w:rPr>
                              <w:rFonts w:ascii="Arial" w:hAnsi="Arial" w:cs="Arial"/>
                              <w:b/>
                              <w:sz w:val="32"/>
                              <w:szCs w:val="33"/>
                              <w:lang w:val="en-US"/>
                            </w:rPr>
                            <w:t>silvestres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1.25pt;margin-top:22.9pt;width:360.9pt;height:44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AnmswIAALY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" filled="f" stroked="f" strokeweight="0">
              <v:textbox style="mso-fit-shape-to-text:t">
                <w:txbxContent>
                  <w:p w:rsidR="0037111C" w:rsidRPr="008C639C" w:rsidRDefault="0037111C" w:rsidP="0037111C">
                    <w:pPr>
                      <w:rPr>
                        <w:rFonts w:ascii="Arial" w:hAnsi="Arial" w:cs="Arial"/>
                        <w:b/>
                        <w:spacing w:val="9"/>
                        <w:sz w:val="32"/>
                        <w:szCs w:val="33"/>
                        <w:lang w:val="es-ES"/>
                      </w:rPr>
                    </w:pPr>
                    <w:r w:rsidRPr="008C639C">
                      <w:rPr>
                        <w:rFonts w:ascii="Arial" w:hAnsi="Arial" w:cs="Arial"/>
                        <w:b/>
                        <w:spacing w:val="9"/>
                        <w:sz w:val="32"/>
                        <w:szCs w:val="33"/>
                        <w:lang w:val="es-ES"/>
                      </w:rPr>
                      <w:t>Convención sobre la conservación de las</w:t>
                    </w:r>
                  </w:p>
                  <w:p w:rsidR="00CF6706" w:rsidRPr="0037111C" w:rsidRDefault="0037111C" w:rsidP="0037111C">
                    <w:pPr>
                      <w:rPr>
                        <w:rFonts w:ascii="Arial" w:hAnsi="Arial" w:cs="Arial"/>
                        <w:b/>
                        <w:spacing w:val="6"/>
                        <w:sz w:val="32"/>
                        <w:szCs w:val="33"/>
                        <w:lang w:val="en-US"/>
                      </w:rPr>
                    </w:pPr>
                    <w:proofErr w:type="spellStart"/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>especies</w:t>
                    </w:r>
                    <w:proofErr w:type="spellEnd"/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 xml:space="preserve"> </w:t>
                    </w:r>
                    <w:proofErr w:type="spellStart"/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>migratorias</w:t>
                    </w:r>
                    <w:proofErr w:type="spellEnd"/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 xml:space="preserve"> de </w:t>
                    </w:r>
                    <w:proofErr w:type="spellStart"/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>animales</w:t>
                    </w:r>
                    <w:proofErr w:type="spellEnd"/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 xml:space="preserve"> </w:t>
                    </w:r>
                    <w:proofErr w:type="spellStart"/>
                    <w:r w:rsidRPr="0037111C">
                      <w:rPr>
                        <w:rFonts w:ascii="Arial" w:hAnsi="Arial" w:cs="Arial"/>
                        <w:b/>
                        <w:sz w:val="32"/>
                        <w:szCs w:val="33"/>
                        <w:lang w:val="en-US"/>
                      </w:rPr>
                      <w:t>silvestres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5587365</wp:posOffset>
          </wp:positionH>
          <wp:positionV relativeFrom="paragraph">
            <wp:posOffset>108585</wp:posOffset>
          </wp:positionV>
          <wp:extent cx="492125" cy="690880"/>
          <wp:effectExtent l="0" t="0" r="3175" b="0"/>
          <wp:wrapTight wrapText="bothSides">
            <wp:wrapPolygon edited="0">
              <wp:start x="0" y="0"/>
              <wp:lineTo x="0" y="20846"/>
              <wp:lineTo x="20903" y="20846"/>
              <wp:lineTo x="20903" y="0"/>
              <wp:lineTo x="0" y="0"/>
            </wp:wrapPolygon>
          </wp:wrapTight>
          <wp:docPr id="31" name="Picture 31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12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6706" w:rsidRPr="00CF6706">
      <w:rPr>
        <w:rFonts w:ascii="Arial" w:hAnsi="Arial" w:cs="Arial"/>
        <w:b/>
        <w:spacing w:val="5"/>
        <w:sz w:val="34"/>
        <w:szCs w:val="3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90C"/>
    <w:multiLevelType w:val="hybridMultilevel"/>
    <w:tmpl w:val="1DB03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16248"/>
    <w:multiLevelType w:val="hybridMultilevel"/>
    <w:tmpl w:val="6C5C8D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772341"/>
    <w:multiLevelType w:val="hybridMultilevel"/>
    <w:tmpl w:val="4378B7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1009A"/>
    <w:multiLevelType w:val="hybridMultilevel"/>
    <w:tmpl w:val="B2D403BE"/>
    <w:lvl w:ilvl="0" w:tplc="90E0522C">
      <w:start w:val="1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B3ED8"/>
    <w:multiLevelType w:val="hybridMultilevel"/>
    <w:tmpl w:val="38243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452F7E"/>
    <w:multiLevelType w:val="hybridMultilevel"/>
    <w:tmpl w:val="882EC3F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5E9D0095"/>
    <w:multiLevelType w:val="hybridMultilevel"/>
    <w:tmpl w:val="FC96A996"/>
    <w:lvl w:ilvl="0" w:tplc="0C80D5F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D149A4"/>
    <w:multiLevelType w:val="hybridMultilevel"/>
    <w:tmpl w:val="C1D82816"/>
    <w:lvl w:ilvl="0" w:tplc="33CEB7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6D"/>
    <w:rsid w:val="00005798"/>
    <w:rsid w:val="000372B8"/>
    <w:rsid w:val="00044A9A"/>
    <w:rsid w:val="0008433B"/>
    <w:rsid w:val="000932D3"/>
    <w:rsid w:val="000C5AA0"/>
    <w:rsid w:val="000D51BC"/>
    <w:rsid w:val="00107E1E"/>
    <w:rsid w:val="00181F69"/>
    <w:rsid w:val="00196BB8"/>
    <w:rsid w:val="00197C00"/>
    <w:rsid w:val="001C597E"/>
    <w:rsid w:val="001C7932"/>
    <w:rsid w:val="001D07A8"/>
    <w:rsid w:val="001D5238"/>
    <w:rsid w:val="00212F20"/>
    <w:rsid w:val="00216831"/>
    <w:rsid w:val="00216DB7"/>
    <w:rsid w:val="00221516"/>
    <w:rsid w:val="00235BB4"/>
    <w:rsid w:val="00243563"/>
    <w:rsid w:val="002710C9"/>
    <w:rsid w:val="0028545A"/>
    <w:rsid w:val="002A5D89"/>
    <w:rsid w:val="002F78EF"/>
    <w:rsid w:val="00324CCC"/>
    <w:rsid w:val="003350C7"/>
    <w:rsid w:val="0037105A"/>
    <w:rsid w:val="0037111C"/>
    <w:rsid w:val="003C6603"/>
    <w:rsid w:val="003D23A6"/>
    <w:rsid w:val="00423090"/>
    <w:rsid w:val="00445152"/>
    <w:rsid w:val="00486D38"/>
    <w:rsid w:val="00494ED9"/>
    <w:rsid w:val="0049751B"/>
    <w:rsid w:val="004A1163"/>
    <w:rsid w:val="004A300D"/>
    <w:rsid w:val="004E1013"/>
    <w:rsid w:val="004F7633"/>
    <w:rsid w:val="005135D2"/>
    <w:rsid w:val="00525685"/>
    <w:rsid w:val="00533765"/>
    <w:rsid w:val="005425AA"/>
    <w:rsid w:val="00570A7D"/>
    <w:rsid w:val="0057512B"/>
    <w:rsid w:val="00581A64"/>
    <w:rsid w:val="005A14F2"/>
    <w:rsid w:val="005C6EEC"/>
    <w:rsid w:val="006020BF"/>
    <w:rsid w:val="00625BE0"/>
    <w:rsid w:val="00653496"/>
    <w:rsid w:val="00655042"/>
    <w:rsid w:val="0067059D"/>
    <w:rsid w:val="006B18F2"/>
    <w:rsid w:val="006B5C2F"/>
    <w:rsid w:val="006C1ACD"/>
    <w:rsid w:val="006F2C93"/>
    <w:rsid w:val="006F59F4"/>
    <w:rsid w:val="006F7F37"/>
    <w:rsid w:val="00722004"/>
    <w:rsid w:val="007307EE"/>
    <w:rsid w:val="007339DF"/>
    <w:rsid w:val="00734BD6"/>
    <w:rsid w:val="00741919"/>
    <w:rsid w:val="00750559"/>
    <w:rsid w:val="00752A4A"/>
    <w:rsid w:val="00771463"/>
    <w:rsid w:val="00773C9F"/>
    <w:rsid w:val="0079201B"/>
    <w:rsid w:val="00792EA5"/>
    <w:rsid w:val="007A0A7F"/>
    <w:rsid w:val="007A1E45"/>
    <w:rsid w:val="007C10FE"/>
    <w:rsid w:val="007D267C"/>
    <w:rsid w:val="007D416D"/>
    <w:rsid w:val="007E553A"/>
    <w:rsid w:val="007E5AFE"/>
    <w:rsid w:val="007E5F3F"/>
    <w:rsid w:val="007E75B8"/>
    <w:rsid w:val="007E7D59"/>
    <w:rsid w:val="007F17AE"/>
    <w:rsid w:val="007F24B4"/>
    <w:rsid w:val="00826BE0"/>
    <w:rsid w:val="0086215C"/>
    <w:rsid w:val="008635CA"/>
    <w:rsid w:val="0089240B"/>
    <w:rsid w:val="008C0DCF"/>
    <w:rsid w:val="008C639C"/>
    <w:rsid w:val="008D23B6"/>
    <w:rsid w:val="008E2483"/>
    <w:rsid w:val="00901674"/>
    <w:rsid w:val="00922268"/>
    <w:rsid w:val="00931598"/>
    <w:rsid w:val="009722BC"/>
    <w:rsid w:val="0099178F"/>
    <w:rsid w:val="00993461"/>
    <w:rsid w:val="00995F77"/>
    <w:rsid w:val="009C201B"/>
    <w:rsid w:val="009D272C"/>
    <w:rsid w:val="009D40A1"/>
    <w:rsid w:val="009D7565"/>
    <w:rsid w:val="009E4C6A"/>
    <w:rsid w:val="009F063E"/>
    <w:rsid w:val="00A13691"/>
    <w:rsid w:val="00A72476"/>
    <w:rsid w:val="00AA0CAB"/>
    <w:rsid w:val="00AB2BEB"/>
    <w:rsid w:val="00AD46C6"/>
    <w:rsid w:val="00AF59EE"/>
    <w:rsid w:val="00B20332"/>
    <w:rsid w:val="00B24960"/>
    <w:rsid w:val="00B344F2"/>
    <w:rsid w:val="00B41E91"/>
    <w:rsid w:val="00B47E5B"/>
    <w:rsid w:val="00B50C13"/>
    <w:rsid w:val="00B5126B"/>
    <w:rsid w:val="00B96CB8"/>
    <w:rsid w:val="00BB5BF5"/>
    <w:rsid w:val="00BF1836"/>
    <w:rsid w:val="00C05EE4"/>
    <w:rsid w:val="00C2755B"/>
    <w:rsid w:val="00C4143F"/>
    <w:rsid w:val="00C67BE3"/>
    <w:rsid w:val="00C7258F"/>
    <w:rsid w:val="00C772AF"/>
    <w:rsid w:val="00C805C5"/>
    <w:rsid w:val="00CB2954"/>
    <w:rsid w:val="00CB5DB9"/>
    <w:rsid w:val="00CE525D"/>
    <w:rsid w:val="00CF6706"/>
    <w:rsid w:val="00D046C6"/>
    <w:rsid w:val="00D33DE7"/>
    <w:rsid w:val="00D52D0B"/>
    <w:rsid w:val="00D96F3B"/>
    <w:rsid w:val="00DE17A8"/>
    <w:rsid w:val="00E0376A"/>
    <w:rsid w:val="00E11118"/>
    <w:rsid w:val="00E46A28"/>
    <w:rsid w:val="00E66E7F"/>
    <w:rsid w:val="00E76D3F"/>
    <w:rsid w:val="00E81BD1"/>
    <w:rsid w:val="00E93EA0"/>
    <w:rsid w:val="00ED3347"/>
    <w:rsid w:val="00F1158B"/>
    <w:rsid w:val="00F12156"/>
    <w:rsid w:val="00F20677"/>
    <w:rsid w:val="00F36C53"/>
    <w:rsid w:val="00F52E07"/>
    <w:rsid w:val="00F84A94"/>
    <w:rsid w:val="00F96D3E"/>
    <w:rsid w:val="00FA2484"/>
    <w:rsid w:val="00FD2EC0"/>
    <w:rsid w:val="00FE6458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3A325799"/>
  <w15:chartTrackingRefBased/>
  <w15:docId w15:val="{FA92524D-0FB1-4909-96CF-8CFB63D5E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spacing w:val="8"/>
      <w:kern w:val="2"/>
    </w:rPr>
  </w:style>
  <w:style w:type="paragraph" w:styleId="Heading2">
    <w:name w:val="heading 2"/>
    <w:basedOn w:val="Normal"/>
    <w:next w:val="Normal"/>
    <w:qFormat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1"/>
    </w:pPr>
    <w:rPr>
      <w:b/>
      <w:bCs/>
      <w:snapToGrid w:val="0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snapToGrid w:val="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tabs>
        <w:tab w:val="left" w:pos="-720"/>
        <w:tab w:val="left" w:pos="310"/>
        <w:tab w:val="left" w:pos="835"/>
      </w:tabs>
      <w:ind w:firstLine="900"/>
      <w:jc w:val="both"/>
    </w:pPr>
    <w:rPr>
      <w:b/>
      <w:sz w:val="40"/>
    </w:rPr>
  </w:style>
  <w:style w:type="paragraph" w:styleId="BodyTextIndent">
    <w:name w:val="Body Text Indent"/>
    <w:basedOn w:val="Normal"/>
    <w:pPr>
      <w:tabs>
        <w:tab w:val="left" w:pos="-720"/>
        <w:tab w:val="left" w:pos="310"/>
        <w:tab w:val="left" w:pos="835"/>
      </w:tabs>
      <w:spacing w:line="203" w:lineRule="auto"/>
      <w:ind w:firstLine="1260"/>
      <w:jc w:val="both"/>
    </w:pPr>
    <w:rPr>
      <w:b/>
      <w:sz w:val="44"/>
    </w:rPr>
  </w:style>
  <w:style w:type="paragraph" w:styleId="BodyText">
    <w:name w:val="Body Text"/>
    <w:basedOn w:val="Normal"/>
    <w:rPr>
      <w:b/>
      <w:bCs/>
      <w:spacing w:val="20"/>
      <w:sz w:val="44"/>
    </w:rPr>
  </w:style>
  <w:style w:type="paragraph" w:styleId="BodyText2">
    <w:name w:val="Body Text 2"/>
    <w:basedOn w:val="Normal"/>
    <w:rPr>
      <w:sz w:val="22"/>
      <w:szCs w:val="22"/>
      <w:lang w:val="fr-FR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16DB7"/>
    <w:rPr>
      <w:rFonts w:ascii="Calibri" w:eastAsia="Calibri" w:hAnsi="Calibri" w:cs="Calibri"/>
      <w:sz w:val="22"/>
      <w:szCs w:val="22"/>
      <w:lang w:val="en-US"/>
    </w:rPr>
  </w:style>
  <w:style w:type="character" w:customStyle="1" w:styleId="PlainTextChar">
    <w:name w:val="Plain Text Char"/>
    <w:link w:val="PlainText"/>
    <w:uiPriority w:val="99"/>
    <w:semiHidden/>
    <w:rsid w:val="00216DB7"/>
    <w:rPr>
      <w:rFonts w:ascii="Calibri" w:eastAsia="Calibri" w:hAnsi="Calibri" w:cs="Calibri"/>
      <w:sz w:val="22"/>
      <w:szCs w:val="22"/>
    </w:rPr>
  </w:style>
  <w:style w:type="character" w:customStyle="1" w:styleId="HeaderChar">
    <w:name w:val="Header Char"/>
    <w:link w:val="Header"/>
    <w:uiPriority w:val="99"/>
    <w:rsid w:val="00741919"/>
    <w:rPr>
      <w:snapToGrid w:val="0"/>
      <w:sz w:val="24"/>
      <w:lang w:val="en-GB"/>
    </w:rPr>
  </w:style>
  <w:style w:type="paragraph" w:styleId="NoSpacing">
    <w:name w:val="No Spacing"/>
    <w:uiPriority w:val="1"/>
    <w:qFormat/>
    <w:rsid w:val="005425AA"/>
    <w:rPr>
      <w:sz w:val="24"/>
      <w:szCs w:val="24"/>
      <w:lang w:val="en-GB"/>
    </w:rPr>
  </w:style>
  <w:style w:type="character" w:styleId="CommentReference">
    <w:name w:val="annotation reference"/>
    <w:rsid w:val="006B5C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5C2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link w:val="CommentText"/>
    <w:rsid w:val="006B5C2F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C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5C2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46A28"/>
    <w:pPr>
      <w:ind w:left="720"/>
    </w:pPr>
    <w:rPr>
      <w:rFonts w:ascii="Calibri" w:eastAsia="Calibri" w:hAnsi="Calibri" w:cs="Calibri"/>
      <w:sz w:val="22"/>
      <w:szCs w:val="22"/>
      <w:lang w:val="en-US"/>
    </w:rPr>
  </w:style>
  <w:style w:type="paragraph" w:customStyle="1" w:styleId="Default">
    <w:name w:val="Default"/>
    <w:rsid w:val="00F1215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05798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8F630-5A30-49A3-8924-2DB292B0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UNEP/CMS Secretariat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bschoenberg</dc:creator>
  <cp:keywords/>
  <dc:description/>
  <cp:lastModifiedBy>Ximena Cancino</cp:lastModifiedBy>
  <cp:revision>2</cp:revision>
  <cp:lastPrinted>2017-01-26T10:22:00Z</cp:lastPrinted>
  <dcterms:created xsi:type="dcterms:W3CDTF">2018-06-05T08:29:00Z</dcterms:created>
  <dcterms:modified xsi:type="dcterms:W3CDTF">2018-06-05T08:29:00Z</dcterms:modified>
</cp:coreProperties>
</file>