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03"/>
        <w:gridCol w:w="4119"/>
      </w:tblGrid>
      <w:tr w:rsidR="0008199A" w:rsidRPr="009B58BF" w:rsidTr="009B58B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8199A" w:rsidRPr="0008199A" w:rsidRDefault="0008199A" w:rsidP="002C685A">
            <w:pPr>
              <w:widowControl w:val="0"/>
              <w:suppressAutoHyphens/>
              <w:autoSpaceDE w:val="0"/>
              <w:autoSpaceDN w:val="0"/>
              <w:textAlignment w:val="baseline"/>
              <w:rPr>
                <w:rFonts w:ascii="Arial" w:eastAsia="Calibri" w:hAnsi="Arial" w:cs="Arial"/>
              </w:rPr>
            </w:pPr>
            <w:r w:rsidRPr="0008199A">
              <w:rPr>
                <w:rFonts w:ascii="Arial" w:hAnsi="Arial" w:cs="Arial"/>
                <w:noProof/>
              </w:rPr>
              <w:drawing>
                <wp:inline distT="0" distB="0" distL="0" distR="0" wp14:anchorId="4068E32E" wp14:editId="12E01FE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08199A" w:rsidRPr="0008199A" w:rsidRDefault="0008199A" w:rsidP="002C685A">
            <w:pPr>
              <w:widowControl w:val="0"/>
              <w:suppressAutoHyphens/>
              <w:autoSpaceDE w:val="0"/>
              <w:autoSpaceDN w:val="0"/>
              <w:textAlignment w:val="baseline"/>
              <w:rPr>
                <w:rFonts w:ascii="Arial" w:hAnsi="Arial" w:cs="Arial"/>
                <w:lang w:val="fr-FR"/>
              </w:rPr>
            </w:pPr>
          </w:p>
        </w:tc>
        <w:tc>
          <w:tcPr>
            <w:tcW w:w="4003" w:type="dxa"/>
            <w:tcBorders>
              <w:top w:val="single" w:sz="12" w:space="0" w:color="000000"/>
              <w:bottom w:val="single" w:sz="12" w:space="0" w:color="000000"/>
            </w:tcBorders>
            <w:shd w:val="clear" w:color="auto" w:fill="auto"/>
            <w:tcMar>
              <w:top w:w="85" w:type="dxa"/>
              <w:left w:w="108" w:type="dxa"/>
              <w:bottom w:w="0" w:type="dxa"/>
              <w:right w:w="108" w:type="dxa"/>
            </w:tcMar>
          </w:tcPr>
          <w:p w:rsidR="0008199A" w:rsidRPr="0008199A" w:rsidRDefault="0008199A" w:rsidP="002C685A">
            <w:pPr>
              <w:keepNext/>
              <w:widowControl w:val="0"/>
              <w:suppressAutoHyphens/>
              <w:autoSpaceDE w:val="0"/>
              <w:autoSpaceDN w:val="0"/>
              <w:ind w:left="-108"/>
              <w:textAlignment w:val="baseline"/>
              <w:outlineLvl w:val="1"/>
              <w:rPr>
                <w:rFonts w:ascii="Arial" w:hAnsi="Arial" w:cs="Arial"/>
                <w:sz w:val="12"/>
                <w:szCs w:val="12"/>
                <w:lang w:val="fr-FR"/>
              </w:rPr>
            </w:pPr>
          </w:p>
          <w:p w:rsidR="0008199A" w:rsidRPr="0008199A" w:rsidRDefault="0008199A" w:rsidP="002C685A">
            <w:pPr>
              <w:keepNext/>
              <w:widowControl w:val="0"/>
              <w:suppressAutoHyphens/>
              <w:autoSpaceDE w:val="0"/>
              <w:autoSpaceDN w:val="0"/>
              <w:ind w:left="-108"/>
              <w:textAlignment w:val="baseline"/>
              <w:outlineLvl w:val="1"/>
              <w:rPr>
                <w:rFonts w:ascii="Arial" w:eastAsia="Calibri" w:hAnsi="Arial" w:cs="Arial"/>
                <w:lang w:val="fr-FR"/>
              </w:rPr>
            </w:pPr>
            <w:r w:rsidRPr="0008199A">
              <w:rPr>
                <w:rFonts w:ascii="Arial" w:eastAsia="Arial" w:hAnsi="Arial" w:cs="Arial"/>
                <w:b/>
                <w:bCs/>
                <w:sz w:val="32"/>
                <w:szCs w:val="32"/>
                <w:lang w:val="fr-FR"/>
              </w:rPr>
              <w:t>CONVENTION SUR</w:t>
            </w:r>
          </w:p>
          <w:p w:rsidR="0008199A" w:rsidRPr="0008199A" w:rsidRDefault="0008199A" w:rsidP="002C685A">
            <w:pPr>
              <w:keepNext/>
              <w:widowControl w:val="0"/>
              <w:suppressAutoHyphens/>
              <w:autoSpaceDE w:val="0"/>
              <w:autoSpaceDN w:val="0"/>
              <w:ind w:left="-108"/>
              <w:textAlignment w:val="baseline"/>
              <w:outlineLvl w:val="1"/>
              <w:rPr>
                <w:rFonts w:ascii="Arial" w:eastAsia="Calibri" w:hAnsi="Arial" w:cs="Arial"/>
                <w:lang w:val="fr-FR"/>
              </w:rPr>
            </w:pPr>
            <w:r w:rsidRPr="0008199A">
              <w:rPr>
                <w:rFonts w:ascii="Arial" w:eastAsia="Arial" w:hAnsi="Arial" w:cs="Arial"/>
                <w:b/>
                <w:bCs/>
                <w:sz w:val="32"/>
                <w:szCs w:val="32"/>
                <w:lang w:val="fr-FR"/>
              </w:rPr>
              <w:t>LES ESPÈCES</w:t>
            </w:r>
          </w:p>
          <w:p w:rsidR="0008199A" w:rsidRPr="0008199A" w:rsidRDefault="0008199A" w:rsidP="002C685A">
            <w:pPr>
              <w:keepNext/>
              <w:widowControl w:val="0"/>
              <w:suppressAutoHyphens/>
              <w:autoSpaceDE w:val="0"/>
              <w:autoSpaceDN w:val="0"/>
              <w:ind w:left="-108"/>
              <w:textAlignment w:val="baseline"/>
              <w:outlineLvl w:val="1"/>
              <w:rPr>
                <w:rFonts w:ascii="Arial" w:eastAsia="Calibri" w:hAnsi="Arial" w:cs="Arial"/>
                <w:lang w:val="fr-FR"/>
              </w:rPr>
            </w:pPr>
            <w:r w:rsidRPr="0008199A">
              <w:rPr>
                <w:rFonts w:ascii="Arial" w:eastAsia="Arial" w:hAnsi="Arial" w:cs="Arial"/>
                <w:b/>
                <w:bCs/>
                <w:sz w:val="32"/>
                <w:szCs w:val="32"/>
                <w:lang w:val="fr-FR"/>
              </w:rPr>
              <w:t>MIGRATRICES</w:t>
            </w:r>
          </w:p>
        </w:tc>
        <w:tc>
          <w:tcPr>
            <w:tcW w:w="4119" w:type="dxa"/>
            <w:tcBorders>
              <w:top w:val="single" w:sz="12" w:space="0" w:color="000000"/>
              <w:bottom w:val="single" w:sz="12" w:space="0" w:color="000000"/>
            </w:tcBorders>
            <w:shd w:val="clear" w:color="auto" w:fill="auto"/>
            <w:tcMar>
              <w:top w:w="85" w:type="dxa"/>
              <w:left w:w="108" w:type="dxa"/>
              <w:bottom w:w="0" w:type="dxa"/>
              <w:right w:w="108" w:type="dxa"/>
            </w:tcMar>
          </w:tcPr>
          <w:p w:rsidR="0008199A" w:rsidRPr="009B58BF" w:rsidRDefault="0008199A" w:rsidP="002C685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Arial" w:eastAsia="Arial" w:hAnsi="Arial" w:cs="Arial"/>
                <w:sz w:val="22"/>
                <w:szCs w:val="22"/>
                <w:lang w:val="fr-FR"/>
              </w:rPr>
            </w:pPr>
            <w:r w:rsidRPr="009B58BF">
              <w:rPr>
                <w:rFonts w:ascii="Arial" w:eastAsia="Arial" w:hAnsi="Arial" w:cs="Arial"/>
                <w:sz w:val="22"/>
                <w:szCs w:val="22"/>
                <w:lang w:val="fr-FR"/>
              </w:rPr>
              <w:t>UNEP/CMS/COP13/Doc.</w:t>
            </w:r>
            <w:r w:rsidR="009B58BF" w:rsidRPr="009B58BF">
              <w:rPr>
                <w:rFonts w:ascii="Arial" w:eastAsia="Arial" w:hAnsi="Arial" w:cs="Arial"/>
                <w:sz w:val="22"/>
                <w:szCs w:val="22"/>
                <w:lang w:val="fr-FR"/>
              </w:rPr>
              <w:t>26.2.4/Rev.1/Annexe 3</w:t>
            </w:r>
          </w:p>
          <w:p w:rsidR="0008199A" w:rsidRPr="009B58BF" w:rsidRDefault="009B58BF" w:rsidP="002C685A">
            <w:pPr>
              <w:widowControl w:val="0"/>
              <w:tabs>
                <w:tab w:val="left" w:pos="5040"/>
                <w:tab w:val="left" w:pos="5760"/>
                <w:tab w:val="left" w:pos="6008"/>
                <w:tab w:val="left" w:pos="6480"/>
                <w:tab w:val="left" w:pos="7200"/>
                <w:tab w:val="left" w:pos="7920"/>
                <w:tab w:val="left" w:pos="8640"/>
              </w:tabs>
              <w:suppressAutoHyphens/>
              <w:autoSpaceDE w:val="0"/>
              <w:autoSpaceDN w:val="0"/>
              <w:spacing w:after="120"/>
              <w:textAlignment w:val="baseline"/>
              <w:rPr>
                <w:rFonts w:ascii="Arial" w:eastAsia="Arial" w:hAnsi="Arial" w:cs="Arial"/>
                <w:sz w:val="22"/>
                <w:szCs w:val="22"/>
                <w:lang w:val="fr-FR"/>
              </w:rPr>
            </w:pPr>
            <w:r>
              <w:rPr>
                <w:rFonts w:ascii="Arial" w:eastAsia="Arial" w:hAnsi="Arial" w:cs="Arial"/>
                <w:sz w:val="22"/>
                <w:szCs w:val="22"/>
                <w:lang w:val="fr-FR"/>
              </w:rPr>
              <w:t>21 novembre</w:t>
            </w:r>
            <w:r w:rsidR="0008199A" w:rsidRPr="009B58BF">
              <w:rPr>
                <w:rFonts w:ascii="Arial" w:eastAsia="Arial" w:hAnsi="Arial" w:cs="Arial"/>
                <w:sz w:val="22"/>
                <w:szCs w:val="22"/>
                <w:lang w:val="fr-FR"/>
              </w:rPr>
              <w:t xml:space="preserve"> 2019</w:t>
            </w:r>
          </w:p>
          <w:p w:rsidR="0008199A" w:rsidRPr="009B58BF" w:rsidRDefault="0008199A" w:rsidP="002C685A">
            <w:pPr>
              <w:widowControl w:val="0"/>
              <w:suppressAutoHyphens/>
              <w:autoSpaceDE w:val="0"/>
              <w:autoSpaceDN w:val="0"/>
              <w:textAlignment w:val="baseline"/>
              <w:rPr>
                <w:rFonts w:ascii="Arial" w:eastAsia="Calibri" w:hAnsi="Arial" w:cs="Arial"/>
                <w:sz w:val="22"/>
                <w:szCs w:val="22"/>
                <w:lang w:val="fr-FR"/>
              </w:rPr>
            </w:pPr>
            <w:r w:rsidRPr="009B58BF">
              <w:rPr>
                <w:rFonts w:ascii="Arial" w:eastAsia="Arial" w:hAnsi="Arial" w:cs="Arial"/>
                <w:sz w:val="22"/>
                <w:szCs w:val="22"/>
                <w:lang w:val="fr-FR"/>
              </w:rPr>
              <w:t>Français</w:t>
            </w:r>
          </w:p>
          <w:p w:rsidR="0008199A" w:rsidRPr="009B58BF" w:rsidRDefault="0008199A" w:rsidP="002C685A">
            <w:pPr>
              <w:widowControl w:val="0"/>
              <w:suppressAutoHyphens/>
              <w:autoSpaceDE w:val="0"/>
              <w:autoSpaceDN w:val="0"/>
              <w:textAlignment w:val="baseline"/>
              <w:rPr>
                <w:rFonts w:ascii="Arial" w:eastAsia="Calibri" w:hAnsi="Arial" w:cs="Arial"/>
                <w:sz w:val="22"/>
                <w:szCs w:val="22"/>
                <w:lang w:val="fr-FR"/>
              </w:rPr>
            </w:pPr>
            <w:r w:rsidRPr="009B58BF">
              <w:rPr>
                <w:rFonts w:ascii="Arial" w:eastAsia="Arial" w:hAnsi="Arial" w:cs="Arial"/>
                <w:sz w:val="22"/>
                <w:szCs w:val="22"/>
                <w:lang w:val="fr-FR"/>
              </w:rPr>
              <w:t>Original : Anglais</w:t>
            </w:r>
          </w:p>
          <w:p w:rsidR="0008199A" w:rsidRPr="0008199A" w:rsidRDefault="0008199A" w:rsidP="002C685A">
            <w:pPr>
              <w:widowControl w:val="0"/>
              <w:suppressAutoHyphens/>
              <w:autoSpaceDE w:val="0"/>
              <w:autoSpaceDN w:val="0"/>
              <w:textAlignment w:val="baseline"/>
              <w:rPr>
                <w:rFonts w:ascii="Arial" w:hAnsi="Arial" w:cs="Arial"/>
                <w:sz w:val="12"/>
                <w:szCs w:val="12"/>
                <w:lang w:val="fr-FR"/>
              </w:rPr>
            </w:pPr>
          </w:p>
        </w:tc>
      </w:tr>
    </w:tbl>
    <w:p w:rsidR="0008199A" w:rsidRPr="00EC2A58" w:rsidRDefault="0008199A" w:rsidP="0008199A">
      <w:pPr>
        <w:widowControl w:val="0"/>
        <w:tabs>
          <w:tab w:val="left" w:pos="-1057"/>
          <w:tab w:val="left" w:pos="-720"/>
        </w:tabs>
        <w:suppressAutoHyphens/>
        <w:autoSpaceDE w:val="0"/>
        <w:autoSpaceDN w:val="0"/>
        <w:textAlignment w:val="baseline"/>
        <w:rPr>
          <w:rFonts w:eastAsia="Arial" w:cs="Arial"/>
          <w:sz w:val="8"/>
          <w:szCs w:val="8"/>
          <w:lang w:val="fr-FR"/>
        </w:rPr>
      </w:pPr>
    </w:p>
    <w:p w:rsidR="0008199A" w:rsidRPr="0008199A" w:rsidRDefault="0008199A" w:rsidP="0008199A">
      <w:pPr>
        <w:widowControl w:val="0"/>
        <w:tabs>
          <w:tab w:val="left" w:pos="-1057"/>
          <w:tab w:val="left" w:pos="-720"/>
        </w:tabs>
        <w:suppressAutoHyphens/>
        <w:autoSpaceDE w:val="0"/>
        <w:autoSpaceDN w:val="0"/>
        <w:textAlignment w:val="baseline"/>
        <w:rPr>
          <w:rFonts w:ascii="Arial" w:eastAsia="Calibri" w:hAnsi="Arial" w:cs="Arial"/>
          <w:sz w:val="22"/>
          <w:szCs w:val="22"/>
          <w:lang w:val="fr-FR"/>
        </w:rPr>
      </w:pPr>
      <w:r w:rsidRPr="0008199A">
        <w:rPr>
          <w:rFonts w:ascii="Arial" w:eastAsia="Arial" w:hAnsi="Arial" w:cs="Arial"/>
          <w:sz w:val="22"/>
          <w:szCs w:val="22"/>
          <w:lang w:val="fr-FR"/>
        </w:rPr>
        <w:t>13</w:t>
      </w:r>
      <w:r w:rsidRPr="0008199A">
        <w:rPr>
          <w:rFonts w:ascii="Arial" w:eastAsia="Arial" w:hAnsi="Arial" w:cs="Arial"/>
          <w:sz w:val="22"/>
          <w:szCs w:val="22"/>
          <w:vertAlign w:val="superscript"/>
          <w:lang w:val="fr-FR"/>
        </w:rPr>
        <w:t>ème</w:t>
      </w:r>
      <w:r w:rsidRPr="0008199A">
        <w:rPr>
          <w:rFonts w:ascii="Arial" w:eastAsia="Arial" w:hAnsi="Arial" w:cs="Arial"/>
          <w:sz w:val="22"/>
          <w:szCs w:val="22"/>
          <w:lang w:val="fr-FR"/>
        </w:rPr>
        <w:t xml:space="preserve"> SESSION DE LA CONFÉRENCE DES PARTIES</w:t>
      </w:r>
    </w:p>
    <w:p w:rsidR="0008199A" w:rsidRPr="0008199A" w:rsidRDefault="0008199A" w:rsidP="0008199A">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ascii="Arial" w:eastAsia="Calibri" w:hAnsi="Arial" w:cs="Arial"/>
          <w:sz w:val="22"/>
          <w:szCs w:val="22"/>
          <w:lang w:val="fr-FR"/>
        </w:rPr>
      </w:pPr>
      <w:proofErr w:type="spellStart"/>
      <w:r w:rsidRPr="0008199A">
        <w:rPr>
          <w:rFonts w:ascii="Arial" w:eastAsia="Arial" w:hAnsi="Arial" w:cs="Arial"/>
          <w:bCs/>
          <w:sz w:val="22"/>
          <w:szCs w:val="22"/>
          <w:lang w:val="fr-FR"/>
        </w:rPr>
        <w:t>Gandhinagar</w:t>
      </w:r>
      <w:proofErr w:type="spellEnd"/>
      <w:r w:rsidRPr="0008199A">
        <w:rPr>
          <w:rFonts w:ascii="Arial" w:eastAsia="Arial" w:hAnsi="Arial" w:cs="Arial"/>
          <w:bCs/>
          <w:sz w:val="22"/>
          <w:szCs w:val="22"/>
          <w:lang w:val="fr-FR"/>
        </w:rPr>
        <w:t>, Inde, 17 – 22 février 2020</w:t>
      </w:r>
    </w:p>
    <w:p w:rsidR="0008199A" w:rsidRPr="0008199A" w:rsidRDefault="0008199A" w:rsidP="0008199A">
      <w:pPr>
        <w:widowControl w:val="0"/>
        <w:suppressAutoHyphens/>
        <w:autoSpaceDE w:val="0"/>
        <w:autoSpaceDN w:val="0"/>
        <w:textAlignment w:val="baseline"/>
        <w:rPr>
          <w:rFonts w:ascii="Arial" w:eastAsia="Calibri" w:hAnsi="Arial" w:cs="Arial"/>
          <w:sz w:val="22"/>
          <w:szCs w:val="22"/>
          <w:lang w:val="fr-FR"/>
        </w:rPr>
      </w:pPr>
      <w:r w:rsidRPr="0008199A">
        <w:rPr>
          <w:rFonts w:ascii="Arial" w:eastAsia="Arial" w:hAnsi="Arial" w:cs="Arial"/>
          <w:iCs/>
          <w:sz w:val="22"/>
          <w:szCs w:val="22"/>
          <w:lang w:val="fr-FR"/>
        </w:rPr>
        <w:t xml:space="preserve">Point </w:t>
      </w:r>
      <w:r w:rsidR="009B58BF">
        <w:rPr>
          <w:rFonts w:ascii="Arial" w:eastAsia="Arial" w:hAnsi="Arial" w:cs="Arial"/>
          <w:iCs/>
          <w:sz w:val="22"/>
          <w:szCs w:val="22"/>
          <w:lang w:val="fr-FR"/>
        </w:rPr>
        <w:t xml:space="preserve">26.2 </w:t>
      </w:r>
      <w:r w:rsidRPr="0008199A">
        <w:rPr>
          <w:rFonts w:ascii="Arial" w:eastAsia="Arial" w:hAnsi="Arial" w:cs="Arial"/>
          <w:iCs/>
          <w:sz w:val="22"/>
          <w:szCs w:val="22"/>
          <w:lang w:val="fr-FR"/>
        </w:rPr>
        <w:t>de l’ordre du jour</w:t>
      </w:r>
    </w:p>
    <w:p w:rsidR="0008199A" w:rsidRPr="0008199A" w:rsidRDefault="0008199A" w:rsidP="0008199A">
      <w:pPr>
        <w:widowControl w:val="0"/>
        <w:tabs>
          <w:tab w:val="left" w:pos="7020"/>
        </w:tabs>
        <w:suppressAutoHyphens/>
        <w:autoSpaceDE w:val="0"/>
        <w:autoSpaceDN w:val="0"/>
        <w:textAlignment w:val="baseline"/>
        <w:rPr>
          <w:rFonts w:ascii="Arial" w:hAnsi="Arial" w:cs="Arial"/>
          <w:sz w:val="22"/>
          <w:szCs w:val="22"/>
          <w:lang w:val="fr-FR"/>
        </w:rPr>
      </w:pPr>
    </w:p>
    <w:p w:rsidR="00D46533" w:rsidRPr="00500220" w:rsidRDefault="00D46533" w:rsidP="00D46533">
      <w:pPr>
        <w:jc w:val="both"/>
        <w:rPr>
          <w:rFonts w:ascii="Arial" w:hAnsi="Arial" w:cs="Arial"/>
          <w:lang w:val="fr-FR"/>
        </w:rPr>
      </w:pPr>
    </w:p>
    <w:p w:rsidR="0011211E" w:rsidRDefault="00500220" w:rsidP="0011211E">
      <w:pPr>
        <w:pStyle w:val="NormalWeb"/>
        <w:suppressAutoHyphens/>
        <w:spacing w:before="0" w:beforeAutospacing="0" w:after="0" w:afterAutospacing="0"/>
        <w:jc w:val="center"/>
        <w:rPr>
          <w:rFonts w:ascii="Arial" w:hAnsi="Arial" w:cs="Arial"/>
          <w:b/>
          <w:sz w:val="22"/>
          <w:szCs w:val="22"/>
        </w:rPr>
      </w:pPr>
      <w:r w:rsidRPr="0011211E">
        <w:rPr>
          <w:rFonts w:ascii="Arial" w:hAnsi="Arial" w:cs="Arial"/>
          <w:b/>
          <w:sz w:val="22"/>
          <w:szCs w:val="22"/>
        </w:rPr>
        <w:t xml:space="preserve">DÉTERMINATION DE L’AMPLEUR DE L’INTERACTION ENTRE </w:t>
      </w:r>
    </w:p>
    <w:p w:rsidR="0011211E" w:rsidRDefault="00500220" w:rsidP="0011211E">
      <w:pPr>
        <w:pStyle w:val="NormalWeb"/>
        <w:suppressAutoHyphens/>
        <w:spacing w:before="0" w:beforeAutospacing="0" w:after="0" w:afterAutospacing="0"/>
        <w:jc w:val="center"/>
        <w:rPr>
          <w:rFonts w:ascii="Arial" w:hAnsi="Arial" w:cs="Arial"/>
          <w:b/>
          <w:sz w:val="22"/>
          <w:szCs w:val="22"/>
        </w:rPr>
      </w:pPr>
      <w:r w:rsidRPr="0011211E">
        <w:rPr>
          <w:rFonts w:ascii="Arial" w:hAnsi="Arial" w:cs="Arial"/>
          <w:b/>
          <w:sz w:val="22"/>
          <w:szCs w:val="22"/>
        </w:rPr>
        <w:t>LES PRISES ACC</w:t>
      </w:r>
      <w:r w:rsidR="003C1425">
        <w:rPr>
          <w:rFonts w:ascii="Arial" w:hAnsi="Arial" w:cs="Arial"/>
          <w:b/>
          <w:sz w:val="22"/>
          <w:szCs w:val="22"/>
        </w:rPr>
        <w:t>IDEN</w:t>
      </w:r>
      <w:r w:rsidR="0011211E">
        <w:rPr>
          <w:rFonts w:ascii="Arial" w:hAnsi="Arial" w:cs="Arial"/>
          <w:b/>
          <w:sz w:val="22"/>
          <w:szCs w:val="22"/>
        </w:rPr>
        <w:t>TELLES</w:t>
      </w:r>
      <w:r w:rsidRPr="0011211E">
        <w:rPr>
          <w:rFonts w:ascii="Arial" w:hAnsi="Arial" w:cs="Arial"/>
          <w:b/>
          <w:sz w:val="22"/>
          <w:szCs w:val="22"/>
        </w:rPr>
        <w:t xml:space="preserve"> ET </w:t>
      </w:r>
    </w:p>
    <w:p w:rsidR="0011211E" w:rsidRPr="0011211E" w:rsidRDefault="00500220" w:rsidP="0011211E">
      <w:pPr>
        <w:pStyle w:val="NormalWeb"/>
        <w:suppressAutoHyphens/>
        <w:spacing w:before="0" w:beforeAutospacing="0" w:after="120" w:afterAutospacing="0"/>
        <w:jc w:val="center"/>
        <w:rPr>
          <w:rFonts w:ascii="Arial" w:hAnsi="Arial" w:cs="Arial"/>
          <w:b/>
          <w:sz w:val="22"/>
          <w:szCs w:val="22"/>
        </w:rPr>
      </w:pPr>
      <w:r w:rsidRPr="0011211E">
        <w:rPr>
          <w:rFonts w:ascii="Arial" w:hAnsi="Arial" w:cs="Arial"/>
          <w:b/>
          <w:sz w:val="22"/>
          <w:szCs w:val="22"/>
        </w:rPr>
        <w:t>LES PRÉLÈVEMENTS DE VIANDE D’ANIMAUX SAUVAGES AQUATIQUES</w:t>
      </w:r>
    </w:p>
    <w:p w:rsidR="0011211E" w:rsidRDefault="00500220" w:rsidP="00500220">
      <w:pPr>
        <w:jc w:val="center"/>
        <w:rPr>
          <w:rFonts w:ascii="Arial" w:hAnsi="Arial" w:cs="Arial"/>
          <w:i/>
          <w:sz w:val="22"/>
          <w:szCs w:val="22"/>
          <w:lang w:val="fr-FR"/>
        </w:rPr>
      </w:pPr>
      <w:r w:rsidRPr="0011211E">
        <w:rPr>
          <w:rFonts w:ascii="Arial" w:hAnsi="Arial" w:cs="Arial"/>
          <w:i/>
          <w:sz w:val="22"/>
          <w:szCs w:val="22"/>
          <w:lang w:val="fr-FR"/>
        </w:rPr>
        <w:t xml:space="preserve">(Présenté par le Groupe de travail sur la viande d’animaux sauvages aquatiques et </w:t>
      </w:r>
    </w:p>
    <w:p w:rsidR="00500220" w:rsidRPr="0011211E" w:rsidRDefault="00500220" w:rsidP="00500220">
      <w:pPr>
        <w:jc w:val="center"/>
        <w:rPr>
          <w:rFonts w:ascii="Arial" w:hAnsi="Arial" w:cs="Arial"/>
          <w:i/>
          <w:sz w:val="22"/>
          <w:szCs w:val="22"/>
          <w:lang w:val="fr-FR"/>
        </w:rPr>
      </w:pPr>
      <w:r w:rsidRPr="0011211E">
        <w:rPr>
          <w:rFonts w:ascii="Arial" w:hAnsi="Arial" w:cs="Arial"/>
          <w:i/>
          <w:sz w:val="22"/>
          <w:szCs w:val="22"/>
          <w:lang w:val="fr-FR"/>
        </w:rPr>
        <w:t>le Groupe de travail sur les prises accessoires)</w:t>
      </w:r>
    </w:p>
    <w:p w:rsidR="005E7BBA" w:rsidRDefault="005E7BBA" w:rsidP="00D46533">
      <w:pPr>
        <w:jc w:val="both"/>
        <w:rPr>
          <w:rFonts w:ascii="Arial" w:hAnsi="Arial" w:cs="Arial"/>
          <w:lang w:val="fr-FR"/>
        </w:rPr>
      </w:pPr>
    </w:p>
    <w:p w:rsidR="005E7BBA" w:rsidRDefault="005E7BBA" w:rsidP="00D46533">
      <w:pPr>
        <w:jc w:val="both"/>
        <w:rPr>
          <w:rFonts w:ascii="Arial" w:hAnsi="Arial" w:cs="Arial"/>
          <w:lang w:val="fr-FR"/>
        </w:rPr>
      </w:pPr>
    </w:p>
    <w:p w:rsidR="005E7BBA" w:rsidRDefault="0011211E" w:rsidP="00D46533">
      <w:pPr>
        <w:jc w:val="both"/>
        <w:rPr>
          <w:rFonts w:ascii="Arial" w:hAnsi="Arial" w:cs="Arial"/>
          <w:lang w:val="fr-FR"/>
        </w:rPr>
      </w:pPr>
      <w:r w:rsidRPr="005E0EDA">
        <w:rPr>
          <w:rFonts w:ascii="Arial" w:hAnsi="Arial" w:cs="Arial"/>
          <w:noProof/>
          <w:sz w:val="22"/>
          <w:szCs w:val="22"/>
          <w:lang w:val="en-US"/>
        </w:rPr>
        <mc:AlternateContent>
          <mc:Choice Requires="wps">
            <w:drawing>
              <wp:anchor distT="0" distB="0" distL="114300" distR="114300" simplePos="0" relativeHeight="251658240" behindDoc="1" locked="0" layoutInCell="1" allowOverlap="1" wp14:anchorId="3281502A">
                <wp:simplePos x="0" y="0"/>
                <wp:positionH relativeFrom="margin">
                  <wp:posOffset>978534</wp:posOffset>
                </wp:positionH>
                <wp:positionV relativeFrom="margin">
                  <wp:posOffset>3524885</wp:posOffset>
                </wp:positionV>
                <wp:extent cx="4225925" cy="2407920"/>
                <wp:effectExtent l="0" t="0" r="22225" b="1143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2407920"/>
                        </a:xfrm>
                        <a:prstGeom prst="rect">
                          <a:avLst/>
                        </a:prstGeom>
                        <a:solidFill>
                          <a:srgbClr val="FFFFFF"/>
                        </a:solidFill>
                        <a:ln w="3175">
                          <a:solidFill>
                            <a:srgbClr val="000000"/>
                          </a:solidFill>
                          <a:miter lim="800000"/>
                          <a:headEnd/>
                          <a:tailEnd/>
                        </a:ln>
                      </wps:spPr>
                      <wps:txbx>
                        <w:txbxContent>
                          <w:p w:rsidR="005E7BBA" w:rsidRPr="0008199A" w:rsidRDefault="005E7BBA" w:rsidP="005E7BBA">
                            <w:pPr>
                              <w:rPr>
                                <w:rFonts w:ascii="Arial" w:hAnsi="Arial" w:cs="Arial"/>
                                <w:sz w:val="22"/>
                                <w:szCs w:val="22"/>
                                <w:lang w:val="fr-FR"/>
                              </w:rPr>
                            </w:pPr>
                            <w:r w:rsidRPr="0008199A">
                              <w:rPr>
                                <w:rFonts w:ascii="Arial" w:hAnsi="Arial" w:cs="Arial"/>
                                <w:sz w:val="22"/>
                                <w:szCs w:val="22"/>
                                <w:lang w:val="fr-FR"/>
                              </w:rPr>
                              <w:t>Résumé:</w:t>
                            </w:r>
                          </w:p>
                          <w:p w:rsidR="005E7BBA" w:rsidRPr="0008199A" w:rsidRDefault="005E7BBA" w:rsidP="005E7BBA">
                            <w:pPr>
                              <w:rPr>
                                <w:rFonts w:ascii="Arial" w:hAnsi="Arial" w:cs="Arial"/>
                                <w:sz w:val="22"/>
                                <w:szCs w:val="22"/>
                                <w:lang w:val="fr-FR"/>
                              </w:rPr>
                            </w:pP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 xml:space="preserve">Le présent document constitue une </w:t>
                            </w:r>
                            <w:r w:rsidR="0011211E" w:rsidRPr="0011211E">
                              <w:rPr>
                                <w:rFonts w:ascii="Arial" w:hAnsi="Arial"/>
                                <w:sz w:val="22"/>
                                <w:szCs w:val="22"/>
                                <w:lang w:val="fr-FR"/>
                              </w:rPr>
                              <w:t>A</w:t>
                            </w:r>
                            <w:r w:rsidRPr="0011211E">
                              <w:rPr>
                                <w:rFonts w:ascii="Arial" w:hAnsi="Arial"/>
                                <w:sz w:val="22"/>
                                <w:szCs w:val="22"/>
                                <w:lang w:val="fr-FR"/>
                              </w:rPr>
                              <w:t xml:space="preserve">nnexe au document </w:t>
                            </w: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UNEP/CMS/ScC-SC4/Doc.10.2.</w:t>
                            </w:r>
                            <w:r w:rsidR="0011211E" w:rsidRPr="0011211E">
                              <w:rPr>
                                <w:rFonts w:ascii="Arial" w:hAnsi="Arial"/>
                                <w:sz w:val="22"/>
                                <w:szCs w:val="22"/>
                                <w:lang w:val="fr-FR"/>
                              </w:rPr>
                              <w:t>4</w:t>
                            </w:r>
                            <w:r w:rsidRPr="0011211E">
                              <w:rPr>
                                <w:rFonts w:ascii="Arial" w:hAnsi="Arial"/>
                                <w:sz w:val="22"/>
                                <w:szCs w:val="22"/>
                                <w:lang w:val="fr-FR"/>
                              </w:rPr>
                              <w:t xml:space="preserve"> </w:t>
                            </w:r>
                            <w:r w:rsidR="0011211E" w:rsidRPr="0011211E">
                              <w:rPr>
                                <w:rFonts w:ascii="Arial" w:hAnsi="Arial"/>
                                <w:i/>
                                <w:sz w:val="22"/>
                                <w:szCs w:val="22"/>
                                <w:lang w:val="fr-FR"/>
                              </w:rPr>
                              <w:t>Viande d’animaux sauvages aquatiques</w:t>
                            </w:r>
                            <w:r w:rsidRPr="0011211E">
                              <w:rPr>
                                <w:rFonts w:ascii="Arial" w:hAnsi="Arial"/>
                                <w:sz w:val="22"/>
                                <w:szCs w:val="22"/>
                                <w:lang w:val="fr-FR"/>
                              </w:rPr>
                              <w:t xml:space="preserve">.   </w:t>
                            </w:r>
                          </w:p>
                          <w:p w:rsidR="00500220" w:rsidRPr="0011211E" w:rsidRDefault="00500220" w:rsidP="0011211E">
                            <w:pPr>
                              <w:jc w:val="both"/>
                              <w:rPr>
                                <w:rFonts w:ascii="Arial" w:hAnsi="Arial" w:cs="Arial"/>
                                <w:sz w:val="22"/>
                                <w:szCs w:val="22"/>
                                <w:lang w:val="fr-FR"/>
                              </w:rPr>
                            </w:pP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 xml:space="preserve">Il a été élaboré par le Groupe de travail sur la viande d’animaux sauvages aquatiques en collaboration avec le Groupe de travail sur les prises </w:t>
                            </w:r>
                            <w:r w:rsidR="003C1425">
                              <w:rPr>
                                <w:rFonts w:ascii="Arial" w:hAnsi="Arial"/>
                                <w:sz w:val="22"/>
                                <w:szCs w:val="22"/>
                                <w:lang w:val="fr-FR"/>
                              </w:rPr>
                              <w:t>accidentelles</w:t>
                            </w:r>
                            <w:bookmarkStart w:id="0" w:name="_GoBack"/>
                            <w:bookmarkEnd w:id="0"/>
                            <w:r w:rsidR="003C1425">
                              <w:rPr>
                                <w:rFonts w:ascii="Arial" w:hAnsi="Arial"/>
                                <w:sz w:val="22"/>
                                <w:szCs w:val="22"/>
                                <w:lang w:val="fr-FR"/>
                              </w:rPr>
                              <w:t>/ prises accessoires</w:t>
                            </w:r>
                            <w:r w:rsidRPr="0011211E">
                              <w:rPr>
                                <w:rFonts w:ascii="Arial" w:hAnsi="Arial"/>
                                <w:sz w:val="22"/>
                                <w:szCs w:val="22"/>
                                <w:lang w:val="fr-FR"/>
                              </w:rPr>
                              <w:t xml:space="preserve">, en réponse aux activités contenues dans la Décision 12.46.  </w:t>
                            </w:r>
                          </w:p>
                          <w:p w:rsidR="00500220" w:rsidRPr="00500220" w:rsidRDefault="00500220" w:rsidP="005E7BBA">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1502A" id="_x0000_t202" coordsize="21600,21600" o:spt="202" path="m,l,21600r21600,l21600,xe">
                <v:stroke joinstyle="miter"/>
                <v:path gradientshapeok="t" o:connecttype="rect"/>
              </v:shapetype>
              <v:shape id="Text Box 4" o:spid="_x0000_s1026" type="#_x0000_t202" style="position:absolute;left:0;text-align:left;margin-left:77.05pt;margin-top:277.55pt;width:332.75pt;height:18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" strokeweight=".25pt">
                <v:textbox>
                  <w:txbxContent>
                    <w:p w:rsidR="005E7BBA" w:rsidRPr="0008199A" w:rsidRDefault="005E7BBA" w:rsidP="005E7BBA">
                      <w:pPr>
                        <w:rPr>
                          <w:rFonts w:ascii="Arial" w:hAnsi="Arial" w:cs="Arial"/>
                          <w:sz w:val="22"/>
                          <w:szCs w:val="22"/>
                          <w:lang w:val="fr-FR"/>
                        </w:rPr>
                      </w:pPr>
                      <w:r w:rsidRPr="0008199A">
                        <w:rPr>
                          <w:rFonts w:ascii="Arial" w:hAnsi="Arial" w:cs="Arial"/>
                          <w:sz w:val="22"/>
                          <w:szCs w:val="22"/>
                          <w:lang w:val="fr-FR"/>
                        </w:rPr>
                        <w:t>Résumé:</w:t>
                      </w:r>
                    </w:p>
                    <w:p w:rsidR="005E7BBA" w:rsidRPr="0008199A" w:rsidRDefault="005E7BBA" w:rsidP="005E7BBA">
                      <w:pPr>
                        <w:rPr>
                          <w:rFonts w:ascii="Arial" w:hAnsi="Arial" w:cs="Arial"/>
                          <w:sz w:val="22"/>
                          <w:szCs w:val="22"/>
                          <w:lang w:val="fr-FR"/>
                        </w:rPr>
                      </w:pP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 xml:space="preserve">Le présent document constitue une </w:t>
                      </w:r>
                      <w:r w:rsidR="0011211E" w:rsidRPr="0011211E">
                        <w:rPr>
                          <w:rFonts w:ascii="Arial" w:hAnsi="Arial"/>
                          <w:sz w:val="22"/>
                          <w:szCs w:val="22"/>
                          <w:lang w:val="fr-FR"/>
                        </w:rPr>
                        <w:t>A</w:t>
                      </w:r>
                      <w:r w:rsidRPr="0011211E">
                        <w:rPr>
                          <w:rFonts w:ascii="Arial" w:hAnsi="Arial"/>
                          <w:sz w:val="22"/>
                          <w:szCs w:val="22"/>
                          <w:lang w:val="fr-FR"/>
                        </w:rPr>
                        <w:t xml:space="preserve">nnexe au document </w:t>
                      </w: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UNEP/CMS/ScC-SC4/Doc.10.2.</w:t>
                      </w:r>
                      <w:r w:rsidR="0011211E" w:rsidRPr="0011211E">
                        <w:rPr>
                          <w:rFonts w:ascii="Arial" w:hAnsi="Arial"/>
                          <w:sz w:val="22"/>
                          <w:szCs w:val="22"/>
                          <w:lang w:val="fr-FR"/>
                        </w:rPr>
                        <w:t>4</w:t>
                      </w:r>
                      <w:r w:rsidRPr="0011211E">
                        <w:rPr>
                          <w:rFonts w:ascii="Arial" w:hAnsi="Arial"/>
                          <w:sz w:val="22"/>
                          <w:szCs w:val="22"/>
                          <w:lang w:val="fr-FR"/>
                        </w:rPr>
                        <w:t xml:space="preserve"> </w:t>
                      </w:r>
                      <w:r w:rsidR="0011211E" w:rsidRPr="0011211E">
                        <w:rPr>
                          <w:rFonts w:ascii="Arial" w:hAnsi="Arial"/>
                          <w:i/>
                          <w:sz w:val="22"/>
                          <w:szCs w:val="22"/>
                          <w:lang w:val="fr-FR"/>
                        </w:rPr>
                        <w:t>Viande d’animaux sauvages aquatiques</w:t>
                      </w:r>
                      <w:r w:rsidRPr="0011211E">
                        <w:rPr>
                          <w:rFonts w:ascii="Arial" w:hAnsi="Arial"/>
                          <w:sz w:val="22"/>
                          <w:szCs w:val="22"/>
                          <w:lang w:val="fr-FR"/>
                        </w:rPr>
                        <w:t xml:space="preserve">.   </w:t>
                      </w:r>
                    </w:p>
                    <w:p w:rsidR="00500220" w:rsidRPr="0011211E" w:rsidRDefault="00500220" w:rsidP="0011211E">
                      <w:pPr>
                        <w:jc w:val="both"/>
                        <w:rPr>
                          <w:rFonts w:ascii="Arial" w:hAnsi="Arial" w:cs="Arial"/>
                          <w:sz w:val="22"/>
                          <w:szCs w:val="22"/>
                          <w:lang w:val="fr-FR"/>
                        </w:rPr>
                      </w:pPr>
                    </w:p>
                    <w:p w:rsidR="00500220" w:rsidRPr="0011211E" w:rsidRDefault="00500220" w:rsidP="0011211E">
                      <w:pPr>
                        <w:jc w:val="both"/>
                        <w:rPr>
                          <w:rFonts w:ascii="Arial" w:hAnsi="Arial" w:cs="Arial"/>
                          <w:sz w:val="22"/>
                          <w:szCs w:val="22"/>
                          <w:lang w:val="fr-FR"/>
                        </w:rPr>
                      </w:pPr>
                      <w:r w:rsidRPr="0011211E">
                        <w:rPr>
                          <w:rFonts w:ascii="Arial" w:hAnsi="Arial"/>
                          <w:sz w:val="22"/>
                          <w:szCs w:val="22"/>
                          <w:lang w:val="fr-FR"/>
                        </w:rPr>
                        <w:t xml:space="preserve">Il a été élaboré par le Groupe de travail sur la viande d’animaux sauvages aquatiques en collaboration avec le Groupe de travail sur les prises </w:t>
                      </w:r>
                      <w:r w:rsidR="003C1425">
                        <w:rPr>
                          <w:rFonts w:ascii="Arial" w:hAnsi="Arial"/>
                          <w:sz w:val="22"/>
                          <w:szCs w:val="22"/>
                          <w:lang w:val="fr-FR"/>
                        </w:rPr>
                        <w:t>accidentelles</w:t>
                      </w:r>
                      <w:bookmarkStart w:id="1" w:name="_GoBack"/>
                      <w:bookmarkEnd w:id="1"/>
                      <w:r w:rsidR="003C1425">
                        <w:rPr>
                          <w:rFonts w:ascii="Arial" w:hAnsi="Arial"/>
                          <w:sz w:val="22"/>
                          <w:szCs w:val="22"/>
                          <w:lang w:val="fr-FR"/>
                        </w:rPr>
                        <w:t>/ prises accessoires</w:t>
                      </w:r>
                      <w:r w:rsidRPr="0011211E">
                        <w:rPr>
                          <w:rFonts w:ascii="Arial" w:hAnsi="Arial"/>
                          <w:sz w:val="22"/>
                          <w:szCs w:val="22"/>
                          <w:lang w:val="fr-FR"/>
                        </w:rPr>
                        <w:t xml:space="preserve">, en réponse aux activités contenues dans la Décision 12.46.  </w:t>
                      </w:r>
                    </w:p>
                    <w:p w:rsidR="00500220" w:rsidRPr="00500220" w:rsidRDefault="00500220" w:rsidP="005E7BBA">
                      <w:pPr>
                        <w:rPr>
                          <w:rFonts w:ascii="Arial" w:hAnsi="Arial" w:cs="Arial"/>
                          <w:sz w:val="21"/>
                          <w:szCs w:val="21"/>
                          <w:lang w:val="fr-FR"/>
                        </w:rPr>
                      </w:pPr>
                    </w:p>
                  </w:txbxContent>
                </v:textbox>
                <w10:wrap type="square" anchorx="margin" anchory="margin"/>
              </v:shape>
            </w:pict>
          </mc:Fallback>
        </mc:AlternateContent>
      </w:r>
    </w:p>
    <w:p w:rsidR="005E7BBA" w:rsidRDefault="005E7BBA" w:rsidP="00D46533">
      <w:pPr>
        <w:jc w:val="both"/>
        <w:rPr>
          <w:rFonts w:ascii="Arial" w:hAnsi="Arial" w:cs="Arial"/>
          <w:lang w:val="fr-FR"/>
        </w:rPr>
      </w:pPr>
    </w:p>
    <w:p w:rsidR="005E7BBA" w:rsidRDefault="005E7BBA"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rsidP="00D46533">
      <w:pPr>
        <w:jc w:val="both"/>
        <w:rPr>
          <w:rFonts w:ascii="Arial" w:hAnsi="Arial" w:cs="Arial"/>
          <w:lang w:val="fr-FR"/>
        </w:rPr>
      </w:pPr>
    </w:p>
    <w:p w:rsidR="00E47B71" w:rsidRDefault="00E47B71">
      <w:pPr>
        <w:spacing w:after="160" w:line="259" w:lineRule="auto"/>
        <w:rPr>
          <w:rFonts w:ascii="Arial" w:hAnsi="Arial" w:cs="Arial"/>
          <w:lang w:val="fr-FR"/>
        </w:rPr>
      </w:pPr>
      <w:r>
        <w:rPr>
          <w:rFonts w:ascii="Arial" w:hAnsi="Arial" w:cs="Arial"/>
          <w:lang w:val="fr-FR"/>
        </w:rPr>
        <w:br w:type="page"/>
      </w:r>
    </w:p>
    <w:p w:rsidR="005E7BBA" w:rsidRPr="00CE08D3" w:rsidRDefault="005E7BBA" w:rsidP="00D46533">
      <w:pPr>
        <w:jc w:val="both"/>
        <w:rPr>
          <w:rFonts w:ascii="Arial" w:hAnsi="Arial" w:cs="Arial"/>
          <w:sz w:val="16"/>
          <w:szCs w:val="16"/>
          <w:lang w:val="fr-FR"/>
        </w:rPr>
      </w:pPr>
    </w:p>
    <w:p w:rsidR="0011211E" w:rsidRDefault="00500220" w:rsidP="0011211E">
      <w:pPr>
        <w:jc w:val="center"/>
        <w:rPr>
          <w:rFonts w:ascii="Arial" w:hAnsi="Arial"/>
          <w:b/>
          <w:bCs/>
          <w:sz w:val="22"/>
          <w:szCs w:val="22"/>
          <w:lang w:val="fr-FR"/>
        </w:rPr>
      </w:pPr>
      <w:r w:rsidRPr="00500220">
        <w:rPr>
          <w:rFonts w:ascii="Arial" w:hAnsi="Arial"/>
          <w:b/>
          <w:bCs/>
          <w:sz w:val="22"/>
          <w:szCs w:val="22"/>
          <w:lang w:val="fr-FR"/>
        </w:rPr>
        <w:t>DÉTERMINATION DE L’AMPLEUR DE L’INTERACTION ENTRE</w:t>
      </w:r>
    </w:p>
    <w:p w:rsidR="0011211E" w:rsidRDefault="00500220" w:rsidP="0011211E">
      <w:pPr>
        <w:jc w:val="center"/>
        <w:rPr>
          <w:rFonts w:ascii="Arial" w:hAnsi="Arial"/>
          <w:b/>
          <w:bCs/>
          <w:sz w:val="22"/>
          <w:szCs w:val="22"/>
          <w:lang w:val="fr-FR"/>
        </w:rPr>
      </w:pPr>
      <w:r w:rsidRPr="00500220">
        <w:rPr>
          <w:rFonts w:ascii="Arial" w:hAnsi="Arial"/>
          <w:b/>
          <w:bCs/>
          <w:sz w:val="22"/>
          <w:szCs w:val="22"/>
          <w:lang w:val="fr-FR"/>
        </w:rPr>
        <w:t>LES PRISES ACC</w:t>
      </w:r>
      <w:r w:rsidR="00481EB5">
        <w:rPr>
          <w:rFonts w:ascii="Arial" w:hAnsi="Arial"/>
          <w:b/>
          <w:bCs/>
          <w:sz w:val="22"/>
          <w:szCs w:val="22"/>
          <w:lang w:val="fr-FR"/>
        </w:rPr>
        <w:t>ESSOIRES</w:t>
      </w:r>
      <w:r w:rsidRPr="00500220">
        <w:rPr>
          <w:rFonts w:ascii="Arial" w:hAnsi="Arial"/>
          <w:b/>
          <w:bCs/>
          <w:sz w:val="22"/>
          <w:szCs w:val="22"/>
          <w:lang w:val="fr-FR"/>
        </w:rPr>
        <w:t xml:space="preserve"> ET</w:t>
      </w:r>
    </w:p>
    <w:p w:rsidR="00500220" w:rsidRPr="00500220" w:rsidRDefault="00500220" w:rsidP="0011211E">
      <w:pPr>
        <w:jc w:val="center"/>
        <w:rPr>
          <w:rFonts w:ascii="Arial" w:hAnsi="Arial" w:cs="Arial"/>
          <w:b/>
          <w:bCs/>
          <w:sz w:val="22"/>
          <w:szCs w:val="22"/>
          <w:lang w:val="fr-FR"/>
        </w:rPr>
      </w:pPr>
      <w:r w:rsidRPr="00500220">
        <w:rPr>
          <w:rFonts w:ascii="Arial" w:hAnsi="Arial"/>
          <w:b/>
          <w:bCs/>
          <w:sz w:val="22"/>
          <w:szCs w:val="22"/>
          <w:lang w:val="fr-FR"/>
        </w:rPr>
        <w:t>LES PRÉLÈVEMENTS DE VIANDE D’ANIMAUX SAUVAGES AQUATIQUES</w:t>
      </w:r>
    </w:p>
    <w:p w:rsidR="00500220" w:rsidRPr="00CE08D3" w:rsidRDefault="00500220" w:rsidP="00500220">
      <w:pPr>
        <w:rPr>
          <w:rFonts w:ascii="Arial" w:hAnsi="Arial" w:cs="Arial"/>
          <w:bCs/>
          <w:i/>
          <w:iCs/>
          <w:sz w:val="18"/>
          <w:szCs w:val="18"/>
          <w:lang w:val="fr-FR"/>
        </w:rPr>
      </w:pPr>
    </w:p>
    <w:p w:rsidR="0011211E" w:rsidRPr="00CE08D3" w:rsidRDefault="0011211E" w:rsidP="00500220">
      <w:pPr>
        <w:rPr>
          <w:rFonts w:ascii="Arial" w:hAnsi="Arial" w:cs="Arial"/>
          <w:bCs/>
          <w:i/>
          <w:iCs/>
          <w:sz w:val="18"/>
          <w:szCs w:val="18"/>
          <w:lang w:val="fr-FR"/>
        </w:rPr>
      </w:pPr>
    </w:p>
    <w:p w:rsidR="00500220" w:rsidRPr="00266948" w:rsidRDefault="00500220" w:rsidP="00500220">
      <w:pPr>
        <w:rPr>
          <w:rFonts w:ascii="Arial" w:hAnsi="Arial" w:cs="Arial"/>
          <w:noProof/>
          <w:sz w:val="22"/>
          <w:szCs w:val="22"/>
          <w:u w:val="single"/>
        </w:rPr>
      </w:pPr>
      <w:proofErr w:type="spellStart"/>
      <w:r w:rsidRPr="00266948">
        <w:rPr>
          <w:rFonts w:ascii="Arial" w:hAnsi="Arial"/>
          <w:sz w:val="22"/>
          <w:szCs w:val="22"/>
          <w:u w:val="single"/>
        </w:rPr>
        <w:t>Contexte</w:t>
      </w:r>
      <w:proofErr w:type="spellEnd"/>
    </w:p>
    <w:p w:rsidR="00500220" w:rsidRPr="00CE08D3" w:rsidRDefault="00500220" w:rsidP="00500220">
      <w:pPr>
        <w:pStyle w:val="ListParagraph"/>
        <w:ind w:left="540"/>
        <w:jc w:val="both"/>
        <w:rPr>
          <w:rFonts w:ascii="Arial" w:hAnsi="Arial" w:cs="Arial"/>
          <w:sz w:val="18"/>
          <w:szCs w:val="18"/>
        </w:rPr>
      </w:pPr>
    </w:p>
    <w:p w:rsidR="00500220" w:rsidRPr="00500220" w:rsidRDefault="00500220" w:rsidP="0011211E">
      <w:pPr>
        <w:pStyle w:val="ListParagraph"/>
        <w:widowControl w:val="0"/>
        <w:numPr>
          <w:ilvl w:val="0"/>
          <w:numId w:val="2"/>
        </w:numPr>
        <w:suppressAutoHyphens/>
        <w:autoSpaceDE w:val="0"/>
        <w:autoSpaceDN w:val="0"/>
        <w:ind w:left="540" w:hanging="540"/>
        <w:jc w:val="both"/>
        <w:textAlignment w:val="baseline"/>
        <w:rPr>
          <w:rFonts w:ascii="Arial" w:hAnsi="Arial" w:cs="Arial"/>
          <w:sz w:val="22"/>
          <w:szCs w:val="22"/>
          <w:lang w:val="fr-FR"/>
        </w:rPr>
      </w:pPr>
      <w:bookmarkStart w:id="2" w:name="_Hlk8124564"/>
      <w:r w:rsidRPr="00500220">
        <w:rPr>
          <w:rFonts w:ascii="Arial" w:hAnsi="Arial"/>
          <w:sz w:val="22"/>
          <w:szCs w:val="22"/>
          <w:lang w:val="fr-FR"/>
        </w:rPr>
        <w:t xml:space="preserve">La Convention sur les espèces migratrices (CMS) définit la viande d’animaux sauvages aquatiques comme étant les produits dérivés de mammifères, d’oiseaux et de reptiles aquatiques utilisés pour l’alimentation de subsistance et à des fins traditionnelles, notamment la viande, les coquilles, les os, les organes, et comme appâts pour la pêche. Cette viande s’obtient de façon opportuniste (p. ex. à partir de prises accessoires ou d’échouages) ou à partir de chasses non réglementées et parfois illégales. </w:t>
      </w:r>
    </w:p>
    <w:p w:rsidR="00500220" w:rsidRPr="00500220" w:rsidRDefault="00500220" w:rsidP="0011211E">
      <w:pPr>
        <w:pStyle w:val="ListParagraph"/>
        <w:ind w:left="540"/>
        <w:jc w:val="both"/>
        <w:rPr>
          <w:rFonts w:ascii="Arial" w:hAnsi="Arial" w:cs="Arial"/>
          <w:sz w:val="22"/>
          <w:szCs w:val="22"/>
          <w:lang w:val="fr-FR"/>
        </w:rPr>
      </w:pPr>
    </w:p>
    <w:p w:rsidR="00500220" w:rsidRPr="00500220" w:rsidRDefault="00500220" w:rsidP="0011211E">
      <w:pPr>
        <w:pStyle w:val="ListParagraph"/>
        <w:widowControl w:val="0"/>
        <w:numPr>
          <w:ilvl w:val="0"/>
          <w:numId w:val="2"/>
        </w:numPr>
        <w:suppressAutoHyphens/>
        <w:autoSpaceDE w:val="0"/>
        <w:autoSpaceDN w:val="0"/>
        <w:ind w:left="540" w:hanging="540"/>
        <w:jc w:val="both"/>
        <w:textAlignment w:val="baseline"/>
        <w:rPr>
          <w:rFonts w:ascii="Arial" w:hAnsi="Arial" w:cs="Arial"/>
          <w:sz w:val="22"/>
          <w:szCs w:val="22"/>
          <w:lang w:val="fr-FR"/>
        </w:rPr>
      </w:pPr>
      <w:r w:rsidRPr="00500220">
        <w:rPr>
          <w:rFonts w:ascii="Arial" w:hAnsi="Arial"/>
          <w:sz w:val="22"/>
          <w:szCs w:val="22"/>
          <w:lang w:val="fr-FR"/>
        </w:rPr>
        <w:t>La 12</w:t>
      </w:r>
      <w:r w:rsidRPr="00500220">
        <w:rPr>
          <w:rFonts w:ascii="Arial" w:hAnsi="Arial"/>
          <w:sz w:val="22"/>
          <w:szCs w:val="22"/>
          <w:vertAlign w:val="superscript"/>
          <w:lang w:val="fr-FR"/>
        </w:rPr>
        <w:t>e</w:t>
      </w:r>
      <w:r w:rsidRPr="00500220">
        <w:rPr>
          <w:rFonts w:ascii="Arial" w:hAnsi="Arial"/>
          <w:sz w:val="22"/>
          <w:szCs w:val="22"/>
          <w:lang w:val="fr-FR"/>
        </w:rPr>
        <w:t xml:space="preserve"> Conférence des Parties à la CMS (COP) a exprimé des inquiétudes sur le fait que les espèces répertoriées à la CMS, notamment les mammifères aquatiques, les tortues, les oiseaux marins et les élasmobranches, sont affectées par le prélèvement comme viande d’animaux sauvages aquatiques dans de nombreuses régions du monde, et qu’il est avéré que la demande connaît une augmentation (</w:t>
      </w:r>
      <w:proofErr w:type="spellStart"/>
      <w:r w:rsidRPr="00500220">
        <w:rPr>
          <w:rFonts w:ascii="Arial" w:hAnsi="Arial"/>
          <w:sz w:val="22"/>
          <w:szCs w:val="22"/>
          <w:lang w:val="fr-FR"/>
        </w:rPr>
        <w:t>Robards</w:t>
      </w:r>
      <w:proofErr w:type="spellEnd"/>
      <w:r w:rsidRPr="00500220">
        <w:rPr>
          <w:rFonts w:ascii="Arial" w:hAnsi="Arial"/>
          <w:sz w:val="22"/>
          <w:szCs w:val="22"/>
          <w:lang w:val="fr-FR"/>
        </w:rPr>
        <w:t xml:space="preserve"> &amp; Reeves, 2011). </w:t>
      </w:r>
      <w:hyperlink r:id="rId8" w:history="1">
        <w:r w:rsidRPr="00500220">
          <w:rPr>
            <w:rFonts w:ascii="Arial" w:hAnsi="Arial"/>
            <w:sz w:val="22"/>
            <w:szCs w:val="22"/>
            <w:lang w:val="fr-FR"/>
          </w:rPr>
          <w:t>La Résolution 12.15</w:t>
        </w:r>
      </w:hyperlink>
      <w:r w:rsidRPr="00500220">
        <w:rPr>
          <w:rFonts w:ascii="Arial" w:hAnsi="Arial"/>
          <w:sz w:val="22"/>
          <w:szCs w:val="22"/>
          <w:lang w:val="fr-FR"/>
        </w:rPr>
        <w:t xml:space="preserve"> a demandé la création d’un Groupe de travail thématique sur la viande d’animaux sauvages aquatiques du Conseil scientifique et a établi un programme de travail (</w:t>
      </w:r>
      <w:hyperlink r:id="rId9" w:anchor="12.46" w:history="1">
        <w:r w:rsidRPr="00500220">
          <w:rPr>
            <w:rFonts w:ascii="Arial" w:hAnsi="Arial"/>
            <w:sz w:val="22"/>
            <w:szCs w:val="22"/>
            <w:lang w:val="fr-FR"/>
          </w:rPr>
          <w:t>Déc 12.46</w:t>
        </w:r>
      </w:hyperlink>
      <w:r w:rsidRPr="00500220">
        <w:rPr>
          <w:rFonts w:ascii="Arial" w:hAnsi="Arial"/>
          <w:sz w:val="22"/>
          <w:szCs w:val="22"/>
          <w:lang w:val="fr-FR"/>
        </w:rPr>
        <w:t xml:space="preserve">) à mettre en œuvre par ce nouveau Groupe de travail. </w:t>
      </w:r>
    </w:p>
    <w:p w:rsidR="00500220" w:rsidRPr="00500220" w:rsidRDefault="00500220" w:rsidP="0011211E">
      <w:pPr>
        <w:jc w:val="both"/>
        <w:rPr>
          <w:rFonts w:ascii="Arial" w:hAnsi="Arial" w:cs="Arial"/>
          <w:sz w:val="22"/>
          <w:szCs w:val="22"/>
          <w:lang w:val="fr-FR"/>
        </w:rPr>
      </w:pPr>
    </w:p>
    <w:p w:rsidR="00500220" w:rsidRPr="00500220" w:rsidRDefault="00500220" w:rsidP="0011211E">
      <w:pPr>
        <w:pStyle w:val="ListParagraph"/>
        <w:widowControl w:val="0"/>
        <w:numPr>
          <w:ilvl w:val="0"/>
          <w:numId w:val="2"/>
        </w:numPr>
        <w:suppressAutoHyphens/>
        <w:autoSpaceDE w:val="0"/>
        <w:autoSpaceDN w:val="0"/>
        <w:ind w:left="540" w:hanging="540"/>
        <w:jc w:val="both"/>
        <w:textAlignment w:val="baseline"/>
        <w:rPr>
          <w:rFonts w:ascii="Arial" w:hAnsi="Arial" w:cs="Arial"/>
          <w:sz w:val="22"/>
          <w:szCs w:val="22"/>
          <w:lang w:val="fr-FR"/>
        </w:rPr>
      </w:pPr>
      <w:r w:rsidRPr="00500220">
        <w:rPr>
          <w:rFonts w:ascii="Arial" w:hAnsi="Arial"/>
          <w:sz w:val="22"/>
          <w:szCs w:val="22"/>
          <w:lang w:val="fr-FR"/>
        </w:rPr>
        <w:t>Le Groupe de travail est chargé de conseiller le Conseil scientifique et les Parties sur les questions émergentes relatives à la viande d’animaux sauvages aquatiques. Le présent document sert d’amorce à la discussion et formule une recommandation préliminaire pour examen par le Conseil scientifique sur l’interaction entre les prises accessoires et le prélèvement de viande d’animaux sauvages aquatiques.</w:t>
      </w:r>
    </w:p>
    <w:p w:rsidR="00500220" w:rsidRPr="00500220" w:rsidRDefault="00500220" w:rsidP="00500220">
      <w:pPr>
        <w:pStyle w:val="ListParagraph"/>
        <w:ind w:left="1429"/>
        <w:jc w:val="both"/>
        <w:rPr>
          <w:rFonts w:ascii="Arial" w:hAnsi="Arial" w:cs="Arial"/>
          <w:sz w:val="22"/>
          <w:szCs w:val="22"/>
          <w:lang w:val="fr-FR"/>
        </w:rPr>
      </w:pPr>
    </w:p>
    <w:bookmarkEnd w:id="2"/>
    <w:p w:rsidR="00500220" w:rsidRPr="00266948" w:rsidRDefault="00500220" w:rsidP="00500220">
      <w:pPr>
        <w:rPr>
          <w:rFonts w:ascii="Arial" w:hAnsi="Arial" w:cs="Arial"/>
          <w:noProof/>
          <w:sz w:val="22"/>
          <w:szCs w:val="22"/>
          <w:u w:val="single"/>
        </w:rPr>
      </w:pPr>
      <w:r w:rsidRPr="00266948">
        <w:rPr>
          <w:rFonts w:ascii="Arial" w:hAnsi="Arial"/>
          <w:sz w:val="22"/>
          <w:szCs w:val="22"/>
          <w:u w:val="single"/>
        </w:rPr>
        <w:t xml:space="preserve">Prises </w:t>
      </w:r>
      <w:proofErr w:type="spellStart"/>
      <w:r w:rsidRPr="00266948">
        <w:rPr>
          <w:rFonts w:ascii="Arial" w:hAnsi="Arial"/>
          <w:sz w:val="22"/>
          <w:szCs w:val="22"/>
          <w:u w:val="single"/>
        </w:rPr>
        <w:t>acc</w:t>
      </w:r>
      <w:r w:rsidR="004C72B6">
        <w:rPr>
          <w:rFonts w:ascii="Arial" w:hAnsi="Arial"/>
          <w:sz w:val="22"/>
          <w:szCs w:val="22"/>
          <w:u w:val="single"/>
        </w:rPr>
        <w:t>essoires</w:t>
      </w:r>
      <w:proofErr w:type="spellEnd"/>
    </w:p>
    <w:p w:rsidR="00500220" w:rsidRPr="00266948" w:rsidRDefault="00500220" w:rsidP="00500220">
      <w:pPr>
        <w:rPr>
          <w:rFonts w:ascii="Arial" w:hAnsi="Arial" w:cs="Arial"/>
          <w:noProof/>
          <w:sz w:val="22"/>
          <w:szCs w:val="22"/>
          <w:u w:val="single"/>
        </w:rPr>
      </w:pPr>
    </w:p>
    <w:p w:rsidR="00500220" w:rsidRPr="00266948" w:rsidRDefault="00500220" w:rsidP="0011211E">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rPr>
      </w:pPr>
      <w:r w:rsidRPr="00500220">
        <w:rPr>
          <w:rFonts w:ascii="Arial" w:hAnsi="Arial"/>
          <w:sz w:val="22"/>
          <w:szCs w:val="22"/>
          <w:lang w:val="fr-FR"/>
        </w:rPr>
        <w:t>Les prises accessoires peuvent se définir comme la capture d’espèces non ciblées ou de tailles non désirées d’espèces ciblées (</w:t>
      </w:r>
      <w:proofErr w:type="spellStart"/>
      <w:r w:rsidRPr="00500220">
        <w:rPr>
          <w:rFonts w:ascii="Arial" w:hAnsi="Arial"/>
          <w:sz w:val="22"/>
          <w:szCs w:val="22"/>
          <w:lang w:val="fr-FR"/>
        </w:rPr>
        <w:t>Lewison</w:t>
      </w:r>
      <w:proofErr w:type="spellEnd"/>
      <w:r w:rsidRPr="00500220">
        <w:rPr>
          <w:rFonts w:ascii="Arial" w:hAnsi="Arial"/>
          <w:sz w:val="22"/>
          <w:szCs w:val="22"/>
          <w:lang w:val="fr-FR"/>
        </w:rPr>
        <w:t xml:space="preserve"> et coll. 2004). Les prises accessoires comptent parmi les plus grandes menaces qui pèsent sur les oiseaux marins et les mammifères marins du monde entier et provoquent le déclin d’autres mégafaunes migratrices comme les tortues et les élasmobranches (</w:t>
      </w:r>
      <w:proofErr w:type="spellStart"/>
      <w:r w:rsidRPr="00500220">
        <w:rPr>
          <w:rFonts w:ascii="Arial" w:hAnsi="Arial"/>
          <w:sz w:val="22"/>
          <w:szCs w:val="22"/>
          <w:lang w:val="fr-FR"/>
        </w:rPr>
        <w:t>Peckham</w:t>
      </w:r>
      <w:proofErr w:type="spellEnd"/>
      <w:r w:rsidRPr="00500220">
        <w:rPr>
          <w:rFonts w:ascii="Arial" w:hAnsi="Arial"/>
          <w:sz w:val="22"/>
          <w:szCs w:val="22"/>
          <w:lang w:val="fr-FR"/>
        </w:rPr>
        <w:t xml:space="preserve"> et coll. </w:t>
      </w:r>
      <w:r w:rsidRPr="00266948">
        <w:rPr>
          <w:rFonts w:ascii="Arial" w:hAnsi="Arial"/>
          <w:sz w:val="22"/>
          <w:szCs w:val="22"/>
        </w:rPr>
        <w:t xml:space="preserve">2007 ; US Commission on Ocean Policy 2004 ; Read et coll. 2006 ; Phillips et coll. </w:t>
      </w:r>
      <w:r w:rsidRPr="00500220">
        <w:rPr>
          <w:rFonts w:ascii="Arial" w:hAnsi="Arial"/>
          <w:sz w:val="22"/>
          <w:szCs w:val="22"/>
          <w:lang w:val="fr-FR"/>
        </w:rPr>
        <w:t xml:space="preserve">2016). La mortalité due à des prises accessoires dans la pêche à petite échelle, notamment la pêche artisanale, la pêche traditionnelle et la pêche de subsistance, pourrait représenter l’une des plus grandes menaces actuelles pour la mégafaune aquatique, car les espèces migratrices fréquentent les zones côtières à forte utilisation où se pratique la pêche artisanale ou à petite échelle (James et coll. </w:t>
      </w:r>
      <w:r w:rsidRPr="00266948">
        <w:rPr>
          <w:rFonts w:ascii="Arial" w:hAnsi="Arial"/>
          <w:sz w:val="22"/>
          <w:szCs w:val="22"/>
        </w:rPr>
        <w:t xml:space="preserve">2005). </w:t>
      </w:r>
    </w:p>
    <w:p w:rsidR="00500220" w:rsidRPr="00266948" w:rsidRDefault="00500220" w:rsidP="0011211E">
      <w:pPr>
        <w:pStyle w:val="ListParagraph"/>
        <w:ind w:left="567" w:hanging="567"/>
        <w:jc w:val="both"/>
        <w:rPr>
          <w:rFonts w:ascii="Arial" w:hAnsi="Arial" w:cs="Arial"/>
          <w:sz w:val="22"/>
          <w:szCs w:val="22"/>
        </w:rPr>
      </w:pPr>
    </w:p>
    <w:p w:rsidR="00500220" w:rsidRPr="00500220" w:rsidRDefault="00500220" w:rsidP="0011211E">
      <w:pPr>
        <w:pStyle w:val="ListParagraph"/>
        <w:widowControl w:val="0"/>
        <w:numPr>
          <w:ilvl w:val="0"/>
          <w:numId w:val="2"/>
        </w:numPr>
        <w:suppressAutoHyphens/>
        <w:autoSpaceDE w:val="0"/>
        <w:autoSpaceDN w:val="0"/>
        <w:ind w:left="567" w:hanging="567"/>
        <w:jc w:val="both"/>
        <w:textAlignment w:val="baseline"/>
        <w:rPr>
          <w:rFonts w:ascii="Arial" w:hAnsi="Arial" w:cs="Arial"/>
          <w:sz w:val="22"/>
          <w:szCs w:val="22"/>
          <w:lang w:val="fr-FR"/>
        </w:rPr>
      </w:pPr>
      <w:r w:rsidRPr="00500220">
        <w:rPr>
          <w:rFonts w:ascii="Arial" w:hAnsi="Arial"/>
          <w:sz w:val="22"/>
          <w:szCs w:val="22"/>
          <w:lang w:val="fr-FR"/>
        </w:rPr>
        <w:t>L’effet des prises accessoires lors de la pêche en eau douce dans le monde entier a été encore plus négligé que celui de la pêche côtière, pourtant il a été néfaste pour des espèces telles que le lamantin d’Afrique (</w:t>
      </w:r>
      <w:proofErr w:type="spellStart"/>
      <w:r w:rsidRPr="00500220">
        <w:rPr>
          <w:rFonts w:ascii="Arial" w:hAnsi="Arial"/>
          <w:sz w:val="22"/>
          <w:szCs w:val="22"/>
          <w:lang w:val="fr-FR"/>
        </w:rPr>
        <w:t>Raby</w:t>
      </w:r>
      <w:proofErr w:type="spellEnd"/>
      <w:r w:rsidRPr="00500220">
        <w:rPr>
          <w:rFonts w:ascii="Arial" w:hAnsi="Arial"/>
          <w:sz w:val="22"/>
          <w:szCs w:val="22"/>
          <w:lang w:val="fr-FR"/>
        </w:rPr>
        <w:t xml:space="preserve"> et coll. 2011 ; </w:t>
      </w:r>
      <w:proofErr w:type="spellStart"/>
      <w:r w:rsidRPr="00500220">
        <w:rPr>
          <w:rFonts w:ascii="Arial" w:hAnsi="Arial"/>
          <w:sz w:val="22"/>
          <w:szCs w:val="22"/>
          <w:lang w:val="fr-FR"/>
        </w:rPr>
        <w:t>Mayaka</w:t>
      </w:r>
      <w:proofErr w:type="spellEnd"/>
      <w:r w:rsidRPr="00500220">
        <w:rPr>
          <w:rFonts w:ascii="Arial" w:hAnsi="Arial"/>
          <w:sz w:val="22"/>
          <w:szCs w:val="22"/>
          <w:lang w:val="fr-FR"/>
        </w:rPr>
        <w:t xml:space="preserve"> et coll. 2015). La majorité des prises accessoires en eau douce intérieure ont lieu dans le monde en développement, une estimation indiquant que plus de 90 % des prises accessoires en eau douce ont lieu en Asie et en Afrique (</w:t>
      </w:r>
      <w:proofErr w:type="spellStart"/>
      <w:r w:rsidRPr="00500220">
        <w:rPr>
          <w:rFonts w:ascii="Arial" w:hAnsi="Arial"/>
          <w:sz w:val="22"/>
          <w:szCs w:val="22"/>
          <w:lang w:val="fr-FR"/>
        </w:rPr>
        <w:t>Raby</w:t>
      </w:r>
      <w:proofErr w:type="spellEnd"/>
      <w:r w:rsidRPr="00500220">
        <w:rPr>
          <w:rFonts w:ascii="Arial" w:hAnsi="Arial"/>
          <w:sz w:val="22"/>
          <w:szCs w:val="22"/>
          <w:lang w:val="fr-FR"/>
        </w:rPr>
        <w:t xml:space="preserve"> et coll. 2011). Toutefois, à ce jour, les évaluations des prises accessoires et les processus d’atténuation ont surtout porté sur la pêche industrielle maritime, tandis que les autorités nationales et internationales accordent souvent peu d’attention à la pêche à petite échelle (</w:t>
      </w:r>
      <w:proofErr w:type="spellStart"/>
      <w:r w:rsidRPr="00500220">
        <w:rPr>
          <w:rFonts w:ascii="Arial" w:hAnsi="Arial"/>
          <w:sz w:val="22"/>
          <w:szCs w:val="22"/>
          <w:lang w:val="fr-FR"/>
        </w:rPr>
        <w:t>Lewison</w:t>
      </w:r>
      <w:proofErr w:type="spellEnd"/>
      <w:r w:rsidRPr="00500220">
        <w:rPr>
          <w:rFonts w:ascii="Arial" w:hAnsi="Arial"/>
          <w:sz w:val="22"/>
          <w:szCs w:val="22"/>
          <w:lang w:val="fr-FR"/>
        </w:rPr>
        <w:t xml:space="preserve"> et coll. 2004 ; </w:t>
      </w:r>
      <w:proofErr w:type="spellStart"/>
      <w:r w:rsidRPr="00500220">
        <w:rPr>
          <w:rFonts w:ascii="Arial" w:hAnsi="Arial"/>
          <w:sz w:val="22"/>
          <w:szCs w:val="22"/>
          <w:lang w:val="fr-FR"/>
        </w:rPr>
        <w:t>Lewison</w:t>
      </w:r>
      <w:proofErr w:type="spellEnd"/>
      <w:r w:rsidRPr="00500220">
        <w:rPr>
          <w:rFonts w:ascii="Arial" w:hAnsi="Arial"/>
          <w:sz w:val="22"/>
          <w:szCs w:val="22"/>
          <w:lang w:val="fr-FR"/>
        </w:rPr>
        <w:t xml:space="preserve"> &amp; </w:t>
      </w:r>
      <w:proofErr w:type="spellStart"/>
      <w:r w:rsidRPr="00500220">
        <w:rPr>
          <w:rFonts w:ascii="Arial" w:hAnsi="Arial"/>
          <w:sz w:val="22"/>
          <w:szCs w:val="22"/>
          <w:lang w:val="fr-FR"/>
        </w:rPr>
        <w:t>Crowder</w:t>
      </w:r>
      <w:proofErr w:type="spellEnd"/>
      <w:r w:rsidRPr="00500220">
        <w:rPr>
          <w:rFonts w:ascii="Arial" w:hAnsi="Arial"/>
          <w:sz w:val="22"/>
          <w:szCs w:val="22"/>
          <w:lang w:val="fr-FR"/>
        </w:rPr>
        <w:t xml:space="preserve"> 2007). Par conséquent, l’effort de pêche et les prises accessoires de ces types de pêche sont largement inconnus ou se sont principalement concentrés sur les oiseaux marins. En outre, la pêche à petite échelle correspond à une pêche illicite, non déclarée et non réglementée (INN) importante (</w:t>
      </w:r>
      <w:proofErr w:type="spellStart"/>
      <w:r w:rsidRPr="00500220">
        <w:rPr>
          <w:rFonts w:ascii="Arial" w:hAnsi="Arial"/>
          <w:sz w:val="22"/>
          <w:szCs w:val="22"/>
          <w:lang w:val="fr-FR"/>
        </w:rPr>
        <w:t>Panayotou</w:t>
      </w:r>
      <w:proofErr w:type="spellEnd"/>
      <w:r w:rsidRPr="00500220">
        <w:rPr>
          <w:rFonts w:ascii="Arial" w:hAnsi="Arial"/>
          <w:sz w:val="22"/>
          <w:szCs w:val="22"/>
          <w:lang w:val="fr-FR"/>
        </w:rPr>
        <w:t xml:space="preserve"> 1982 ; Pauly 2006), ce qui empêche de mieux comprendre les incidences de la pêche sur la mégafaune migratrice dans les eaux côtières. </w:t>
      </w:r>
    </w:p>
    <w:p w:rsidR="00500220" w:rsidRPr="00500220" w:rsidRDefault="00500220" w:rsidP="00500220">
      <w:pPr>
        <w:ind w:left="360"/>
        <w:jc w:val="both"/>
        <w:rPr>
          <w:rFonts w:ascii="Arial" w:hAnsi="Arial" w:cs="Arial"/>
          <w:bCs/>
          <w:sz w:val="22"/>
          <w:szCs w:val="22"/>
          <w:u w:val="single"/>
          <w:lang w:val="fr-FR"/>
        </w:rPr>
      </w:pPr>
    </w:p>
    <w:p w:rsidR="00500220" w:rsidRPr="00500220" w:rsidRDefault="00500220" w:rsidP="00500220">
      <w:pPr>
        <w:jc w:val="both"/>
        <w:rPr>
          <w:rFonts w:ascii="Arial" w:hAnsi="Arial" w:cs="Arial"/>
          <w:noProof/>
          <w:sz w:val="22"/>
          <w:szCs w:val="22"/>
          <w:u w:val="single"/>
          <w:lang w:val="fr-FR"/>
        </w:rPr>
      </w:pPr>
      <w:r w:rsidRPr="00500220">
        <w:rPr>
          <w:rFonts w:ascii="Arial" w:hAnsi="Arial"/>
          <w:sz w:val="22"/>
          <w:szCs w:val="22"/>
          <w:u w:val="single"/>
          <w:lang w:val="fr-FR"/>
        </w:rPr>
        <w:t>Viande d’animaux sauvages aquatiques et prises accessoires</w:t>
      </w:r>
    </w:p>
    <w:p w:rsidR="00500220" w:rsidRPr="00500220" w:rsidRDefault="00500220" w:rsidP="00500220">
      <w:pPr>
        <w:jc w:val="both"/>
        <w:rPr>
          <w:rFonts w:ascii="Arial" w:hAnsi="Arial" w:cs="Arial"/>
          <w:sz w:val="22"/>
          <w:szCs w:val="22"/>
          <w:lang w:val="fr-FR"/>
        </w:rPr>
      </w:pPr>
    </w:p>
    <w:p w:rsidR="00500220" w:rsidRPr="00500220" w:rsidRDefault="00500220" w:rsidP="00CE08D3">
      <w:pPr>
        <w:pStyle w:val="ListParagraph"/>
        <w:numPr>
          <w:ilvl w:val="0"/>
          <w:numId w:val="2"/>
        </w:numPr>
        <w:suppressAutoHyphens/>
        <w:ind w:left="567" w:hanging="567"/>
        <w:jc w:val="both"/>
        <w:rPr>
          <w:rFonts w:ascii="Arial" w:hAnsi="Arial" w:cs="Arial"/>
          <w:sz w:val="22"/>
          <w:szCs w:val="22"/>
          <w:lang w:val="fr-FR"/>
        </w:rPr>
      </w:pPr>
      <w:r w:rsidRPr="00500220">
        <w:rPr>
          <w:rFonts w:ascii="Arial" w:hAnsi="Arial"/>
          <w:sz w:val="22"/>
          <w:szCs w:val="22"/>
          <w:lang w:val="fr-FR"/>
        </w:rPr>
        <w:t xml:space="preserve">Dans la pêche commerciale ou industrielle, les prises accessoires sont généralement rejetées, à l’exception des requins. Les prises accessoires dans la pêche artisanale ou à petite échelle sont souvent conservées. Par exemple, une gamme diversifiée de petits cétacés (p. ex. </w:t>
      </w:r>
      <w:proofErr w:type="spellStart"/>
      <w:r w:rsidRPr="00500220">
        <w:rPr>
          <w:rFonts w:ascii="Arial" w:hAnsi="Arial"/>
          <w:sz w:val="22"/>
          <w:szCs w:val="22"/>
          <w:lang w:val="fr-FR"/>
        </w:rPr>
        <w:t>Stenella</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spp</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Tursiops</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truncatus</w:t>
      </w:r>
      <w:proofErr w:type="spellEnd"/>
      <w:r w:rsidRPr="00500220">
        <w:rPr>
          <w:rFonts w:ascii="Arial" w:hAnsi="Arial"/>
          <w:sz w:val="22"/>
          <w:szCs w:val="22"/>
          <w:lang w:val="fr-FR"/>
        </w:rPr>
        <w:t>), d’albatros des Galapagos (</w:t>
      </w:r>
      <w:proofErr w:type="spellStart"/>
      <w:r w:rsidRPr="00500220">
        <w:rPr>
          <w:rFonts w:ascii="Arial" w:hAnsi="Arial"/>
          <w:sz w:val="22"/>
          <w:szCs w:val="22"/>
          <w:lang w:val="fr-FR"/>
        </w:rPr>
        <w:t>Phoebastria</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irrorata</w:t>
      </w:r>
      <w:proofErr w:type="spellEnd"/>
      <w:r w:rsidRPr="00500220">
        <w:rPr>
          <w:rFonts w:ascii="Arial" w:hAnsi="Arial"/>
          <w:sz w:val="22"/>
          <w:szCs w:val="22"/>
          <w:lang w:val="fr-FR"/>
        </w:rPr>
        <w:t>), de tortues caouannes (</w:t>
      </w:r>
      <w:proofErr w:type="spellStart"/>
      <w:r w:rsidRPr="00500220">
        <w:rPr>
          <w:rFonts w:ascii="Arial" w:hAnsi="Arial"/>
          <w:sz w:val="22"/>
          <w:szCs w:val="22"/>
          <w:lang w:val="fr-FR"/>
        </w:rPr>
        <w:t>Caretta</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caretta</w:t>
      </w:r>
      <w:proofErr w:type="spellEnd"/>
      <w:r w:rsidRPr="00500220">
        <w:rPr>
          <w:rFonts w:ascii="Arial" w:hAnsi="Arial"/>
          <w:sz w:val="22"/>
          <w:szCs w:val="22"/>
          <w:lang w:val="fr-FR"/>
        </w:rPr>
        <w:t>) et de divers requins marteaux (</w:t>
      </w:r>
      <w:proofErr w:type="spellStart"/>
      <w:r w:rsidRPr="00500220">
        <w:rPr>
          <w:rFonts w:ascii="Arial" w:hAnsi="Arial"/>
          <w:sz w:val="22"/>
          <w:szCs w:val="22"/>
          <w:lang w:val="fr-FR"/>
        </w:rPr>
        <w:t>Sphyrna</w:t>
      </w:r>
      <w:proofErr w:type="spellEnd"/>
      <w:r w:rsidRPr="00500220">
        <w:rPr>
          <w:rFonts w:ascii="Arial" w:hAnsi="Arial"/>
          <w:sz w:val="22"/>
          <w:szCs w:val="22"/>
          <w:lang w:val="fr-FR"/>
        </w:rPr>
        <w:t xml:space="preserve"> </w:t>
      </w:r>
      <w:proofErr w:type="spellStart"/>
      <w:r w:rsidRPr="00500220">
        <w:rPr>
          <w:rFonts w:ascii="Arial" w:hAnsi="Arial"/>
          <w:sz w:val="22"/>
          <w:szCs w:val="22"/>
          <w:lang w:val="fr-FR"/>
        </w:rPr>
        <w:t>spp</w:t>
      </w:r>
      <w:proofErr w:type="spellEnd"/>
      <w:r w:rsidRPr="00500220">
        <w:rPr>
          <w:rFonts w:ascii="Arial" w:hAnsi="Arial"/>
          <w:sz w:val="22"/>
          <w:szCs w:val="22"/>
          <w:lang w:val="fr-FR"/>
        </w:rPr>
        <w:t>.) sont tués comme prises accessoires et utilisés comme viande d’animaux sauvages aquatiques (</w:t>
      </w:r>
      <w:proofErr w:type="spellStart"/>
      <w:r w:rsidRPr="00500220">
        <w:rPr>
          <w:rFonts w:ascii="Arial" w:hAnsi="Arial"/>
          <w:sz w:val="22"/>
          <w:szCs w:val="22"/>
          <w:lang w:val="fr-FR"/>
        </w:rPr>
        <w:t>Peckham</w:t>
      </w:r>
      <w:proofErr w:type="spellEnd"/>
      <w:r w:rsidRPr="00500220">
        <w:rPr>
          <w:rFonts w:ascii="Arial" w:hAnsi="Arial"/>
          <w:sz w:val="22"/>
          <w:szCs w:val="22"/>
          <w:lang w:val="fr-FR"/>
        </w:rPr>
        <w:t xml:space="preserve"> et coll. 2007 ; </w:t>
      </w:r>
      <w:proofErr w:type="spellStart"/>
      <w:r w:rsidRPr="00500220">
        <w:rPr>
          <w:rFonts w:ascii="Arial" w:hAnsi="Arial"/>
          <w:sz w:val="22"/>
          <w:szCs w:val="22"/>
          <w:lang w:val="fr-FR"/>
        </w:rPr>
        <w:t>Mangel</w:t>
      </w:r>
      <w:proofErr w:type="spellEnd"/>
      <w:r w:rsidRPr="00500220">
        <w:rPr>
          <w:rFonts w:ascii="Arial" w:hAnsi="Arial"/>
          <w:sz w:val="22"/>
          <w:szCs w:val="22"/>
          <w:lang w:val="fr-FR"/>
        </w:rPr>
        <w:t xml:space="preserve"> et coll. 2010 ; Alfaro-</w:t>
      </w:r>
      <w:proofErr w:type="spellStart"/>
      <w:r w:rsidRPr="00500220">
        <w:rPr>
          <w:rFonts w:ascii="Arial" w:hAnsi="Arial"/>
          <w:sz w:val="22"/>
          <w:szCs w:val="22"/>
          <w:lang w:val="fr-FR"/>
        </w:rPr>
        <w:t>Shigueto</w:t>
      </w:r>
      <w:proofErr w:type="spellEnd"/>
      <w:r w:rsidRPr="00500220">
        <w:rPr>
          <w:rFonts w:ascii="Arial" w:hAnsi="Arial"/>
          <w:sz w:val="22"/>
          <w:szCs w:val="22"/>
          <w:lang w:val="fr-FR"/>
        </w:rPr>
        <w:t xml:space="preserve"> 2011 ; </w:t>
      </w:r>
      <w:proofErr w:type="spellStart"/>
      <w:r w:rsidRPr="00500220">
        <w:rPr>
          <w:rFonts w:ascii="Arial" w:hAnsi="Arial"/>
          <w:sz w:val="22"/>
          <w:szCs w:val="22"/>
          <w:lang w:val="fr-FR"/>
        </w:rPr>
        <w:t>Glaus</w:t>
      </w:r>
      <w:proofErr w:type="spellEnd"/>
      <w:r w:rsidRPr="00500220">
        <w:rPr>
          <w:rFonts w:ascii="Arial" w:hAnsi="Arial"/>
          <w:sz w:val="22"/>
          <w:szCs w:val="22"/>
          <w:lang w:val="fr-FR"/>
        </w:rPr>
        <w:t xml:space="preserve"> et coll. 2015). Les humains chassent la faune depuis plus de 100 000 ans, mais la consommation et la croissance de la population humaine ont considérablement évolué au cours des dernières décennies (Milner-</w:t>
      </w:r>
      <w:proofErr w:type="spellStart"/>
      <w:r w:rsidRPr="00500220">
        <w:rPr>
          <w:rFonts w:ascii="Arial" w:hAnsi="Arial"/>
          <w:sz w:val="22"/>
          <w:szCs w:val="22"/>
          <w:lang w:val="fr-FR"/>
        </w:rPr>
        <w:t>Gulland</w:t>
      </w:r>
      <w:proofErr w:type="spellEnd"/>
      <w:r w:rsidRPr="00500220">
        <w:rPr>
          <w:rFonts w:ascii="Arial" w:hAnsi="Arial"/>
          <w:sz w:val="22"/>
          <w:szCs w:val="22"/>
          <w:lang w:val="fr-FR"/>
        </w:rPr>
        <w:t xml:space="preserve"> et Bennett, 2003). Par exemple, des rapports estiment que le prélèvement de viande d’animaux sauvages en Afrique centrale est actuellement de l’ordre de 3,4 millions de tonnes par an (</w:t>
      </w:r>
      <w:proofErr w:type="spellStart"/>
      <w:r w:rsidRPr="00500220">
        <w:rPr>
          <w:rFonts w:ascii="Arial" w:hAnsi="Arial"/>
          <w:sz w:val="22"/>
          <w:szCs w:val="22"/>
          <w:lang w:val="fr-FR"/>
        </w:rPr>
        <w:t>Wilkie</w:t>
      </w:r>
      <w:proofErr w:type="spellEnd"/>
      <w:r w:rsidRPr="00500220">
        <w:rPr>
          <w:rFonts w:ascii="Arial" w:hAnsi="Arial"/>
          <w:sz w:val="22"/>
          <w:szCs w:val="22"/>
          <w:lang w:val="fr-FR"/>
        </w:rPr>
        <w:t xml:space="preserve"> &amp; Carpenter, 1999 ; Fa et coll. 2001). Il convient de noter que la demande de viande d’animaux sauvages aquatiques, tant pour la consommation que pour le commerce, peut transformer les prises accessoires opportunistes en un élément souhaitable de la prise, qui est conservé comme source précieuse de nourriture ou de revenu (White et coll. </w:t>
      </w:r>
      <w:bookmarkStart w:id="3" w:name="_Hlk10552978"/>
      <w:r w:rsidRPr="00500220">
        <w:rPr>
          <w:rFonts w:ascii="Arial" w:hAnsi="Arial"/>
          <w:sz w:val="22"/>
          <w:szCs w:val="22"/>
          <w:lang w:val="fr-FR"/>
        </w:rPr>
        <w:t>2006</w:t>
      </w:r>
      <w:bookmarkEnd w:id="3"/>
      <w:r w:rsidRPr="00500220">
        <w:rPr>
          <w:rFonts w:ascii="Arial" w:hAnsi="Arial"/>
          <w:sz w:val="22"/>
          <w:szCs w:val="22"/>
          <w:lang w:val="fr-FR"/>
        </w:rPr>
        <w:t>). Par conséquent, ce qui était auparavant considéré comme des prises accessoires peut finalement être recherché intentionnellement et évoluer en prises directes.</w:t>
      </w:r>
    </w:p>
    <w:p w:rsidR="00500220" w:rsidRPr="00500220" w:rsidRDefault="00500220" w:rsidP="00CE08D3">
      <w:pPr>
        <w:pStyle w:val="ListParagraph"/>
        <w:ind w:left="567" w:hanging="567"/>
        <w:jc w:val="both"/>
        <w:rPr>
          <w:rFonts w:ascii="Arial" w:hAnsi="Arial" w:cs="Arial"/>
          <w:sz w:val="22"/>
          <w:szCs w:val="22"/>
          <w:lang w:val="fr-FR"/>
        </w:rPr>
      </w:pPr>
    </w:p>
    <w:p w:rsidR="00500220" w:rsidRPr="00266948" w:rsidRDefault="00500220" w:rsidP="00CE08D3">
      <w:pPr>
        <w:pStyle w:val="ListParagraph"/>
        <w:numPr>
          <w:ilvl w:val="0"/>
          <w:numId w:val="2"/>
        </w:numPr>
        <w:suppressAutoHyphens/>
        <w:ind w:left="567" w:hanging="567"/>
        <w:jc w:val="both"/>
        <w:rPr>
          <w:rFonts w:ascii="Arial" w:hAnsi="Arial" w:cs="Arial"/>
          <w:sz w:val="22"/>
          <w:szCs w:val="22"/>
        </w:rPr>
      </w:pPr>
      <w:r w:rsidRPr="00500220">
        <w:rPr>
          <w:rFonts w:ascii="Arial" w:hAnsi="Arial"/>
          <w:sz w:val="22"/>
          <w:szCs w:val="22"/>
          <w:lang w:val="fr-FR"/>
        </w:rPr>
        <w:t xml:space="preserve">Les prises accessoires déclarées peuvent en réalité être des prises dirigées.  Cependant, ce fait est souvent difficile à distinguer et peut changer quotidiennement (Temple et coll. 2018). Une déclaration incorrecte des prises directes en tant que prises accessoires peut constituer un obstacle à la gestion. L’une des raisons en est qu’il semble difficile de prévenir les prises accessoires ; une perception qui entrave la volonté des individus et des organismes de gestion d’agir en vue de réduire les prises accessoires. En outre, bien qu’il existe des études sur les techniques de pêche visant à réduire les prises accessoires, ces connaissances ou ces types d’engins ne sont souvent pas disponibles ou viables pour les pêcheurs à petite échelle. Un autre aspect des prises accessoires à prendre en compte est ce qu’on appelle les prises accessoires « cryptiques », c’est-à-dire les animaux qui sont tués ou mortellement blessés lors d’une activité de pêche, mais qui ne restent pas dans les filets remontés ou ne sont pas embarqués à bord du navire de pêche, et qui ne sont donc pas inclus dans les captures déclarées par les observateurs de pêche. De tels événements sont une composante importante des prises accessoires de grandes baleines, mais les petits mammifères marins, les oiseaux marins, les tortues et les poissons rejetés sont aussi souvent blessés et meurent après avoir été capturés, après s’être échappés ou après avoir été remis à l’eau (Davis 2002 ; Campana et coll. </w:t>
      </w:r>
      <w:r w:rsidRPr="00266948">
        <w:rPr>
          <w:rFonts w:ascii="Arial" w:hAnsi="Arial"/>
          <w:sz w:val="22"/>
          <w:szCs w:val="22"/>
        </w:rPr>
        <w:t xml:space="preserve">2009 ; </w:t>
      </w:r>
      <w:proofErr w:type="spellStart"/>
      <w:r w:rsidRPr="00266948">
        <w:rPr>
          <w:rFonts w:ascii="Arial" w:hAnsi="Arial"/>
          <w:sz w:val="22"/>
          <w:szCs w:val="22"/>
        </w:rPr>
        <w:t>Debski</w:t>
      </w:r>
      <w:proofErr w:type="spellEnd"/>
      <w:r w:rsidRPr="00266948">
        <w:rPr>
          <w:rFonts w:ascii="Arial" w:hAnsi="Arial"/>
          <w:sz w:val="22"/>
          <w:szCs w:val="22"/>
        </w:rPr>
        <w:t xml:space="preserve"> &amp; Pierre 2014)</w:t>
      </w:r>
      <w:bookmarkStart w:id="4" w:name="article1.body1.sec1.p2"/>
      <w:bookmarkEnd w:id="4"/>
    </w:p>
    <w:p w:rsidR="00CE08D3" w:rsidRDefault="00CE08D3" w:rsidP="00500220">
      <w:pPr>
        <w:adjustRightInd w:val="0"/>
        <w:ind w:left="360"/>
        <w:jc w:val="both"/>
        <w:rPr>
          <w:rFonts w:ascii="Arial" w:hAnsi="Arial" w:cs="Arial"/>
          <w:sz w:val="22"/>
          <w:szCs w:val="22"/>
          <w:u w:val="single"/>
        </w:rPr>
      </w:pPr>
      <w:r>
        <w:rPr>
          <w:rFonts w:ascii="Arial" w:hAnsi="Arial" w:cs="Arial"/>
          <w:sz w:val="22"/>
          <w:szCs w:val="22"/>
          <w:u w:val="single"/>
        </w:rPr>
        <w:br w:type="page"/>
      </w:r>
    </w:p>
    <w:p w:rsidR="00500220" w:rsidRPr="00266948" w:rsidRDefault="00500220" w:rsidP="00500220">
      <w:pPr>
        <w:adjustRightInd w:val="0"/>
        <w:ind w:left="360"/>
        <w:jc w:val="both"/>
        <w:rPr>
          <w:rFonts w:ascii="Arial" w:hAnsi="Arial" w:cs="Arial"/>
          <w:sz w:val="22"/>
          <w:szCs w:val="22"/>
          <w:u w:val="single"/>
        </w:rPr>
      </w:pPr>
    </w:p>
    <w:p w:rsidR="00500220" w:rsidRPr="00500220" w:rsidRDefault="00500220" w:rsidP="00500220">
      <w:pPr>
        <w:jc w:val="both"/>
        <w:rPr>
          <w:rFonts w:ascii="Arial" w:hAnsi="Arial" w:cs="Arial"/>
          <w:noProof/>
          <w:sz w:val="22"/>
          <w:szCs w:val="22"/>
          <w:u w:val="single"/>
          <w:lang w:val="fr-FR"/>
        </w:rPr>
      </w:pPr>
      <w:r w:rsidRPr="00500220">
        <w:rPr>
          <w:rFonts w:ascii="Arial" w:hAnsi="Arial"/>
          <w:sz w:val="22"/>
          <w:szCs w:val="22"/>
          <w:u w:val="single"/>
          <w:lang w:val="fr-FR"/>
        </w:rPr>
        <w:t>Espèces affectées répertoriées à la CMS</w:t>
      </w:r>
    </w:p>
    <w:p w:rsidR="00500220" w:rsidRPr="00500220" w:rsidRDefault="00500220" w:rsidP="00500220">
      <w:pPr>
        <w:adjustRightInd w:val="0"/>
        <w:ind w:left="360"/>
        <w:jc w:val="both"/>
        <w:rPr>
          <w:rFonts w:ascii="Arial" w:hAnsi="Arial" w:cs="Arial"/>
          <w:bCs/>
          <w:sz w:val="22"/>
          <w:szCs w:val="22"/>
          <w:u w:val="single"/>
          <w:lang w:val="fr-FR"/>
        </w:rPr>
      </w:pPr>
    </w:p>
    <w:p w:rsidR="00500220" w:rsidRPr="00266948" w:rsidRDefault="00500220" w:rsidP="00CE08D3">
      <w:pPr>
        <w:pStyle w:val="Default"/>
        <w:numPr>
          <w:ilvl w:val="0"/>
          <w:numId w:val="2"/>
        </w:numPr>
        <w:suppressAutoHyphens/>
        <w:ind w:left="567" w:hanging="567"/>
        <w:jc w:val="both"/>
        <w:rPr>
          <w:rFonts w:eastAsia="Times New Roman"/>
          <w:color w:val="auto"/>
          <w:sz w:val="22"/>
          <w:szCs w:val="22"/>
        </w:rPr>
      </w:pPr>
      <w:r w:rsidRPr="00266948">
        <w:rPr>
          <w:color w:val="auto"/>
          <w:sz w:val="22"/>
          <w:szCs w:val="22"/>
        </w:rPr>
        <w:t>Certaines espèces affectées figurent dans les annexes de la CMS. Les petits cétacés, les reptiles, les oiseaux marins et les élasmobranches dont on sait qu’ils sont ou ont pu être utilisés comme viande d’animaux sauvages aquatiques provenant de prises accessoires (Alfaro-</w:t>
      </w:r>
      <w:proofErr w:type="spellStart"/>
      <w:r w:rsidRPr="00266948">
        <w:rPr>
          <w:color w:val="auto"/>
          <w:sz w:val="22"/>
          <w:szCs w:val="22"/>
        </w:rPr>
        <w:t>Shigueto</w:t>
      </w:r>
      <w:proofErr w:type="spellEnd"/>
      <w:r w:rsidRPr="00266948">
        <w:rPr>
          <w:color w:val="auto"/>
          <w:sz w:val="22"/>
          <w:szCs w:val="22"/>
        </w:rPr>
        <w:t xml:space="preserve"> et coll. 2011 ; </w:t>
      </w:r>
      <w:proofErr w:type="spellStart"/>
      <w:r w:rsidRPr="00266948">
        <w:rPr>
          <w:color w:val="auto"/>
          <w:sz w:val="22"/>
          <w:szCs w:val="22"/>
        </w:rPr>
        <w:t>Glaus</w:t>
      </w:r>
      <w:proofErr w:type="spellEnd"/>
      <w:r w:rsidRPr="00266948">
        <w:rPr>
          <w:color w:val="auto"/>
          <w:sz w:val="22"/>
          <w:szCs w:val="22"/>
        </w:rPr>
        <w:t xml:space="preserve"> et coll. 2015 ; Alves &amp; van Vliet 2018) et leurs statuts de protection dans les Annexes de la CMS (Annexes I &amp; II) sont énumérés ci-dessous. Remarque : cette liste n’est pas exhaustive et comporte uniquement les espèces dont l’utilisation comme viande d’animaux sauvages aquatiques dérivée de prises accessoires est documentée. En outre, aucun rapport n’a été trouvé pour certains pays et comme l’utilisation des mammifères marins est illégale dans de nombreux pays, les prélèvements sont probablement cachés et les chiffres exacts restent difficiles à obtenir. Il est donc recommandé d’adopter une approche de précaution et de ne pas supposer que les prises accessoires et leur utilisation comme viande d’animaux sauvages aquatiques n’existent pas. Il convient toutefois de noter que, de tous les reptiles, les tortues ont été les plus sévèrement exploitées par l’homme pour se nourrir, une situation qui a été directement liée à l’état de conservation précaire de beaucoup de ces espèces (Klemens &amp; </w:t>
      </w:r>
      <w:proofErr w:type="spellStart"/>
      <w:r w:rsidRPr="00266948">
        <w:rPr>
          <w:color w:val="auto"/>
          <w:sz w:val="22"/>
          <w:szCs w:val="22"/>
        </w:rPr>
        <w:t>Thorbjarnarson</w:t>
      </w:r>
      <w:proofErr w:type="spellEnd"/>
      <w:r w:rsidRPr="00266948">
        <w:rPr>
          <w:color w:val="auto"/>
          <w:sz w:val="22"/>
          <w:szCs w:val="22"/>
        </w:rPr>
        <w:t xml:space="preserve">, 1995, Mancini &amp; Koch, 2009, Hoffmann &amp; </w:t>
      </w:r>
      <w:proofErr w:type="spellStart"/>
      <w:r w:rsidRPr="00266948">
        <w:rPr>
          <w:color w:val="auto"/>
          <w:sz w:val="22"/>
          <w:szCs w:val="22"/>
        </w:rPr>
        <w:t>Cawthorn</w:t>
      </w:r>
      <w:proofErr w:type="spellEnd"/>
      <w:r w:rsidRPr="00266948">
        <w:rPr>
          <w:color w:val="auto"/>
          <w:sz w:val="22"/>
          <w:szCs w:val="22"/>
        </w:rPr>
        <w:t>, 2012) ; c’est la raison pour laquelle les huit tortues répertoriées à la CMS I se retrouvent dans la liste ci-dessous.</w:t>
      </w:r>
    </w:p>
    <w:p w:rsidR="00500220" w:rsidRPr="00266948" w:rsidRDefault="00500220" w:rsidP="00500220">
      <w:pPr>
        <w:pStyle w:val="Default"/>
        <w:suppressAutoHyphens/>
        <w:ind w:left="504"/>
        <w:jc w:val="both"/>
        <w:rPr>
          <w:rFonts w:eastAsia="Times New Roman"/>
          <w:color w:val="auto"/>
          <w:sz w:val="22"/>
          <w:szCs w:val="22"/>
        </w:rPr>
      </w:pPr>
    </w:p>
    <w:p w:rsidR="00500220" w:rsidRDefault="00500220" w:rsidP="00500220">
      <w:pPr>
        <w:pStyle w:val="Default"/>
        <w:suppressAutoHyphens/>
        <w:ind w:left="360"/>
        <w:jc w:val="both"/>
        <w:rPr>
          <w:b/>
          <w:sz w:val="22"/>
          <w:szCs w:val="22"/>
        </w:rPr>
      </w:pPr>
      <w:r w:rsidRPr="00CE08D3">
        <w:rPr>
          <w:b/>
          <w:sz w:val="22"/>
          <w:szCs w:val="22"/>
        </w:rPr>
        <w:t>A</w:t>
      </w:r>
      <w:r w:rsidR="00CE08D3">
        <w:rPr>
          <w:b/>
          <w:sz w:val="22"/>
          <w:szCs w:val="22"/>
        </w:rPr>
        <w:t>nnexe</w:t>
      </w:r>
      <w:r w:rsidRPr="00CE08D3">
        <w:rPr>
          <w:b/>
          <w:sz w:val="22"/>
          <w:szCs w:val="22"/>
        </w:rPr>
        <w:t xml:space="preserve"> I</w:t>
      </w:r>
    </w:p>
    <w:p w:rsidR="00CE08D3" w:rsidRPr="00CE08D3" w:rsidRDefault="00CE08D3" w:rsidP="00500220">
      <w:pPr>
        <w:pStyle w:val="Default"/>
        <w:suppressAutoHyphens/>
        <w:ind w:left="360"/>
        <w:jc w:val="both"/>
        <w:rPr>
          <w:b/>
          <w:sz w:val="22"/>
          <w:szCs w:val="22"/>
        </w:rPr>
      </w:pPr>
    </w:p>
    <w:p w:rsidR="00500220" w:rsidRPr="00CE08D3" w:rsidRDefault="00500220" w:rsidP="00500220">
      <w:pPr>
        <w:pStyle w:val="Default"/>
        <w:numPr>
          <w:ilvl w:val="1"/>
          <w:numId w:val="3"/>
        </w:numPr>
        <w:suppressAutoHyphens/>
        <w:jc w:val="both"/>
        <w:rPr>
          <w:sz w:val="22"/>
          <w:szCs w:val="22"/>
        </w:rPr>
      </w:pPr>
      <w:r w:rsidRPr="00CE08D3">
        <w:rPr>
          <w:sz w:val="22"/>
          <w:szCs w:val="22"/>
        </w:rPr>
        <w:t xml:space="preserve">SIRENIA </w:t>
      </w:r>
      <w:r w:rsidR="00CE08D3">
        <w:rPr>
          <w:sz w:val="22"/>
          <w:szCs w:val="22"/>
        </w:rPr>
        <w:t>ET CETACEA</w:t>
      </w:r>
      <w:r w:rsidRPr="00CE08D3">
        <w:rPr>
          <w:sz w:val="22"/>
          <w:szCs w:val="22"/>
        </w:rPr>
        <w:t>:</w:t>
      </w:r>
      <w:r w:rsidRPr="00CE08D3">
        <w:rPr>
          <w:sz w:val="22"/>
          <w:szCs w:val="22"/>
        </w:rPr>
        <w:tab/>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Trichechus</w:t>
      </w:r>
      <w:proofErr w:type="spellEnd"/>
      <w:r w:rsidRPr="00CE08D3">
        <w:rPr>
          <w:i/>
          <w:sz w:val="22"/>
          <w:szCs w:val="22"/>
        </w:rPr>
        <w:t xml:space="preserve"> senegalensis</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Tursiops</w:t>
      </w:r>
      <w:proofErr w:type="spellEnd"/>
      <w:r w:rsidRPr="00CE08D3">
        <w:rPr>
          <w:i/>
          <w:sz w:val="22"/>
          <w:szCs w:val="22"/>
        </w:rPr>
        <w:t xml:space="preserve"> </w:t>
      </w:r>
      <w:proofErr w:type="spellStart"/>
      <w:r w:rsidRPr="00CE08D3">
        <w:rPr>
          <w:i/>
          <w:sz w:val="22"/>
          <w:szCs w:val="22"/>
        </w:rPr>
        <w:t>truncatus</w:t>
      </w:r>
      <w:proofErr w:type="spellEnd"/>
      <w:r w:rsidRPr="00CE08D3">
        <w:rPr>
          <w:i/>
          <w:sz w:val="22"/>
          <w:szCs w:val="22"/>
        </w:rPr>
        <w:t xml:space="preserve"> </w:t>
      </w:r>
      <w:proofErr w:type="spellStart"/>
      <w:r w:rsidRPr="00CE08D3">
        <w:rPr>
          <w:i/>
          <w:sz w:val="22"/>
          <w:szCs w:val="22"/>
        </w:rPr>
        <w:t>ponticus</w:t>
      </w:r>
      <w:proofErr w:type="spellEnd"/>
      <w:r w:rsidRPr="00CE08D3">
        <w:rPr>
          <w:i/>
          <w:sz w:val="22"/>
          <w:szCs w:val="22"/>
        </w:rPr>
        <w:t xml:space="preserve"> </w:t>
      </w:r>
    </w:p>
    <w:p w:rsidR="00500220" w:rsidRDefault="00500220" w:rsidP="00500220">
      <w:pPr>
        <w:pStyle w:val="Default"/>
        <w:numPr>
          <w:ilvl w:val="2"/>
          <w:numId w:val="3"/>
        </w:numPr>
        <w:suppressAutoHyphens/>
        <w:jc w:val="both"/>
        <w:rPr>
          <w:i/>
          <w:sz w:val="22"/>
          <w:szCs w:val="22"/>
        </w:rPr>
      </w:pPr>
      <w:r w:rsidRPr="00CE08D3">
        <w:rPr>
          <w:i/>
          <w:sz w:val="22"/>
          <w:szCs w:val="22"/>
        </w:rPr>
        <w:t xml:space="preserve">Sousa </w:t>
      </w:r>
      <w:proofErr w:type="spellStart"/>
      <w:r w:rsidRPr="00CE08D3">
        <w:rPr>
          <w:i/>
          <w:sz w:val="22"/>
          <w:szCs w:val="22"/>
        </w:rPr>
        <w:t>teuszii</w:t>
      </w:r>
      <w:proofErr w:type="spellEnd"/>
      <w:r w:rsidRPr="00CE08D3">
        <w:rPr>
          <w:i/>
          <w:sz w:val="22"/>
          <w:szCs w:val="22"/>
        </w:rPr>
        <w:t xml:space="preserve"> </w:t>
      </w:r>
    </w:p>
    <w:p w:rsidR="00CE08D3" w:rsidRPr="00CE08D3" w:rsidRDefault="00CE08D3" w:rsidP="00CE08D3">
      <w:pPr>
        <w:pStyle w:val="Default"/>
        <w:suppressAutoHyphens/>
        <w:ind w:left="1871"/>
        <w:jc w:val="both"/>
        <w:rPr>
          <w:i/>
          <w:sz w:val="22"/>
          <w:szCs w:val="22"/>
        </w:rPr>
      </w:pPr>
    </w:p>
    <w:p w:rsidR="00500220" w:rsidRPr="00CE08D3" w:rsidRDefault="00500220" w:rsidP="00500220">
      <w:pPr>
        <w:pStyle w:val="Default"/>
        <w:numPr>
          <w:ilvl w:val="1"/>
          <w:numId w:val="3"/>
        </w:numPr>
        <w:suppressAutoHyphens/>
        <w:jc w:val="both"/>
        <w:rPr>
          <w:sz w:val="22"/>
          <w:szCs w:val="22"/>
        </w:rPr>
      </w:pPr>
      <w:r w:rsidRPr="00CE08D3">
        <w:rPr>
          <w:sz w:val="22"/>
          <w:szCs w:val="22"/>
        </w:rPr>
        <w:t>REPTI</w:t>
      </w:r>
      <w:r w:rsidR="00CE08D3">
        <w:rPr>
          <w:sz w:val="22"/>
          <w:szCs w:val="22"/>
        </w:rPr>
        <w:t>LIA</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Caretta</w:t>
      </w:r>
      <w:proofErr w:type="spellEnd"/>
      <w:r w:rsidRPr="00CE08D3">
        <w:rPr>
          <w:i/>
          <w:sz w:val="22"/>
          <w:szCs w:val="22"/>
        </w:rPr>
        <w:t xml:space="preserve"> </w:t>
      </w:r>
      <w:proofErr w:type="spellStart"/>
      <w:r w:rsidRPr="00CE08D3">
        <w:rPr>
          <w:i/>
          <w:sz w:val="22"/>
          <w:szCs w:val="22"/>
        </w:rPr>
        <w:t>caretta</w:t>
      </w:r>
      <w:proofErr w:type="spellEnd"/>
      <w:r w:rsidRPr="00CE08D3">
        <w:rPr>
          <w:i/>
          <w:sz w:val="22"/>
          <w:szCs w:val="22"/>
        </w:rPr>
        <w:t xml:space="preserve"> </w:t>
      </w:r>
    </w:p>
    <w:p w:rsidR="00500220" w:rsidRPr="00CE08D3" w:rsidRDefault="00500220" w:rsidP="00500220">
      <w:pPr>
        <w:pStyle w:val="ListParagraph"/>
        <w:numPr>
          <w:ilvl w:val="2"/>
          <w:numId w:val="3"/>
        </w:numPr>
        <w:suppressAutoHyphens/>
        <w:autoSpaceDE w:val="0"/>
        <w:autoSpaceDN w:val="0"/>
        <w:adjustRightInd w:val="0"/>
        <w:jc w:val="both"/>
        <w:rPr>
          <w:rFonts w:ascii="Arial" w:hAnsi="Arial" w:cs="Arial"/>
          <w:color w:val="000000"/>
          <w:sz w:val="22"/>
          <w:szCs w:val="22"/>
        </w:rPr>
      </w:pPr>
      <w:r w:rsidRPr="00CE08D3">
        <w:rPr>
          <w:rFonts w:ascii="Arial" w:hAnsi="Arial" w:cs="Arial"/>
          <w:i/>
          <w:iCs/>
          <w:color w:val="000000"/>
          <w:sz w:val="22"/>
          <w:szCs w:val="22"/>
        </w:rPr>
        <w:t xml:space="preserve">Chelonia mydas </w:t>
      </w:r>
    </w:p>
    <w:p w:rsidR="00500220" w:rsidRPr="00CE08D3" w:rsidRDefault="00500220" w:rsidP="00500220">
      <w:pPr>
        <w:pStyle w:val="ListParagraph"/>
        <w:numPr>
          <w:ilvl w:val="2"/>
          <w:numId w:val="3"/>
        </w:numPr>
        <w:suppressAutoHyphens/>
        <w:autoSpaceDE w:val="0"/>
        <w:autoSpaceDN w:val="0"/>
        <w:adjustRightInd w:val="0"/>
        <w:jc w:val="both"/>
        <w:rPr>
          <w:rFonts w:ascii="Arial" w:hAnsi="Arial" w:cs="Arial"/>
          <w:color w:val="000000"/>
          <w:sz w:val="22"/>
          <w:szCs w:val="22"/>
        </w:rPr>
      </w:pPr>
      <w:r w:rsidRPr="00CE08D3">
        <w:rPr>
          <w:rFonts w:ascii="Arial" w:hAnsi="Arial" w:cs="Arial"/>
          <w:i/>
          <w:iCs/>
          <w:color w:val="000000"/>
          <w:sz w:val="22"/>
          <w:szCs w:val="22"/>
        </w:rPr>
        <w:t xml:space="preserve">Dermochelys </w:t>
      </w:r>
      <w:proofErr w:type="spellStart"/>
      <w:r w:rsidRPr="00CE08D3">
        <w:rPr>
          <w:rFonts w:ascii="Arial" w:hAnsi="Arial" w:cs="Arial"/>
          <w:i/>
          <w:iCs/>
          <w:color w:val="000000"/>
          <w:sz w:val="22"/>
          <w:szCs w:val="22"/>
        </w:rPr>
        <w:t>coriacea</w:t>
      </w:r>
      <w:proofErr w:type="spellEnd"/>
      <w:r w:rsidRPr="00CE08D3">
        <w:rPr>
          <w:rFonts w:ascii="Arial" w:hAnsi="Arial" w:cs="Arial"/>
          <w:i/>
          <w:iCs/>
          <w:color w:val="000000"/>
          <w:sz w:val="22"/>
          <w:szCs w:val="22"/>
        </w:rPr>
        <w:t xml:space="preserve"> </w:t>
      </w:r>
    </w:p>
    <w:p w:rsidR="00500220" w:rsidRPr="00CE08D3" w:rsidRDefault="00500220" w:rsidP="00500220">
      <w:pPr>
        <w:pStyle w:val="ListParagraph"/>
        <w:numPr>
          <w:ilvl w:val="2"/>
          <w:numId w:val="3"/>
        </w:numPr>
        <w:suppressAutoHyphens/>
        <w:autoSpaceDE w:val="0"/>
        <w:autoSpaceDN w:val="0"/>
        <w:adjustRightInd w:val="0"/>
        <w:jc w:val="both"/>
        <w:rPr>
          <w:rFonts w:ascii="Arial" w:hAnsi="Arial" w:cs="Arial"/>
          <w:i/>
          <w:iCs/>
          <w:color w:val="000000"/>
          <w:sz w:val="22"/>
          <w:szCs w:val="22"/>
        </w:rPr>
      </w:pPr>
      <w:r w:rsidRPr="00CE08D3">
        <w:rPr>
          <w:rFonts w:ascii="Arial" w:hAnsi="Arial" w:cs="Arial"/>
          <w:i/>
          <w:iCs/>
          <w:color w:val="000000"/>
          <w:sz w:val="22"/>
          <w:szCs w:val="22"/>
        </w:rPr>
        <w:t xml:space="preserve">Eretmochelys </w:t>
      </w:r>
      <w:proofErr w:type="spellStart"/>
      <w:r w:rsidRPr="00CE08D3">
        <w:rPr>
          <w:rFonts w:ascii="Arial" w:hAnsi="Arial" w:cs="Arial"/>
          <w:i/>
          <w:iCs/>
          <w:color w:val="000000"/>
          <w:sz w:val="22"/>
          <w:szCs w:val="22"/>
        </w:rPr>
        <w:t>imbricata</w:t>
      </w:r>
      <w:proofErr w:type="spellEnd"/>
      <w:r w:rsidRPr="00CE08D3">
        <w:rPr>
          <w:rFonts w:ascii="Arial" w:hAnsi="Arial" w:cs="Arial"/>
          <w:i/>
          <w:iCs/>
          <w:color w:val="000000"/>
          <w:sz w:val="22"/>
          <w:szCs w:val="22"/>
        </w:rPr>
        <w:t xml:space="preserve">  </w:t>
      </w:r>
    </w:p>
    <w:p w:rsidR="00500220" w:rsidRPr="00CE08D3" w:rsidRDefault="003C1425" w:rsidP="00500220">
      <w:pPr>
        <w:pStyle w:val="ListParagraph"/>
        <w:numPr>
          <w:ilvl w:val="2"/>
          <w:numId w:val="3"/>
        </w:numPr>
        <w:suppressAutoHyphens/>
        <w:autoSpaceDE w:val="0"/>
        <w:autoSpaceDN w:val="0"/>
        <w:adjustRightInd w:val="0"/>
        <w:jc w:val="both"/>
        <w:rPr>
          <w:rFonts w:ascii="Arial" w:hAnsi="Arial" w:cs="Arial"/>
          <w:i/>
          <w:sz w:val="22"/>
          <w:szCs w:val="22"/>
        </w:rPr>
      </w:pPr>
      <w:hyperlink r:id="rId10" w:history="1">
        <w:proofErr w:type="spellStart"/>
        <w:r w:rsidR="00500220" w:rsidRPr="00CE08D3">
          <w:rPr>
            <w:rStyle w:val="Hyperlink"/>
            <w:rFonts w:ascii="Arial" w:hAnsi="Arial" w:cs="Arial"/>
            <w:i/>
            <w:sz w:val="22"/>
            <w:szCs w:val="22"/>
          </w:rPr>
          <w:t>Gavialis</w:t>
        </w:r>
        <w:proofErr w:type="spellEnd"/>
        <w:r w:rsidR="00500220" w:rsidRPr="00CE08D3">
          <w:rPr>
            <w:rStyle w:val="Hyperlink"/>
            <w:rFonts w:ascii="Arial" w:hAnsi="Arial" w:cs="Arial"/>
            <w:i/>
            <w:sz w:val="22"/>
            <w:szCs w:val="22"/>
          </w:rPr>
          <w:t xml:space="preserve"> </w:t>
        </w:r>
        <w:proofErr w:type="spellStart"/>
        <w:r w:rsidR="00500220" w:rsidRPr="00CE08D3">
          <w:rPr>
            <w:rStyle w:val="Hyperlink"/>
            <w:rFonts w:ascii="Arial" w:hAnsi="Arial" w:cs="Arial"/>
            <w:i/>
            <w:sz w:val="22"/>
            <w:szCs w:val="22"/>
          </w:rPr>
          <w:t>gangeticus</w:t>
        </w:r>
        <w:proofErr w:type="spellEnd"/>
      </w:hyperlink>
    </w:p>
    <w:p w:rsidR="00500220" w:rsidRPr="00CE08D3" w:rsidRDefault="00500220" w:rsidP="00500220">
      <w:pPr>
        <w:pStyle w:val="ListParagraph"/>
        <w:numPr>
          <w:ilvl w:val="2"/>
          <w:numId w:val="3"/>
        </w:numPr>
        <w:suppressAutoHyphens/>
        <w:autoSpaceDE w:val="0"/>
        <w:autoSpaceDN w:val="0"/>
        <w:adjustRightInd w:val="0"/>
        <w:jc w:val="both"/>
        <w:rPr>
          <w:rFonts w:ascii="Arial" w:hAnsi="Arial" w:cs="Arial"/>
          <w:i/>
          <w:sz w:val="22"/>
          <w:szCs w:val="22"/>
        </w:rPr>
      </w:pPr>
      <w:proofErr w:type="spellStart"/>
      <w:r w:rsidRPr="00CE08D3">
        <w:rPr>
          <w:rFonts w:ascii="Arial" w:hAnsi="Arial" w:cs="Arial"/>
          <w:i/>
          <w:iCs/>
          <w:sz w:val="22"/>
          <w:szCs w:val="22"/>
        </w:rPr>
        <w:t>Lepidochelys</w:t>
      </w:r>
      <w:proofErr w:type="spellEnd"/>
      <w:r w:rsidRPr="00CE08D3">
        <w:rPr>
          <w:rFonts w:ascii="Arial" w:hAnsi="Arial" w:cs="Arial"/>
          <w:i/>
          <w:iCs/>
          <w:sz w:val="22"/>
          <w:szCs w:val="22"/>
        </w:rPr>
        <w:t xml:space="preserve"> kempii </w:t>
      </w:r>
    </w:p>
    <w:p w:rsidR="00500220" w:rsidRPr="00CE08D3" w:rsidRDefault="00500220" w:rsidP="00500220">
      <w:pPr>
        <w:pStyle w:val="Default"/>
        <w:numPr>
          <w:ilvl w:val="2"/>
          <w:numId w:val="3"/>
        </w:numPr>
        <w:suppressAutoHyphens/>
        <w:jc w:val="both"/>
        <w:rPr>
          <w:i/>
          <w:iCs/>
          <w:color w:val="auto"/>
          <w:sz w:val="22"/>
          <w:szCs w:val="22"/>
        </w:rPr>
      </w:pPr>
      <w:proofErr w:type="spellStart"/>
      <w:r w:rsidRPr="00CE08D3">
        <w:rPr>
          <w:i/>
          <w:iCs/>
          <w:color w:val="auto"/>
          <w:sz w:val="22"/>
          <w:szCs w:val="22"/>
        </w:rPr>
        <w:t>Lepidochelys</w:t>
      </w:r>
      <w:proofErr w:type="spellEnd"/>
      <w:r w:rsidRPr="00CE08D3">
        <w:rPr>
          <w:i/>
          <w:iCs/>
          <w:color w:val="auto"/>
          <w:sz w:val="22"/>
          <w:szCs w:val="22"/>
        </w:rPr>
        <w:t xml:space="preserve"> </w:t>
      </w:r>
      <w:proofErr w:type="spellStart"/>
      <w:r w:rsidRPr="00CE08D3">
        <w:rPr>
          <w:i/>
          <w:iCs/>
          <w:color w:val="auto"/>
          <w:sz w:val="22"/>
          <w:szCs w:val="22"/>
        </w:rPr>
        <w:t>olivacea</w:t>
      </w:r>
      <w:proofErr w:type="spellEnd"/>
    </w:p>
    <w:p w:rsidR="00500220" w:rsidRPr="00CE08D3" w:rsidRDefault="003C1425" w:rsidP="00500220">
      <w:pPr>
        <w:pStyle w:val="Default"/>
        <w:numPr>
          <w:ilvl w:val="2"/>
          <w:numId w:val="3"/>
        </w:numPr>
        <w:suppressAutoHyphens/>
        <w:jc w:val="both"/>
        <w:rPr>
          <w:rStyle w:val="Hyperlink"/>
          <w:i/>
          <w:color w:val="auto"/>
          <w:sz w:val="22"/>
          <w:szCs w:val="22"/>
          <w:u w:val="none"/>
        </w:rPr>
      </w:pPr>
      <w:hyperlink r:id="rId11" w:history="1">
        <w:proofErr w:type="spellStart"/>
        <w:r w:rsidR="00500220" w:rsidRPr="00CE08D3">
          <w:rPr>
            <w:rStyle w:val="Hyperlink"/>
            <w:i/>
            <w:color w:val="auto"/>
            <w:sz w:val="22"/>
            <w:szCs w:val="22"/>
          </w:rPr>
          <w:t>Podocnemis</w:t>
        </w:r>
        <w:proofErr w:type="spellEnd"/>
        <w:r w:rsidR="00500220" w:rsidRPr="00CE08D3">
          <w:rPr>
            <w:rStyle w:val="Hyperlink"/>
            <w:i/>
            <w:color w:val="auto"/>
            <w:sz w:val="22"/>
            <w:szCs w:val="22"/>
          </w:rPr>
          <w:t xml:space="preserve"> expansa</w:t>
        </w:r>
      </w:hyperlink>
    </w:p>
    <w:p w:rsidR="00CE08D3" w:rsidRPr="00CE08D3" w:rsidRDefault="00CE08D3" w:rsidP="00CE08D3">
      <w:pPr>
        <w:pStyle w:val="Default"/>
        <w:suppressAutoHyphens/>
        <w:ind w:left="1871"/>
        <w:jc w:val="both"/>
        <w:rPr>
          <w:i/>
          <w:color w:val="auto"/>
          <w:sz w:val="22"/>
          <w:szCs w:val="22"/>
        </w:rPr>
      </w:pPr>
    </w:p>
    <w:p w:rsidR="00500220" w:rsidRPr="00CE08D3" w:rsidRDefault="00500220" w:rsidP="00500220">
      <w:pPr>
        <w:pStyle w:val="Default"/>
        <w:numPr>
          <w:ilvl w:val="1"/>
          <w:numId w:val="3"/>
        </w:numPr>
        <w:suppressAutoHyphens/>
        <w:jc w:val="both"/>
        <w:rPr>
          <w:sz w:val="22"/>
          <w:szCs w:val="22"/>
        </w:rPr>
      </w:pPr>
      <w:r w:rsidRPr="00CE08D3">
        <w:rPr>
          <w:sz w:val="22"/>
          <w:szCs w:val="22"/>
        </w:rPr>
        <w:t>ELASMOBRANCH</w:t>
      </w:r>
      <w:r w:rsidR="00CE08D3">
        <w:rPr>
          <w:sz w:val="22"/>
          <w:szCs w:val="22"/>
        </w:rPr>
        <w:t>II</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Pristis</w:t>
      </w:r>
      <w:proofErr w:type="spellEnd"/>
      <w:r w:rsidRPr="00CE08D3">
        <w:rPr>
          <w:i/>
          <w:sz w:val="22"/>
          <w:szCs w:val="22"/>
        </w:rPr>
        <w:t xml:space="preserve"> </w:t>
      </w:r>
      <w:proofErr w:type="spellStart"/>
      <w:r w:rsidRPr="00CE08D3">
        <w:rPr>
          <w:i/>
          <w:sz w:val="22"/>
          <w:szCs w:val="22"/>
        </w:rPr>
        <w:t>clavata</w:t>
      </w:r>
      <w:proofErr w:type="spellEnd"/>
      <w:r w:rsidRPr="00CE08D3">
        <w:rPr>
          <w:i/>
          <w:sz w:val="22"/>
          <w:szCs w:val="22"/>
        </w:rPr>
        <w:t xml:space="preserve"> </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Pristis</w:t>
      </w:r>
      <w:proofErr w:type="spellEnd"/>
      <w:r w:rsidRPr="00CE08D3">
        <w:rPr>
          <w:i/>
          <w:sz w:val="22"/>
          <w:szCs w:val="22"/>
        </w:rPr>
        <w:t xml:space="preserve"> </w:t>
      </w:r>
      <w:proofErr w:type="spellStart"/>
      <w:r w:rsidRPr="00CE08D3">
        <w:rPr>
          <w:i/>
          <w:sz w:val="22"/>
          <w:szCs w:val="22"/>
        </w:rPr>
        <w:t>pectinata</w:t>
      </w:r>
      <w:proofErr w:type="spellEnd"/>
      <w:r w:rsidRPr="00CE08D3">
        <w:rPr>
          <w:i/>
          <w:sz w:val="22"/>
          <w:szCs w:val="22"/>
        </w:rPr>
        <w:t xml:space="preserve"> </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Pristis</w:t>
      </w:r>
      <w:proofErr w:type="spellEnd"/>
      <w:r w:rsidRPr="00CE08D3">
        <w:rPr>
          <w:i/>
          <w:sz w:val="22"/>
          <w:szCs w:val="22"/>
        </w:rPr>
        <w:t xml:space="preserve"> </w:t>
      </w:r>
      <w:proofErr w:type="spellStart"/>
      <w:r w:rsidRPr="00CE08D3">
        <w:rPr>
          <w:i/>
          <w:sz w:val="22"/>
          <w:szCs w:val="22"/>
        </w:rPr>
        <w:t>zijsron</w:t>
      </w:r>
      <w:proofErr w:type="spellEnd"/>
      <w:r w:rsidRPr="00CE08D3">
        <w:rPr>
          <w:i/>
          <w:sz w:val="22"/>
          <w:szCs w:val="22"/>
        </w:rPr>
        <w:t xml:space="preserve">  </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Pristis</w:t>
      </w:r>
      <w:proofErr w:type="spellEnd"/>
      <w:r w:rsidRPr="00CE08D3">
        <w:rPr>
          <w:i/>
          <w:sz w:val="22"/>
          <w:szCs w:val="22"/>
        </w:rPr>
        <w:t xml:space="preserve"> </w:t>
      </w:r>
      <w:proofErr w:type="spellStart"/>
      <w:r w:rsidRPr="00CE08D3">
        <w:rPr>
          <w:i/>
          <w:sz w:val="22"/>
          <w:szCs w:val="22"/>
        </w:rPr>
        <w:t>pristis</w:t>
      </w:r>
      <w:proofErr w:type="spellEnd"/>
    </w:p>
    <w:p w:rsidR="00CE08D3" w:rsidRDefault="00CE08D3" w:rsidP="00500220">
      <w:pPr>
        <w:pStyle w:val="Default"/>
        <w:suppressAutoHyphens/>
        <w:ind w:left="708" w:hanging="282"/>
        <w:jc w:val="both"/>
        <w:rPr>
          <w:b/>
          <w:sz w:val="22"/>
          <w:szCs w:val="22"/>
        </w:rPr>
      </w:pPr>
      <w:r>
        <w:rPr>
          <w:b/>
          <w:sz w:val="22"/>
          <w:szCs w:val="22"/>
        </w:rPr>
        <w:br w:type="page"/>
      </w:r>
    </w:p>
    <w:p w:rsidR="00CE08D3" w:rsidRDefault="00CE08D3" w:rsidP="00500220">
      <w:pPr>
        <w:pStyle w:val="Default"/>
        <w:suppressAutoHyphens/>
        <w:ind w:left="708" w:hanging="282"/>
        <w:jc w:val="both"/>
        <w:rPr>
          <w:b/>
          <w:sz w:val="22"/>
          <w:szCs w:val="22"/>
        </w:rPr>
      </w:pPr>
    </w:p>
    <w:p w:rsidR="00500220" w:rsidRDefault="00500220" w:rsidP="00500220">
      <w:pPr>
        <w:pStyle w:val="Default"/>
        <w:suppressAutoHyphens/>
        <w:ind w:left="708" w:hanging="282"/>
        <w:jc w:val="both"/>
        <w:rPr>
          <w:b/>
          <w:sz w:val="22"/>
          <w:szCs w:val="22"/>
        </w:rPr>
      </w:pPr>
      <w:r w:rsidRPr="00CE08D3">
        <w:rPr>
          <w:b/>
          <w:sz w:val="22"/>
          <w:szCs w:val="22"/>
        </w:rPr>
        <w:t>A</w:t>
      </w:r>
      <w:r w:rsidR="00CE08D3">
        <w:rPr>
          <w:b/>
          <w:sz w:val="22"/>
          <w:szCs w:val="22"/>
        </w:rPr>
        <w:t>nnexe</w:t>
      </w:r>
      <w:r w:rsidRPr="00CE08D3">
        <w:rPr>
          <w:b/>
          <w:sz w:val="22"/>
          <w:szCs w:val="22"/>
        </w:rPr>
        <w:t xml:space="preserve"> II</w:t>
      </w:r>
    </w:p>
    <w:p w:rsidR="00CE08D3" w:rsidRPr="00CE08D3" w:rsidRDefault="00CE08D3" w:rsidP="00500220">
      <w:pPr>
        <w:pStyle w:val="Default"/>
        <w:suppressAutoHyphens/>
        <w:ind w:left="708" w:hanging="282"/>
        <w:jc w:val="both"/>
        <w:rPr>
          <w:b/>
          <w:sz w:val="22"/>
          <w:szCs w:val="22"/>
        </w:rPr>
      </w:pPr>
    </w:p>
    <w:p w:rsidR="00500220" w:rsidRPr="00CE08D3" w:rsidRDefault="00500220" w:rsidP="00500220">
      <w:pPr>
        <w:pStyle w:val="Default"/>
        <w:numPr>
          <w:ilvl w:val="1"/>
          <w:numId w:val="3"/>
        </w:numPr>
        <w:suppressAutoHyphens/>
        <w:jc w:val="both"/>
        <w:rPr>
          <w:sz w:val="22"/>
          <w:szCs w:val="22"/>
        </w:rPr>
      </w:pPr>
      <w:r w:rsidRPr="00CE08D3">
        <w:rPr>
          <w:sz w:val="22"/>
          <w:szCs w:val="22"/>
        </w:rPr>
        <w:t xml:space="preserve">SIRENIA </w:t>
      </w:r>
      <w:r w:rsidR="00CE08D3">
        <w:rPr>
          <w:sz w:val="22"/>
          <w:szCs w:val="22"/>
        </w:rPr>
        <w:t>ET</w:t>
      </w:r>
      <w:r w:rsidRPr="00CE08D3">
        <w:rPr>
          <w:sz w:val="22"/>
          <w:szCs w:val="22"/>
        </w:rPr>
        <w:t xml:space="preserve"> CETACEA</w:t>
      </w:r>
      <w:r w:rsidR="00CE08D3">
        <w:rPr>
          <w:sz w:val="22"/>
          <w:szCs w:val="22"/>
        </w:rPr>
        <w:t> :</w:t>
      </w:r>
    </w:p>
    <w:p w:rsidR="00500220" w:rsidRPr="00CE08D3" w:rsidRDefault="00500220" w:rsidP="00500220">
      <w:pPr>
        <w:pStyle w:val="Default"/>
        <w:numPr>
          <w:ilvl w:val="2"/>
          <w:numId w:val="3"/>
        </w:numPr>
        <w:suppressAutoHyphens/>
        <w:jc w:val="both"/>
        <w:rPr>
          <w:i/>
          <w:sz w:val="22"/>
          <w:szCs w:val="22"/>
        </w:rPr>
      </w:pPr>
      <w:r w:rsidRPr="00CE08D3">
        <w:rPr>
          <w:i/>
          <w:sz w:val="22"/>
          <w:szCs w:val="22"/>
        </w:rPr>
        <w:t>Dugong dugon</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Lagenorhynchus</w:t>
      </w:r>
      <w:proofErr w:type="spellEnd"/>
      <w:r w:rsidRPr="00CE08D3">
        <w:rPr>
          <w:i/>
          <w:sz w:val="22"/>
          <w:szCs w:val="22"/>
        </w:rPr>
        <w:t xml:space="preserve"> </w:t>
      </w:r>
      <w:proofErr w:type="spellStart"/>
      <w:r w:rsidRPr="00CE08D3">
        <w:rPr>
          <w:i/>
          <w:sz w:val="22"/>
          <w:szCs w:val="22"/>
        </w:rPr>
        <w:t>obscurus</w:t>
      </w:r>
      <w:proofErr w:type="spellEnd"/>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Lagenorhynchus</w:t>
      </w:r>
      <w:proofErr w:type="spellEnd"/>
      <w:r w:rsidRPr="00CE08D3">
        <w:rPr>
          <w:i/>
          <w:sz w:val="22"/>
          <w:szCs w:val="22"/>
        </w:rPr>
        <w:t xml:space="preserve"> australis </w:t>
      </w:r>
    </w:p>
    <w:p w:rsidR="00500220" w:rsidRPr="00CE08D3" w:rsidRDefault="00500220" w:rsidP="00500220">
      <w:pPr>
        <w:pStyle w:val="Default"/>
        <w:numPr>
          <w:ilvl w:val="2"/>
          <w:numId w:val="3"/>
        </w:numPr>
        <w:suppressAutoHyphens/>
        <w:jc w:val="both"/>
        <w:rPr>
          <w:sz w:val="22"/>
          <w:szCs w:val="22"/>
        </w:rPr>
      </w:pPr>
      <w:proofErr w:type="spellStart"/>
      <w:r w:rsidRPr="00CE08D3">
        <w:rPr>
          <w:i/>
          <w:sz w:val="22"/>
          <w:szCs w:val="22"/>
        </w:rPr>
        <w:t>Stenella</w:t>
      </w:r>
      <w:proofErr w:type="spellEnd"/>
      <w:r w:rsidRPr="00CE08D3">
        <w:rPr>
          <w:i/>
          <w:sz w:val="22"/>
          <w:szCs w:val="22"/>
        </w:rPr>
        <w:t xml:space="preserve"> </w:t>
      </w:r>
      <w:proofErr w:type="spellStart"/>
      <w:r w:rsidRPr="00CE08D3">
        <w:rPr>
          <w:i/>
          <w:sz w:val="22"/>
          <w:szCs w:val="22"/>
        </w:rPr>
        <w:t>attenuata</w:t>
      </w:r>
      <w:proofErr w:type="spellEnd"/>
      <w:r w:rsidRPr="00CE08D3">
        <w:rPr>
          <w:sz w:val="22"/>
          <w:szCs w:val="22"/>
        </w:rPr>
        <w:t xml:space="preserve"> (</w:t>
      </w:r>
      <w:proofErr w:type="spellStart"/>
      <w:r w:rsidRPr="00CE08D3">
        <w:rPr>
          <w:sz w:val="22"/>
          <w:szCs w:val="22"/>
        </w:rPr>
        <w:t>eastern</w:t>
      </w:r>
      <w:proofErr w:type="spellEnd"/>
      <w:r w:rsidRPr="00CE08D3">
        <w:rPr>
          <w:sz w:val="22"/>
          <w:szCs w:val="22"/>
        </w:rPr>
        <w:t xml:space="preserve"> tropical Pacific population, </w:t>
      </w:r>
      <w:proofErr w:type="spellStart"/>
      <w:r w:rsidRPr="00CE08D3">
        <w:rPr>
          <w:sz w:val="22"/>
          <w:szCs w:val="22"/>
        </w:rPr>
        <w:t>Southeast</w:t>
      </w:r>
      <w:proofErr w:type="spellEnd"/>
      <w:r w:rsidRPr="00CE08D3">
        <w:rPr>
          <w:sz w:val="22"/>
          <w:szCs w:val="22"/>
        </w:rPr>
        <w:t xml:space="preserve"> Asian populations)</w:t>
      </w:r>
    </w:p>
    <w:p w:rsidR="00500220" w:rsidRPr="00CE08D3" w:rsidRDefault="00500220" w:rsidP="00500220">
      <w:pPr>
        <w:pStyle w:val="Default"/>
        <w:numPr>
          <w:ilvl w:val="2"/>
          <w:numId w:val="3"/>
        </w:numPr>
        <w:suppressAutoHyphens/>
        <w:jc w:val="both"/>
        <w:rPr>
          <w:sz w:val="22"/>
          <w:szCs w:val="22"/>
        </w:rPr>
      </w:pPr>
      <w:proofErr w:type="spellStart"/>
      <w:r w:rsidRPr="00CE08D3">
        <w:rPr>
          <w:i/>
          <w:sz w:val="22"/>
          <w:szCs w:val="22"/>
        </w:rPr>
        <w:t>Stenella</w:t>
      </w:r>
      <w:proofErr w:type="spellEnd"/>
      <w:r w:rsidRPr="00CE08D3">
        <w:rPr>
          <w:i/>
          <w:sz w:val="22"/>
          <w:szCs w:val="22"/>
        </w:rPr>
        <w:t xml:space="preserve"> </w:t>
      </w:r>
      <w:proofErr w:type="spellStart"/>
      <w:r w:rsidRPr="00CE08D3">
        <w:rPr>
          <w:i/>
          <w:sz w:val="22"/>
          <w:szCs w:val="22"/>
        </w:rPr>
        <w:t>longirostris</w:t>
      </w:r>
      <w:proofErr w:type="spellEnd"/>
      <w:r w:rsidRPr="00CE08D3">
        <w:rPr>
          <w:sz w:val="22"/>
          <w:szCs w:val="22"/>
        </w:rPr>
        <w:t xml:space="preserve"> (</w:t>
      </w:r>
      <w:proofErr w:type="spellStart"/>
      <w:r w:rsidRPr="00CE08D3">
        <w:rPr>
          <w:sz w:val="22"/>
          <w:szCs w:val="22"/>
        </w:rPr>
        <w:t>eastern</w:t>
      </w:r>
      <w:proofErr w:type="spellEnd"/>
      <w:r w:rsidRPr="00CE08D3">
        <w:rPr>
          <w:sz w:val="22"/>
          <w:szCs w:val="22"/>
        </w:rPr>
        <w:t xml:space="preserve"> tropical Pacific populations, </w:t>
      </w:r>
      <w:proofErr w:type="spellStart"/>
      <w:r w:rsidRPr="00CE08D3">
        <w:rPr>
          <w:sz w:val="22"/>
          <w:szCs w:val="22"/>
        </w:rPr>
        <w:t>Southeast</w:t>
      </w:r>
      <w:proofErr w:type="spellEnd"/>
      <w:r w:rsidRPr="00CE08D3">
        <w:rPr>
          <w:sz w:val="22"/>
          <w:szCs w:val="22"/>
        </w:rPr>
        <w:t xml:space="preserve"> Asian populations)</w:t>
      </w:r>
    </w:p>
    <w:p w:rsidR="00500220" w:rsidRPr="00CE08D3" w:rsidRDefault="00500220" w:rsidP="00500220">
      <w:pPr>
        <w:pStyle w:val="Default"/>
        <w:numPr>
          <w:ilvl w:val="1"/>
          <w:numId w:val="3"/>
        </w:numPr>
        <w:suppressAutoHyphens/>
        <w:jc w:val="both"/>
        <w:rPr>
          <w:sz w:val="22"/>
          <w:szCs w:val="22"/>
        </w:rPr>
      </w:pPr>
      <w:r w:rsidRPr="00CE08D3">
        <w:rPr>
          <w:sz w:val="22"/>
          <w:szCs w:val="22"/>
        </w:rPr>
        <w:t>AVES</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Phoebastria</w:t>
      </w:r>
      <w:proofErr w:type="spellEnd"/>
      <w:r w:rsidRPr="00CE08D3">
        <w:rPr>
          <w:i/>
          <w:sz w:val="22"/>
          <w:szCs w:val="22"/>
        </w:rPr>
        <w:t xml:space="preserve"> </w:t>
      </w:r>
      <w:proofErr w:type="spellStart"/>
      <w:r w:rsidRPr="00CE08D3">
        <w:rPr>
          <w:i/>
          <w:sz w:val="22"/>
          <w:szCs w:val="22"/>
        </w:rPr>
        <w:t>irrorata</w:t>
      </w:r>
      <w:proofErr w:type="spellEnd"/>
    </w:p>
    <w:p w:rsidR="00500220" w:rsidRPr="00CE08D3" w:rsidRDefault="00500220" w:rsidP="00500220">
      <w:pPr>
        <w:pStyle w:val="Default"/>
        <w:numPr>
          <w:ilvl w:val="2"/>
          <w:numId w:val="3"/>
        </w:numPr>
        <w:suppressAutoHyphens/>
        <w:jc w:val="both"/>
        <w:rPr>
          <w:i/>
          <w:iCs/>
          <w:color w:val="auto"/>
          <w:sz w:val="22"/>
          <w:szCs w:val="22"/>
          <w:shd w:val="clear" w:color="auto" w:fill="FFFFFF"/>
        </w:rPr>
      </w:pPr>
      <w:proofErr w:type="spellStart"/>
      <w:r w:rsidRPr="00CE08D3">
        <w:rPr>
          <w:i/>
          <w:iCs/>
          <w:color w:val="auto"/>
          <w:sz w:val="22"/>
          <w:szCs w:val="22"/>
          <w:shd w:val="clear" w:color="auto" w:fill="FFFFFF"/>
        </w:rPr>
        <w:t>Thalassarche</w:t>
      </w:r>
      <w:proofErr w:type="spellEnd"/>
      <w:r w:rsidRPr="00CE08D3">
        <w:rPr>
          <w:i/>
          <w:iCs/>
          <w:color w:val="auto"/>
          <w:sz w:val="22"/>
          <w:szCs w:val="22"/>
          <w:shd w:val="clear" w:color="auto" w:fill="FFFFFF"/>
        </w:rPr>
        <w:t xml:space="preserve"> </w:t>
      </w:r>
      <w:proofErr w:type="spellStart"/>
      <w:r w:rsidRPr="00CE08D3">
        <w:rPr>
          <w:i/>
          <w:iCs/>
          <w:color w:val="auto"/>
          <w:sz w:val="22"/>
          <w:szCs w:val="22"/>
          <w:shd w:val="clear" w:color="auto" w:fill="FFFFFF"/>
        </w:rPr>
        <w:t>melanophris</w:t>
      </w:r>
      <w:proofErr w:type="spellEnd"/>
    </w:p>
    <w:p w:rsidR="00500220" w:rsidRPr="00CE08D3" w:rsidRDefault="00500220" w:rsidP="00500220">
      <w:pPr>
        <w:pStyle w:val="Default"/>
        <w:numPr>
          <w:ilvl w:val="2"/>
          <w:numId w:val="3"/>
        </w:numPr>
        <w:suppressAutoHyphens/>
        <w:jc w:val="both"/>
        <w:rPr>
          <w:i/>
          <w:color w:val="auto"/>
          <w:sz w:val="22"/>
          <w:szCs w:val="22"/>
          <w:lang w:val="en-GB"/>
        </w:rPr>
      </w:pPr>
      <w:proofErr w:type="spellStart"/>
      <w:r w:rsidRPr="00CE08D3">
        <w:rPr>
          <w:i/>
          <w:color w:val="auto"/>
          <w:sz w:val="22"/>
          <w:szCs w:val="22"/>
          <w:shd w:val="clear" w:color="auto" w:fill="FFFFFF"/>
          <w:lang w:val="en-GB"/>
        </w:rPr>
        <w:t>Diomedea</w:t>
      </w:r>
      <w:proofErr w:type="spellEnd"/>
      <w:r w:rsidRPr="00CE08D3">
        <w:rPr>
          <w:i/>
          <w:color w:val="auto"/>
          <w:sz w:val="22"/>
          <w:szCs w:val="22"/>
          <w:shd w:val="clear" w:color="auto" w:fill="FFFFFF"/>
          <w:lang w:val="en-GB"/>
        </w:rPr>
        <w:t xml:space="preserve"> </w:t>
      </w:r>
      <w:proofErr w:type="spellStart"/>
      <w:r w:rsidRPr="00CE08D3">
        <w:rPr>
          <w:i/>
          <w:color w:val="auto"/>
          <w:sz w:val="22"/>
          <w:szCs w:val="22"/>
          <w:shd w:val="clear" w:color="auto" w:fill="FFFFFF"/>
          <w:lang w:val="en-GB"/>
        </w:rPr>
        <w:t>sanfordi</w:t>
      </w:r>
      <w:proofErr w:type="spellEnd"/>
      <w:r w:rsidRPr="00CE08D3">
        <w:rPr>
          <w:i/>
          <w:color w:val="auto"/>
          <w:sz w:val="22"/>
          <w:szCs w:val="22"/>
          <w:lang w:val="en-GB"/>
        </w:rPr>
        <w:t xml:space="preserve"> (harvested from colonies in the Chatham Islands)</w:t>
      </w:r>
    </w:p>
    <w:p w:rsidR="00500220" w:rsidRDefault="00500220" w:rsidP="00500220">
      <w:pPr>
        <w:pStyle w:val="Default"/>
        <w:numPr>
          <w:ilvl w:val="2"/>
          <w:numId w:val="3"/>
        </w:numPr>
        <w:suppressAutoHyphens/>
        <w:jc w:val="both"/>
        <w:rPr>
          <w:i/>
          <w:sz w:val="22"/>
          <w:szCs w:val="22"/>
          <w:lang w:val="en-GB"/>
        </w:rPr>
      </w:pPr>
      <w:proofErr w:type="spellStart"/>
      <w:r w:rsidRPr="00CE08D3">
        <w:rPr>
          <w:i/>
          <w:color w:val="auto"/>
          <w:sz w:val="22"/>
          <w:szCs w:val="22"/>
          <w:shd w:val="clear" w:color="auto" w:fill="FFFFFF"/>
          <w:lang w:val="en-GB"/>
        </w:rPr>
        <w:t>Thalassarche</w:t>
      </w:r>
      <w:proofErr w:type="spellEnd"/>
      <w:r w:rsidRPr="00CE08D3">
        <w:rPr>
          <w:i/>
          <w:color w:val="auto"/>
          <w:sz w:val="22"/>
          <w:szCs w:val="22"/>
          <w:shd w:val="clear" w:color="auto" w:fill="FFFFFF"/>
          <w:lang w:val="en-GB"/>
        </w:rPr>
        <w:t xml:space="preserve"> </w:t>
      </w:r>
      <w:proofErr w:type="spellStart"/>
      <w:r w:rsidRPr="00CE08D3">
        <w:rPr>
          <w:i/>
          <w:color w:val="auto"/>
          <w:sz w:val="22"/>
          <w:szCs w:val="22"/>
          <w:shd w:val="clear" w:color="auto" w:fill="FFFFFF"/>
          <w:lang w:val="en-GB"/>
        </w:rPr>
        <w:t>bulleri</w:t>
      </w:r>
      <w:proofErr w:type="spellEnd"/>
      <w:r w:rsidRPr="00CE08D3">
        <w:rPr>
          <w:i/>
          <w:color w:val="auto"/>
          <w:sz w:val="22"/>
          <w:szCs w:val="22"/>
          <w:lang w:val="en-GB"/>
        </w:rPr>
        <w:t xml:space="preserve"> </w:t>
      </w:r>
      <w:r w:rsidRPr="00CE08D3">
        <w:rPr>
          <w:i/>
          <w:sz w:val="22"/>
          <w:szCs w:val="22"/>
          <w:lang w:val="en-GB"/>
        </w:rPr>
        <w:t>(harvested from colonies in the Chatham Islands)</w:t>
      </w:r>
    </w:p>
    <w:p w:rsidR="00CE08D3" w:rsidRPr="00CE08D3" w:rsidRDefault="00CE08D3" w:rsidP="00CE08D3">
      <w:pPr>
        <w:pStyle w:val="Default"/>
        <w:suppressAutoHyphens/>
        <w:ind w:left="1871"/>
        <w:jc w:val="both"/>
        <w:rPr>
          <w:i/>
          <w:sz w:val="22"/>
          <w:szCs w:val="22"/>
          <w:lang w:val="en-GB"/>
        </w:rPr>
      </w:pPr>
    </w:p>
    <w:p w:rsidR="00500220" w:rsidRPr="00CE08D3" w:rsidRDefault="00500220" w:rsidP="00500220">
      <w:pPr>
        <w:pStyle w:val="Default"/>
        <w:numPr>
          <w:ilvl w:val="1"/>
          <w:numId w:val="3"/>
        </w:numPr>
        <w:suppressAutoHyphens/>
        <w:jc w:val="both"/>
        <w:rPr>
          <w:sz w:val="22"/>
          <w:szCs w:val="22"/>
        </w:rPr>
      </w:pPr>
      <w:r w:rsidRPr="00CE08D3">
        <w:rPr>
          <w:sz w:val="22"/>
          <w:szCs w:val="22"/>
        </w:rPr>
        <w:t>ELASMOBRANCH</w:t>
      </w:r>
      <w:r w:rsidR="00CE08D3">
        <w:rPr>
          <w:sz w:val="22"/>
          <w:szCs w:val="22"/>
        </w:rPr>
        <w:t>II</w:t>
      </w:r>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Carcharhinus</w:t>
      </w:r>
      <w:proofErr w:type="spellEnd"/>
      <w:r w:rsidRPr="00CE08D3">
        <w:rPr>
          <w:i/>
          <w:sz w:val="22"/>
          <w:szCs w:val="22"/>
        </w:rPr>
        <w:t xml:space="preserve"> </w:t>
      </w:r>
      <w:proofErr w:type="spellStart"/>
      <w:r w:rsidRPr="00CE08D3">
        <w:rPr>
          <w:i/>
          <w:sz w:val="22"/>
          <w:szCs w:val="22"/>
        </w:rPr>
        <w:t>falciformis</w:t>
      </w:r>
      <w:proofErr w:type="spellEnd"/>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Sphyrna</w:t>
      </w:r>
      <w:proofErr w:type="spellEnd"/>
      <w:r w:rsidRPr="00CE08D3">
        <w:rPr>
          <w:i/>
          <w:sz w:val="22"/>
          <w:szCs w:val="22"/>
        </w:rPr>
        <w:t xml:space="preserve"> </w:t>
      </w:r>
      <w:proofErr w:type="spellStart"/>
      <w:r w:rsidRPr="00CE08D3">
        <w:rPr>
          <w:i/>
          <w:sz w:val="22"/>
          <w:szCs w:val="22"/>
        </w:rPr>
        <w:t>lewini</w:t>
      </w:r>
      <w:proofErr w:type="spellEnd"/>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Sphyrna</w:t>
      </w:r>
      <w:proofErr w:type="spellEnd"/>
      <w:r w:rsidRPr="00CE08D3">
        <w:rPr>
          <w:i/>
          <w:sz w:val="22"/>
          <w:szCs w:val="22"/>
        </w:rPr>
        <w:t xml:space="preserve"> </w:t>
      </w:r>
      <w:proofErr w:type="spellStart"/>
      <w:r w:rsidRPr="00CE08D3">
        <w:rPr>
          <w:i/>
          <w:sz w:val="22"/>
          <w:szCs w:val="22"/>
        </w:rPr>
        <w:t>mokarran</w:t>
      </w:r>
      <w:proofErr w:type="spellEnd"/>
    </w:p>
    <w:p w:rsidR="00500220" w:rsidRPr="00CE08D3" w:rsidRDefault="00500220" w:rsidP="00500220">
      <w:pPr>
        <w:pStyle w:val="Default"/>
        <w:numPr>
          <w:ilvl w:val="2"/>
          <w:numId w:val="3"/>
        </w:numPr>
        <w:suppressAutoHyphens/>
        <w:jc w:val="both"/>
        <w:rPr>
          <w:i/>
          <w:sz w:val="22"/>
          <w:szCs w:val="22"/>
        </w:rPr>
      </w:pPr>
      <w:proofErr w:type="spellStart"/>
      <w:r w:rsidRPr="00CE08D3">
        <w:rPr>
          <w:i/>
          <w:sz w:val="22"/>
          <w:szCs w:val="22"/>
        </w:rPr>
        <w:t>Rhynchobatus</w:t>
      </w:r>
      <w:proofErr w:type="spellEnd"/>
      <w:r w:rsidRPr="00CE08D3">
        <w:rPr>
          <w:i/>
          <w:sz w:val="22"/>
          <w:szCs w:val="22"/>
        </w:rPr>
        <w:t xml:space="preserve"> </w:t>
      </w:r>
      <w:proofErr w:type="spellStart"/>
      <w:r w:rsidRPr="00CE08D3">
        <w:rPr>
          <w:i/>
          <w:sz w:val="22"/>
          <w:szCs w:val="22"/>
        </w:rPr>
        <w:t>australiae</w:t>
      </w:r>
      <w:proofErr w:type="spellEnd"/>
    </w:p>
    <w:p w:rsidR="00500220" w:rsidRPr="00266948" w:rsidRDefault="00500220" w:rsidP="00500220">
      <w:pPr>
        <w:pStyle w:val="Default"/>
        <w:suppressAutoHyphens/>
        <w:jc w:val="both"/>
        <w:rPr>
          <w:rFonts w:asciiTheme="minorBidi" w:hAnsiTheme="minorBidi" w:cstheme="minorBidi"/>
          <w:b/>
          <w:sz w:val="22"/>
          <w:szCs w:val="22"/>
          <w:lang w:val="en-GB"/>
        </w:rPr>
      </w:pPr>
    </w:p>
    <w:p w:rsidR="00500220" w:rsidRPr="00266948" w:rsidRDefault="00500220" w:rsidP="00500220">
      <w:pPr>
        <w:pStyle w:val="Default"/>
        <w:suppressAutoHyphens/>
        <w:jc w:val="both"/>
        <w:rPr>
          <w:rFonts w:eastAsia="Times New Roman"/>
          <w:noProof/>
          <w:color w:val="auto"/>
          <w:sz w:val="22"/>
          <w:szCs w:val="22"/>
          <w:u w:val="single"/>
        </w:rPr>
      </w:pPr>
      <w:r w:rsidRPr="00266948">
        <w:rPr>
          <w:color w:val="auto"/>
          <w:sz w:val="22"/>
          <w:szCs w:val="22"/>
          <w:u w:val="single"/>
        </w:rPr>
        <w:t>Actions recommandées</w:t>
      </w:r>
    </w:p>
    <w:p w:rsidR="00500220" w:rsidRPr="00266948" w:rsidRDefault="00500220" w:rsidP="00500220">
      <w:pPr>
        <w:pStyle w:val="Default"/>
        <w:suppressAutoHyphens/>
        <w:ind w:left="504"/>
        <w:jc w:val="both"/>
        <w:rPr>
          <w:rFonts w:eastAsia="Times New Roman"/>
          <w:color w:val="auto"/>
          <w:sz w:val="22"/>
          <w:szCs w:val="22"/>
          <w:lang w:val="en-GB"/>
        </w:rPr>
      </w:pPr>
    </w:p>
    <w:p w:rsidR="00500220" w:rsidRPr="00CE08D3" w:rsidRDefault="00500220" w:rsidP="00CE08D3">
      <w:pPr>
        <w:pStyle w:val="Default"/>
        <w:numPr>
          <w:ilvl w:val="0"/>
          <w:numId w:val="2"/>
        </w:numPr>
        <w:suppressAutoHyphens/>
        <w:ind w:left="567" w:hanging="567"/>
        <w:jc w:val="both"/>
        <w:rPr>
          <w:sz w:val="22"/>
          <w:szCs w:val="22"/>
        </w:rPr>
      </w:pPr>
      <w:r w:rsidRPr="00CE08D3">
        <w:rPr>
          <w:sz w:val="22"/>
          <w:szCs w:val="22"/>
        </w:rPr>
        <w:t xml:space="preserve">On sait que la transition des prises accessoires à un prélèvement intentionnel en tant que viande d’animaux sauvages aquatiques se produit dans la pêche qui ne possède pas les caractéristiques de pêche gérée et réglementée. Comme le prélèvement de la viande d’animaux sauvages aquatiques n’est pas géré par les agences locales ou régionales de pêche, il doit être abordé par les agences de conservation et de la faune. </w:t>
      </w:r>
    </w:p>
    <w:p w:rsidR="00500220" w:rsidRPr="00CE08D3" w:rsidRDefault="00500220" w:rsidP="00CE08D3">
      <w:pPr>
        <w:pStyle w:val="Default"/>
        <w:suppressAutoHyphens/>
        <w:ind w:left="567" w:hanging="567"/>
        <w:jc w:val="both"/>
        <w:rPr>
          <w:sz w:val="22"/>
          <w:szCs w:val="22"/>
        </w:rPr>
      </w:pPr>
    </w:p>
    <w:p w:rsidR="00500220" w:rsidRPr="00CE08D3" w:rsidRDefault="00500220" w:rsidP="00CE08D3">
      <w:pPr>
        <w:pStyle w:val="ListParagraph"/>
        <w:widowControl w:val="0"/>
        <w:numPr>
          <w:ilvl w:val="0"/>
          <w:numId w:val="2"/>
        </w:numPr>
        <w:suppressAutoHyphens/>
        <w:autoSpaceDE w:val="0"/>
        <w:autoSpaceDN w:val="0"/>
        <w:ind w:left="567" w:hanging="567"/>
        <w:jc w:val="both"/>
        <w:textAlignment w:val="baseline"/>
        <w:rPr>
          <w:rFonts w:ascii="Arial" w:eastAsiaTheme="minorHAnsi" w:hAnsi="Arial" w:cs="Arial"/>
          <w:color w:val="000000"/>
          <w:sz w:val="22"/>
          <w:szCs w:val="22"/>
          <w:lang w:val="fr-FR"/>
        </w:rPr>
      </w:pPr>
      <w:r w:rsidRPr="00CE08D3">
        <w:rPr>
          <w:rFonts w:ascii="Arial" w:hAnsi="Arial" w:cs="Arial"/>
          <w:color w:val="000000"/>
          <w:sz w:val="22"/>
          <w:szCs w:val="22"/>
          <w:lang w:val="fr-FR"/>
        </w:rPr>
        <w:t xml:space="preserve">Il convient de faire preuve d’une certaine prudence lorsqu’on examine ces dynamiques. </w:t>
      </w:r>
      <w:bookmarkStart w:id="5" w:name="_Hlk16250688"/>
      <w:r w:rsidRPr="00CE08D3">
        <w:rPr>
          <w:rFonts w:ascii="Arial" w:hAnsi="Arial" w:cs="Arial"/>
          <w:color w:val="000000"/>
          <w:sz w:val="22"/>
          <w:szCs w:val="22"/>
          <w:lang w:val="fr-FR"/>
        </w:rPr>
        <w:t xml:space="preserve">L’utilisation opportuniste des prises accessoires comme viande d’animaux sauvages aquatiques peut être le résultat de la demande locale de sources alimentaires alternatives en raison de la perte des stocks de poissons traditionnels (Juncker et coll. 2006). </w:t>
      </w:r>
      <w:bookmarkEnd w:id="5"/>
      <w:r w:rsidRPr="00CE08D3">
        <w:rPr>
          <w:rFonts w:ascii="Arial" w:hAnsi="Arial" w:cs="Arial"/>
          <w:color w:val="000000"/>
          <w:sz w:val="22"/>
          <w:szCs w:val="22"/>
          <w:lang w:val="fr-FR"/>
        </w:rPr>
        <w:t>De plus, le revenu de subsistance provenant de la vente de viande d’animaux sauvages aquatiques peut motiver les pêcheurs à cibler intentionnellement de plus gros animaux, qui sont souvent plus vulnérables à l’exploitation, avec des produits plus précieux et plus utilisables. Il est donc crucial de comprendre les facteurs socioéconomiques qui déterminent les prises des pêcheurs ainsi que le sort des prises accessoires. Si l’on dispose de données suffisantes pour comprendre les niveaux de prises accessoires dans les zones côtières très fréquentées et si l’on travaille en étroite collaboration avec les petits pêcheurs et les pêcheurs artisanaux, il sera possible d’atténuer les prises accessoires et partant, de passer à de nouveaux prélèvements de viande d’animaux sauvages aquatiques. Cela pourrait constituer un pas en avant pour garantir la persistance d’une mégafaune migratrice vulnérable. Sans ces informations, le déclin des populations risque de ne pas être détecté et documenté, et les autorités locales ne disposeront pas d’informations suffisantes pour élaborer des plans de gestion et les mettre en œuvre en temps voulu. Le fait d’ignorer le potentiel des prises accessoires comme déclencheur de l’augmentation des prélèvements de viande d'animaux sauvages aquatiques ne servira qu’à miner les mesures de conservation des organismes de gestion de la pêche et de la faune.</w:t>
      </w:r>
    </w:p>
    <w:p w:rsidR="00500220" w:rsidRPr="004C72B6" w:rsidRDefault="00CE08D3" w:rsidP="004C72B6">
      <w:pPr>
        <w:ind w:left="567" w:hanging="567"/>
        <w:jc w:val="both"/>
        <w:rPr>
          <w:rFonts w:ascii="Arial" w:hAnsi="Arial" w:cs="Arial"/>
          <w:sz w:val="22"/>
          <w:szCs w:val="22"/>
          <w:lang w:val="fr-FR"/>
        </w:rPr>
      </w:pPr>
      <w:r>
        <w:rPr>
          <w:rFonts w:ascii="Arial" w:hAnsi="Arial" w:cs="Arial"/>
          <w:sz w:val="22"/>
          <w:szCs w:val="22"/>
          <w:lang w:val="fr-FR"/>
        </w:rPr>
        <w:br w:type="page"/>
      </w:r>
    </w:p>
    <w:p w:rsidR="00500220" w:rsidRPr="00266948" w:rsidRDefault="00500220" w:rsidP="00500220">
      <w:pPr>
        <w:jc w:val="both"/>
        <w:rPr>
          <w:rFonts w:ascii="Arial" w:hAnsi="Arial" w:cs="Arial"/>
          <w:b/>
          <w:bCs/>
          <w:sz w:val="22"/>
          <w:szCs w:val="22"/>
        </w:rPr>
      </w:pPr>
      <w:proofErr w:type="spellStart"/>
      <w:r w:rsidRPr="00266948">
        <w:rPr>
          <w:rFonts w:ascii="Arial" w:hAnsi="Arial"/>
          <w:b/>
          <w:bCs/>
          <w:sz w:val="22"/>
          <w:szCs w:val="22"/>
        </w:rPr>
        <w:lastRenderedPageBreak/>
        <w:t>R</w:t>
      </w:r>
      <w:r w:rsidR="0040067B">
        <w:rPr>
          <w:rFonts w:ascii="Arial" w:hAnsi="Arial"/>
          <w:b/>
          <w:bCs/>
          <w:sz w:val="22"/>
          <w:szCs w:val="22"/>
        </w:rPr>
        <w:t>é</w:t>
      </w:r>
      <w:r w:rsidRPr="00266948">
        <w:rPr>
          <w:rFonts w:ascii="Arial" w:hAnsi="Arial"/>
          <w:b/>
          <w:bCs/>
          <w:sz w:val="22"/>
          <w:szCs w:val="22"/>
        </w:rPr>
        <w:t>f</w:t>
      </w:r>
      <w:r w:rsidR="0040067B">
        <w:rPr>
          <w:rFonts w:ascii="Arial" w:hAnsi="Arial"/>
          <w:b/>
          <w:bCs/>
          <w:sz w:val="22"/>
          <w:szCs w:val="22"/>
        </w:rPr>
        <w:t>é</w:t>
      </w:r>
      <w:r w:rsidRPr="00266948">
        <w:rPr>
          <w:rFonts w:ascii="Arial" w:hAnsi="Arial"/>
          <w:b/>
          <w:bCs/>
          <w:sz w:val="22"/>
          <w:szCs w:val="22"/>
        </w:rPr>
        <w:t>rences</w:t>
      </w:r>
      <w:proofErr w:type="spellEnd"/>
    </w:p>
    <w:p w:rsidR="0040067B" w:rsidRPr="00266948" w:rsidRDefault="0040067B" w:rsidP="00500220">
      <w:pPr>
        <w:jc w:val="both"/>
        <w:rPr>
          <w:rFonts w:asciiTheme="minorBidi" w:hAnsiTheme="minorBidi" w:cstheme="minorBidi"/>
          <w:sz w:val="22"/>
          <w:szCs w:val="22"/>
        </w:rPr>
      </w:pP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bookmarkStart w:id="6" w:name="_Hlk18921232"/>
      <w:r w:rsidRPr="0040067B">
        <w:rPr>
          <w:rFonts w:ascii="Arial" w:hAnsi="Arial" w:cs="Arial"/>
          <w:sz w:val="22"/>
          <w:szCs w:val="22"/>
          <w:lang w:val="es-ES_tradnl"/>
        </w:rPr>
        <w:t xml:space="preserve">Alves, R. R. N., &amp; van </w:t>
      </w:r>
      <w:proofErr w:type="spellStart"/>
      <w:r w:rsidRPr="0040067B">
        <w:rPr>
          <w:rFonts w:ascii="Arial" w:hAnsi="Arial" w:cs="Arial"/>
          <w:sz w:val="22"/>
          <w:szCs w:val="22"/>
          <w:lang w:val="es-ES_tradnl"/>
        </w:rPr>
        <w:t>Vliet</w:t>
      </w:r>
      <w:proofErr w:type="spellEnd"/>
      <w:r w:rsidRPr="0040067B">
        <w:rPr>
          <w:rFonts w:ascii="Arial" w:hAnsi="Arial" w:cs="Arial"/>
          <w:sz w:val="22"/>
          <w:szCs w:val="22"/>
          <w:lang w:val="es-ES_tradnl"/>
        </w:rPr>
        <w:t xml:space="preserve">, N. (2018). </w:t>
      </w:r>
      <w:r w:rsidRPr="0040067B">
        <w:rPr>
          <w:rFonts w:ascii="Arial" w:hAnsi="Arial" w:cs="Arial"/>
          <w:sz w:val="22"/>
          <w:szCs w:val="22"/>
        </w:rPr>
        <w:t xml:space="preserve">Wild fauna on the menu. In </w:t>
      </w:r>
      <w:r w:rsidRPr="0040067B">
        <w:rPr>
          <w:rFonts w:ascii="Arial" w:hAnsi="Arial" w:cs="Arial"/>
          <w:i/>
          <w:iCs/>
          <w:sz w:val="22"/>
          <w:szCs w:val="22"/>
        </w:rPr>
        <w:t>Ethnozoology</w:t>
      </w:r>
      <w:r w:rsidRPr="0040067B">
        <w:rPr>
          <w:rFonts w:ascii="Arial" w:hAnsi="Arial" w:cs="Arial"/>
          <w:sz w:val="22"/>
          <w:szCs w:val="22"/>
        </w:rPr>
        <w:t xml:space="preserve"> (pp. 167-194). Academic Press.</w:t>
      </w:r>
    </w:p>
    <w:bookmarkEnd w:id="6"/>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proofErr w:type="spellStart"/>
      <w:r w:rsidRPr="0040067B">
        <w:rPr>
          <w:rFonts w:ascii="Arial" w:hAnsi="Arial" w:cs="Arial"/>
          <w:sz w:val="22"/>
          <w:szCs w:val="22"/>
        </w:rPr>
        <w:t>Awkerman</w:t>
      </w:r>
      <w:proofErr w:type="spellEnd"/>
      <w:r w:rsidRPr="0040067B">
        <w:rPr>
          <w:rFonts w:ascii="Arial" w:hAnsi="Arial" w:cs="Arial"/>
          <w:sz w:val="22"/>
          <w:szCs w:val="22"/>
        </w:rPr>
        <w:t xml:space="preserve">, J.A., </w:t>
      </w:r>
      <w:proofErr w:type="spellStart"/>
      <w:r w:rsidRPr="0040067B">
        <w:rPr>
          <w:rFonts w:ascii="Arial" w:hAnsi="Arial" w:cs="Arial"/>
          <w:sz w:val="22"/>
          <w:szCs w:val="22"/>
        </w:rPr>
        <w:t>Huyvaert</w:t>
      </w:r>
      <w:proofErr w:type="spellEnd"/>
      <w:r w:rsidRPr="0040067B">
        <w:rPr>
          <w:rFonts w:ascii="Arial" w:hAnsi="Arial" w:cs="Arial"/>
          <w:sz w:val="22"/>
          <w:szCs w:val="22"/>
        </w:rPr>
        <w:t xml:space="preserve">, K.P., </w:t>
      </w:r>
      <w:proofErr w:type="spellStart"/>
      <w:r w:rsidRPr="0040067B">
        <w:rPr>
          <w:rFonts w:ascii="Arial" w:hAnsi="Arial" w:cs="Arial"/>
          <w:sz w:val="22"/>
          <w:szCs w:val="22"/>
        </w:rPr>
        <w:t>Mangel</w:t>
      </w:r>
      <w:proofErr w:type="spellEnd"/>
      <w:r w:rsidRPr="0040067B">
        <w:rPr>
          <w:rFonts w:ascii="Arial" w:hAnsi="Arial" w:cs="Arial"/>
          <w:sz w:val="22"/>
          <w:szCs w:val="22"/>
        </w:rPr>
        <w:t xml:space="preserve">, J., Alfaro </w:t>
      </w:r>
      <w:proofErr w:type="spellStart"/>
      <w:r w:rsidRPr="0040067B">
        <w:rPr>
          <w:rFonts w:ascii="Arial" w:hAnsi="Arial" w:cs="Arial"/>
          <w:sz w:val="22"/>
          <w:szCs w:val="22"/>
        </w:rPr>
        <w:t>Shigueto</w:t>
      </w:r>
      <w:proofErr w:type="spellEnd"/>
      <w:r w:rsidRPr="0040067B">
        <w:rPr>
          <w:rFonts w:ascii="Arial" w:hAnsi="Arial" w:cs="Arial"/>
          <w:sz w:val="22"/>
          <w:szCs w:val="22"/>
        </w:rPr>
        <w:t>, J., Anderson, D.J. 2006. Incidental and intentional catch threatens Galapagos waved albatross. Biological Conservation doi:10.1016/j.biocon.2006.07.010</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lang w:val="es-ES_tradnl"/>
        </w:rPr>
        <w:t>Alfaro-</w:t>
      </w:r>
      <w:proofErr w:type="spellStart"/>
      <w:r w:rsidRPr="0040067B">
        <w:rPr>
          <w:rFonts w:ascii="Arial" w:hAnsi="Arial" w:cs="Arial"/>
          <w:sz w:val="22"/>
          <w:szCs w:val="22"/>
          <w:lang w:val="es-ES_tradnl"/>
        </w:rPr>
        <w:t>Shigueto</w:t>
      </w:r>
      <w:proofErr w:type="spellEnd"/>
      <w:r w:rsidRPr="0040067B">
        <w:rPr>
          <w:rFonts w:ascii="Arial" w:hAnsi="Arial" w:cs="Arial"/>
          <w:sz w:val="22"/>
          <w:szCs w:val="22"/>
          <w:lang w:val="es-ES_tradnl"/>
        </w:rPr>
        <w:t xml:space="preserve">, J., </w:t>
      </w:r>
      <w:proofErr w:type="spellStart"/>
      <w:r w:rsidRPr="0040067B">
        <w:rPr>
          <w:rFonts w:ascii="Arial" w:hAnsi="Arial" w:cs="Arial"/>
          <w:sz w:val="22"/>
          <w:szCs w:val="22"/>
          <w:lang w:val="es-ES_tradnl"/>
        </w:rPr>
        <w:t>Mangel</w:t>
      </w:r>
      <w:proofErr w:type="spellEnd"/>
      <w:r w:rsidRPr="0040067B">
        <w:rPr>
          <w:rFonts w:ascii="Arial" w:hAnsi="Arial" w:cs="Arial"/>
          <w:sz w:val="22"/>
          <w:szCs w:val="22"/>
          <w:lang w:val="es-ES_tradnl"/>
        </w:rPr>
        <w:t xml:space="preserve">, J. C., </w:t>
      </w:r>
      <w:proofErr w:type="spellStart"/>
      <w:r w:rsidRPr="0040067B">
        <w:rPr>
          <w:rFonts w:ascii="Arial" w:hAnsi="Arial" w:cs="Arial"/>
          <w:sz w:val="22"/>
          <w:szCs w:val="22"/>
          <w:lang w:val="es-ES_tradnl"/>
        </w:rPr>
        <w:t>Pajuelo</w:t>
      </w:r>
      <w:proofErr w:type="spellEnd"/>
      <w:r w:rsidRPr="0040067B">
        <w:rPr>
          <w:rFonts w:ascii="Arial" w:hAnsi="Arial" w:cs="Arial"/>
          <w:sz w:val="22"/>
          <w:szCs w:val="22"/>
          <w:lang w:val="es-ES_tradnl"/>
        </w:rPr>
        <w:t xml:space="preserve">, M., </w:t>
      </w:r>
      <w:proofErr w:type="spellStart"/>
      <w:r w:rsidRPr="0040067B">
        <w:rPr>
          <w:rFonts w:ascii="Arial" w:hAnsi="Arial" w:cs="Arial"/>
          <w:sz w:val="22"/>
          <w:szCs w:val="22"/>
          <w:lang w:val="es-ES_tradnl"/>
        </w:rPr>
        <w:t>Dutton</w:t>
      </w:r>
      <w:proofErr w:type="spellEnd"/>
      <w:r w:rsidRPr="0040067B">
        <w:rPr>
          <w:rFonts w:ascii="Arial" w:hAnsi="Arial" w:cs="Arial"/>
          <w:sz w:val="22"/>
          <w:szCs w:val="22"/>
          <w:lang w:val="es-ES_tradnl"/>
        </w:rPr>
        <w:t xml:space="preserve">, P. H., </w:t>
      </w:r>
      <w:proofErr w:type="spellStart"/>
      <w:r w:rsidRPr="0040067B">
        <w:rPr>
          <w:rFonts w:ascii="Arial" w:hAnsi="Arial" w:cs="Arial"/>
          <w:sz w:val="22"/>
          <w:szCs w:val="22"/>
          <w:lang w:val="es-ES_tradnl"/>
        </w:rPr>
        <w:t>Seminoff</w:t>
      </w:r>
      <w:proofErr w:type="spellEnd"/>
      <w:r w:rsidRPr="0040067B">
        <w:rPr>
          <w:rFonts w:ascii="Arial" w:hAnsi="Arial" w:cs="Arial"/>
          <w:sz w:val="22"/>
          <w:szCs w:val="22"/>
          <w:lang w:val="es-ES_tradnl"/>
        </w:rPr>
        <w:t xml:space="preserve">, J. A., &amp; </w:t>
      </w:r>
      <w:proofErr w:type="spellStart"/>
      <w:r w:rsidRPr="0040067B">
        <w:rPr>
          <w:rFonts w:ascii="Arial" w:hAnsi="Arial" w:cs="Arial"/>
          <w:sz w:val="22"/>
          <w:szCs w:val="22"/>
          <w:lang w:val="es-ES_tradnl"/>
        </w:rPr>
        <w:t>Godley</w:t>
      </w:r>
      <w:proofErr w:type="spellEnd"/>
      <w:r w:rsidRPr="0040067B">
        <w:rPr>
          <w:rFonts w:ascii="Arial" w:hAnsi="Arial" w:cs="Arial"/>
          <w:sz w:val="22"/>
          <w:szCs w:val="22"/>
          <w:lang w:val="es-ES_tradnl"/>
        </w:rPr>
        <w:t xml:space="preserve">, B. J. (2010). </w:t>
      </w:r>
      <w:r w:rsidRPr="0040067B">
        <w:rPr>
          <w:rFonts w:ascii="Arial" w:hAnsi="Arial" w:cs="Arial"/>
          <w:sz w:val="22"/>
          <w:szCs w:val="22"/>
        </w:rPr>
        <w:t xml:space="preserve">Where small can have a large impact: structure and characterization of small-scale fisheries in Peru. </w:t>
      </w:r>
      <w:r w:rsidRPr="0040067B">
        <w:rPr>
          <w:rFonts w:ascii="Arial" w:hAnsi="Arial" w:cs="Arial"/>
          <w:i/>
          <w:iCs/>
          <w:sz w:val="22"/>
          <w:szCs w:val="22"/>
        </w:rPr>
        <w:t>Fisheries Research</w:t>
      </w:r>
      <w:r w:rsidRPr="0040067B">
        <w:rPr>
          <w:rFonts w:ascii="Arial" w:hAnsi="Arial" w:cs="Arial"/>
          <w:sz w:val="22"/>
          <w:szCs w:val="22"/>
        </w:rPr>
        <w:t xml:space="preserve">, </w:t>
      </w:r>
      <w:r w:rsidRPr="0040067B">
        <w:rPr>
          <w:rFonts w:ascii="Arial" w:hAnsi="Arial" w:cs="Arial"/>
          <w:i/>
          <w:iCs/>
          <w:sz w:val="22"/>
          <w:szCs w:val="22"/>
        </w:rPr>
        <w:t>106</w:t>
      </w:r>
      <w:r w:rsidRPr="0040067B">
        <w:rPr>
          <w:rFonts w:ascii="Arial" w:hAnsi="Arial" w:cs="Arial"/>
          <w:sz w:val="22"/>
          <w:szCs w:val="22"/>
        </w:rPr>
        <w:t>(1), 8-17.</w:t>
      </w:r>
    </w:p>
    <w:p w:rsidR="00500220" w:rsidRPr="0040067B" w:rsidRDefault="00500220" w:rsidP="0040067B">
      <w:pPr>
        <w:pStyle w:val="ListParagraph"/>
        <w:widowControl w:val="0"/>
        <w:numPr>
          <w:ilvl w:val="0"/>
          <w:numId w:val="4"/>
        </w:numPr>
        <w:suppressAutoHyphens/>
        <w:autoSpaceDE w:val="0"/>
        <w:autoSpaceDN w:val="0"/>
        <w:adjustRightInd w:val="0"/>
        <w:ind w:left="426"/>
        <w:jc w:val="both"/>
        <w:textAlignment w:val="baseline"/>
        <w:rPr>
          <w:rFonts w:ascii="Arial" w:hAnsi="Arial" w:cs="Arial"/>
          <w:sz w:val="22"/>
          <w:szCs w:val="22"/>
          <w:lang w:val="en-US"/>
        </w:rPr>
      </w:pPr>
      <w:r w:rsidRPr="0040067B">
        <w:rPr>
          <w:rFonts w:ascii="Arial" w:hAnsi="Arial" w:cs="Arial"/>
          <w:sz w:val="22"/>
          <w:szCs w:val="22"/>
        </w:rPr>
        <w:t>Alfaro-</w:t>
      </w:r>
      <w:proofErr w:type="spellStart"/>
      <w:r w:rsidRPr="0040067B">
        <w:rPr>
          <w:rFonts w:ascii="Arial" w:hAnsi="Arial" w:cs="Arial"/>
          <w:sz w:val="22"/>
          <w:szCs w:val="22"/>
        </w:rPr>
        <w:t>Shigueto</w:t>
      </w:r>
      <w:proofErr w:type="spellEnd"/>
      <w:r w:rsidRPr="0040067B">
        <w:rPr>
          <w:rFonts w:ascii="Arial" w:hAnsi="Arial" w:cs="Arial"/>
          <w:sz w:val="22"/>
          <w:szCs w:val="22"/>
        </w:rPr>
        <w:t xml:space="preserve">, J.,  </w:t>
      </w:r>
      <w:proofErr w:type="spellStart"/>
      <w:r w:rsidRPr="0040067B">
        <w:rPr>
          <w:rFonts w:ascii="Arial" w:hAnsi="Arial" w:cs="Arial"/>
          <w:sz w:val="22"/>
          <w:szCs w:val="22"/>
        </w:rPr>
        <w:t>Mangel</w:t>
      </w:r>
      <w:proofErr w:type="spellEnd"/>
      <w:r w:rsidRPr="0040067B">
        <w:rPr>
          <w:rFonts w:ascii="Arial" w:hAnsi="Arial" w:cs="Arial"/>
          <w:sz w:val="22"/>
          <w:szCs w:val="22"/>
        </w:rPr>
        <w:t xml:space="preserve">, J.C, </w:t>
      </w:r>
      <w:proofErr w:type="spellStart"/>
      <w:r w:rsidRPr="0040067B">
        <w:rPr>
          <w:rFonts w:ascii="Arial" w:hAnsi="Arial" w:cs="Arial"/>
          <w:sz w:val="22"/>
          <w:szCs w:val="22"/>
        </w:rPr>
        <w:t>Bernedo</w:t>
      </w:r>
      <w:proofErr w:type="spellEnd"/>
      <w:r w:rsidRPr="0040067B">
        <w:rPr>
          <w:rFonts w:ascii="Arial" w:hAnsi="Arial" w:cs="Arial"/>
          <w:sz w:val="22"/>
          <w:szCs w:val="22"/>
        </w:rPr>
        <w:t xml:space="preserve">, F., Dutton, P.H., </w:t>
      </w:r>
      <w:proofErr w:type="spellStart"/>
      <w:r w:rsidRPr="0040067B">
        <w:rPr>
          <w:rFonts w:ascii="Arial" w:hAnsi="Arial" w:cs="Arial"/>
          <w:sz w:val="22"/>
          <w:szCs w:val="22"/>
        </w:rPr>
        <w:t>Seminoff</w:t>
      </w:r>
      <w:proofErr w:type="spellEnd"/>
      <w:r w:rsidRPr="0040067B">
        <w:rPr>
          <w:rFonts w:ascii="Arial" w:hAnsi="Arial" w:cs="Arial"/>
          <w:sz w:val="22"/>
          <w:szCs w:val="22"/>
        </w:rPr>
        <w:t xml:space="preserve">, J.A. &amp; Brendan J. Godley. (2011). Small-scale fisheries of Peru: a major sink for marine turtles in the Pacific. </w:t>
      </w:r>
      <w:r w:rsidRPr="0040067B">
        <w:rPr>
          <w:rFonts w:ascii="Arial" w:hAnsi="Arial" w:cs="Arial"/>
          <w:i/>
          <w:iCs/>
          <w:sz w:val="22"/>
          <w:szCs w:val="22"/>
          <w:lang w:val="en-US"/>
        </w:rPr>
        <w:t>Journal of Applied Ecology</w:t>
      </w:r>
      <w:r w:rsidRPr="0040067B">
        <w:rPr>
          <w:rFonts w:ascii="Arial" w:hAnsi="Arial" w:cs="Arial"/>
          <w:sz w:val="22"/>
          <w:szCs w:val="22"/>
          <w:lang w:val="en-US"/>
        </w:rPr>
        <w:t xml:space="preserve"> 48: 1432-1440.</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Campana, S.E., Joyce, W., &amp; Manning, M.J. (2009). Bycatch and discard mortality in commercially caught blue sharks </w:t>
      </w:r>
      <w:r w:rsidRPr="0040067B">
        <w:rPr>
          <w:rFonts w:ascii="Arial" w:hAnsi="Arial" w:cs="Arial"/>
          <w:i/>
          <w:iCs/>
          <w:sz w:val="22"/>
          <w:szCs w:val="22"/>
        </w:rPr>
        <w:t>Prionace glauca</w:t>
      </w:r>
      <w:r w:rsidRPr="0040067B">
        <w:rPr>
          <w:rFonts w:ascii="Arial" w:hAnsi="Arial" w:cs="Arial"/>
          <w:sz w:val="22"/>
          <w:szCs w:val="22"/>
        </w:rPr>
        <w:t xml:space="preserve"> assessed using archival satellite pop-up tags. Mar </w:t>
      </w:r>
      <w:proofErr w:type="spellStart"/>
      <w:r w:rsidRPr="0040067B">
        <w:rPr>
          <w:rFonts w:ascii="Arial" w:hAnsi="Arial" w:cs="Arial"/>
          <w:sz w:val="22"/>
          <w:szCs w:val="22"/>
        </w:rPr>
        <w:t>Ecol</w:t>
      </w:r>
      <w:proofErr w:type="spellEnd"/>
      <w:r w:rsidRPr="0040067B">
        <w:rPr>
          <w:rFonts w:ascii="Arial" w:hAnsi="Arial" w:cs="Arial"/>
          <w:sz w:val="22"/>
          <w:szCs w:val="22"/>
        </w:rPr>
        <w:t xml:space="preserve"> Prog Ser 387:241-253. </w:t>
      </w:r>
      <w:hyperlink r:id="rId12" w:history="1">
        <w:r w:rsidRPr="0040067B">
          <w:rPr>
            <w:rStyle w:val="Hyperlink"/>
            <w:rFonts w:ascii="Arial" w:hAnsi="Arial" w:cs="Arial"/>
            <w:sz w:val="22"/>
            <w:szCs w:val="22"/>
          </w:rPr>
          <w:t xml:space="preserve">https://doi.org/10.3354/meps08109 </w:t>
        </w:r>
      </w:hyperlink>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Davis, M.W. (2002). Key principles for understanding fish bycatch discard mortality. </w:t>
      </w:r>
      <w:r w:rsidRPr="0040067B">
        <w:rPr>
          <w:rFonts w:ascii="Arial" w:hAnsi="Arial" w:cs="Arial"/>
          <w:i/>
          <w:iCs/>
          <w:sz w:val="22"/>
          <w:szCs w:val="22"/>
        </w:rPr>
        <w:t xml:space="preserve">Can. J. Fish. </w:t>
      </w:r>
      <w:proofErr w:type="spellStart"/>
      <w:r w:rsidRPr="0040067B">
        <w:rPr>
          <w:rFonts w:ascii="Arial" w:hAnsi="Arial" w:cs="Arial"/>
          <w:i/>
          <w:iCs/>
          <w:sz w:val="22"/>
          <w:szCs w:val="22"/>
        </w:rPr>
        <w:t>Aquat</w:t>
      </w:r>
      <w:proofErr w:type="spellEnd"/>
      <w:r w:rsidRPr="0040067B">
        <w:rPr>
          <w:rFonts w:ascii="Arial" w:hAnsi="Arial" w:cs="Arial"/>
          <w:i/>
          <w:iCs/>
          <w:sz w:val="22"/>
          <w:szCs w:val="22"/>
        </w:rPr>
        <w:t>. Sci.</w:t>
      </w:r>
      <w:r w:rsidRPr="0040067B">
        <w:rPr>
          <w:rFonts w:ascii="Arial" w:hAnsi="Arial" w:cs="Arial"/>
          <w:sz w:val="22"/>
          <w:szCs w:val="22"/>
        </w:rPr>
        <w:t xml:space="preserve"> 59: 1834–1843.</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proofErr w:type="spellStart"/>
      <w:r w:rsidRPr="0040067B">
        <w:rPr>
          <w:rFonts w:ascii="Arial" w:hAnsi="Arial" w:cs="Arial"/>
          <w:sz w:val="22"/>
          <w:szCs w:val="22"/>
        </w:rPr>
        <w:t>Debski</w:t>
      </w:r>
      <w:proofErr w:type="spellEnd"/>
      <w:r w:rsidRPr="0040067B">
        <w:rPr>
          <w:rFonts w:ascii="Arial" w:hAnsi="Arial" w:cs="Arial"/>
          <w:sz w:val="22"/>
          <w:szCs w:val="22"/>
        </w:rPr>
        <w:t xml:space="preserve">, I., &amp; Pierre, J. (2014, August). Seabird cryptic mortality and risk from fisheries. In </w:t>
      </w:r>
      <w:r w:rsidRPr="0040067B">
        <w:rPr>
          <w:rFonts w:ascii="Arial" w:hAnsi="Arial" w:cs="Arial"/>
          <w:i/>
          <w:iCs/>
          <w:sz w:val="22"/>
          <w:szCs w:val="22"/>
        </w:rPr>
        <w:t>2nd Meeting of the Scientific Committee Honolulu, Hawaii, USA</w:t>
      </w:r>
      <w:r w:rsidRPr="0040067B">
        <w:rPr>
          <w:rFonts w:ascii="Arial" w:hAnsi="Arial" w:cs="Arial"/>
          <w:sz w:val="22"/>
          <w:szCs w:val="22"/>
        </w:rPr>
        <w:t xml:space="preserve"> (pp. 1-7).</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Fa, J. E., C. A. Peres, and J. </w:t>
      </w:r>
      <w:proofErr w:type="spellStart"/>
      <w:r w:rsidRPr="0040067B">
        <w:rPr>
          <w:rFonts w:ascii="Arial" w:hAnsi="Arial" w:cs="Arial"/>
          <w:sz w:val="22"/>
          <w:szCs w:val="22"/>
        </w:rPr>
        <w:t>Meeuwig</w:t>
      </w:r>
      <w:proofErr w:type="spellEnd"/>
      <w:r w:rsidRPr="0040067B">
        <w:rPr>
          <w:rFonts w:ascii="Arial" w:hAnsi="Arial" w:cs="Arial"/>
          <w:sz w:val="22"/>
          <w:szCs w:val="22"/>
        </w:rPr>
        <w:t xml:space="preserve">. 2001. Bushmeat exploitation in tropical forests: an intercontinental comparison. </w:t>
      </w:r>
      <w:proofErr w:type="spellStart"/>
      <w:r w:rsidRPr="0040067B">
        <w:rPr>
          <w:rFonts w:ascii="Arial" w:hAnsi="Arial" w:cs="Arial"/>
          <w:sz w:val="22"/>
          <w:szCs w:val="22"/>
        </w:rPr>
        <w:t>Conserv</w:t>
      </w:r>
      <w:proofErr w:type="spellEnd"/>
      <w:r w:rsidRPr="0040067B">
        <w:rPr>
          <w:rFonts w:ascii="Arial" w:hAnsi="Arial" w:cs="Arial"/>
          <w:sz w:val="22"/>
          <w:szCs w:val="22"/>
        </w:rPr>
        <w:t>. Biol. 16:232–237.</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lang w:val="de-DE"/>
        </w:rPr>
        <w:t xml:space="preserve">Glaus, K. B., Adrian-Kalchhauser, I., Burkhardt-Holm, P., White, W. T., &amp; Brunnschweiler, J. M. (2015). </w:t>
      </w:r>
      <w:r w:rsidRPr="0040067B">
        <w:rPr>
          <w:rFonts w:ascii="Arial" w:hAnsi="Arial" w:cs="Arial"/>
          <w:sz w:val="22"/>
          <w:szCs w:val="22"/>
        </w:rPr>
        <w:t xml:space="preserve">Characteristics of the shark fisheries of Fiji. </w:t>
      </w:r>
      <w:r w:rsidRPr="0040067B">
        <w:rPr>
          <w:rFonts w:ascii="Arial" w:hAnsi="Arial" w:cs="Arial"/>
          <w:i/>
          <w:iCs/>
          <w:sz w:val="22"/>
          <w:szCs w:val="22"/>
        </w:rPr>
        <w:t>Scientific reports</w:t>
      </w:r>
      <w:r w:rsidRPr="0040067B">
        <w:rPr>
          <w:rFonts w:ascii="Arial" w:hAnsi="Arial" w:cs="Arial"/>
          <w:sz w:val="22"/>
          <w:szCs w:val="22"/>
        </w:rPr>
        <w:t xml:space="preserve">, </w:t>
      </w:r>
      <w:r w:rsidRPr="0040067B">
        <w:rPr>
          <w:rFonts w:ascii="Arial" w:hAnsi="Arial" w:cs="Arial"/>
          <w:i/>
          <w:iCs/>
          <w:sz w:val="22"/>
          <w:szCs w:val="22"/>
        </w:rPr>
        <w:t>5</w:t>
      </w:r>
      <w:r w:rsidRPr="0040067B">
        <w:rPr>
          <w:rFonts w:ascii="Arial" w:hAnsi="Arial" w:cs="Arial"/>
          <w:sz w:val="22"/>
          <w:szCs w:val="22"/>
        </w:rPr>
        <w:t>, 17556.</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Hoffman, L. C., &amp; </w:t>
      </w:r>
      <w:proofErr w:type="spellStart"/>
      <w:r w:rsidRPr="0040067B">
        <w:rPr>
          <w:rFonts w:ascii="Arial" w:hAnsi="Arial" w:cs="Arial"/>
          <w:sz w:val="22"/>
          <w:szCs w:val="22"/>
        </w:rPr>
        <w:t>Cawthorn</w:t>
      </w:r>
      <w:proofErr w:type="spellEnd"/>
      <w:r w:rsidRPr="0040067B">
        <w:rPr>
          <w:rFonts w:ascii="Arial" w:hAnsi="Arial" w:cs="Arial"/>
          <w:sz w:val="22"/>
          <w:szCs w:val="22"/>
        </w:rPr>
        <w:t xml:space="preserve">, D. M. (2012). What is the role and contribution of meat from wildlife in providing high quality protein for consumption? </w:t>
      </w:r>
      <w:r w:rsidRPr="0040067B">
        <w:rPr>
          <w:rFonts w:ascii="Arial" w:hAnsi="Arial" w:cs="Arial"/>
          <w:i/>
          <w:iCs/>
          <w:sz w:val="22"/>
          <w:szCs w:val="22"/>
        </w:rPr>
        <w:t>Animal frontiers</w:t>
      </w:r>
      <w:r w:rsidRPr="0040067B">
        <w:rPr>
          <w:rFonts w:ascii="Arial" w:hAnsi="Arial" w:cs="Arial"/>
          <w:sz w:val="22"/>
          <w:szCs w:val="22"/>
        </w:rPr>
        <w:t xml:space="preserve">, </w:t>
      </w:r>
      <w:r w:rsidRPr="0040067B">
        <w:rPr>
          <w:rFonts w:ascii="Arial" w:hAnsi="Arial" w:cs="Arial"/>
          <w:i/>
          <w:iCs/>
          <w:sz w:val="22"/>
          <w:szCs w:val="22"/>
        </w:rPr>
        <w:t>2</w:t>
      </w:r>
      <w:r w:rsidRPr="0040067B">
        <w:rPr>
          <w:rFonts w:ascii="Arial" w:hAnsi="Arial" w:cs="Arial"/>
          <w:sz w:val="22"/>
          <w:szCs w:val="22"/>
        </w:rPr>
        <w:t>(4), 40-53.</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James MC, </w:t>
      </w:r>
      <w:proofErr w:type="spellStart"/>
      <w:r w:rsidRPr="0040067B">
        <w:rPr>
          <w:rFonts w:ascii="Arial" w:hAnsi="Arial" w:cs="Arial"/>
          <w:sz w:val="22"/>
          <w:szCs w:val="22"/>
        </w:rPr>
        <w:t>Ottensmeyer</w:t>
      </w:r>
      <w:proofErr w:type="spellEnd"/>
      <w:r w:rsidRPr="0040067B">
        <w:rPr>
          <w:rFonts w:ascii="Arial" w:hAnsi="Arial" w:cs="Arial"/>
          <w:sz w:val="22"/>
          <w:szCs w:val="22"/>
        </w:rPr>
        <w:t xml:space="preserve"> CA, Myers RA (2005) Identification of high-use habitat and threats to leatherback sea turtles in northern waters: new directions for conservation. Ecology Letters 8: 195–201.</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lang w:val="de-DE"/>
        </w:rPr>
        <w:t xml:space="preserve">Juncker, M. K., Robert, M. &amp; Clua, E (2006). </w:t>
      </w:r>
      <w:r w:rsidRPr="0040067B">
        <w:rPr>
          <w:rFonts w:ascii="Arial" w:hAnsi="Arial" w:cs="Arial"/>
          <w:sz w:val="22"/>
          <w:szCs w:val="22"/>
        </w:rPr>
        <w:t xml:space="preserve">Coastal shark fisheries in the Pacific: a brief overview of current knowledge: </w:t>
      </w:r>
      <w:hyperlink r:id="rId13" w:history="1">
        <w:r w:rsidRPr="0040067B">
          <w:rPr>
            <w:rStyle w:val="Hyperlink"/>
            <w:rFonts w:ascii="Arial" w:hAnsi="Arial" w:cs="Arial"/>
            <w:sz w:val="22"/>
            <w:szCs w:val="22"/>
          </w:rPr>
          <w:t>http://www.spc.int/DigitalLibrary/Doc/FAME/Reports/CRISP/ENG_2006_Coastal_Shark_Fisheries_Pacific.pdf</w:t>
        </w:r>
      </w:hyperlink>
      <w:r w:rsidRPr="0040067B">
        <w:rPr>
          <w:rFonts w:ascii="Arial" w:hAnsi="Arial" w:cs="Arial"/>
          <w:sz w:val="22"/>
          <w:szCs w:val="22"/>
        </w:rPr>
        <w:t>. (Accessed: 11th of July 2019)</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proofErr w:type="spellStart"/>
      <w:r w:rsidRPr="0040067B">
        <w:rPr>
          <w:rFonts w:ascii="Arial" w:hAnsi="Arial" w:cs="Arial"/>
          <w:sz w:val="22"/>
          <w:szCs w:val="22"/>
        </w:rPr>
        <w:t>Klemens</w:t>
      </w:r>
      <w:proofErr w:type="spellEnd"/>
      <w:r w:rsidRPr="0040067B">
        <w:rPr>
          <w:rFonts w:ascii="Arial" w:hAnsi="Arial" w:cs="Arial"/>
          <w:sz w:val="22"/>
          <w:szCs w:val="22"/>
        </w:rPr>
        <w:t xml:space="preserve">, M. W., &amp; </w:t>
      </w:r>
      <w:proofErr w:type="spellStart"/>
      <w:r w:rsidRPr="0040067B">
        <w:rPr>
          <w:rFonts w:ascii="Arial" w:hAnsi="Arial" w:cs="Arial"/>
          <w:sz w:val="22"/>
          <w:szCs w:val="22"/>
        </w:rPr>
        <w:t>Thorbjarnarson</w:t>
      </w:r>
      <w:proofErr w:type="spellEnd"/>
      <w:r w:rsidRPr="0040067B">
        <w:rPr>
          <w:rFonts w:ascii="Arial" w:hAnsi="Arial" w:cs="Arial"/>
          <w:sz w:val="22"/>
          <w:szCs w:val="22"/>
        </w:rPr>
        <w:t xml:space="preserve">, J. B. (1995). Reptiles as a food resource. </w:t>
      </w:r>
      <w:r w:rsidRPr="0040067B">
        <w:rPr>
          <w:rFonts w:ascii="Arial" w:hAnsi="Arial" w:cs="Arial"/>
          <w:i/>
          <w:iCs/>
          <w:sz w:val="22"/>
          <w:szCs w:val="22"/>
        </w:rPr>
        <w:t>Biodiversity &amp; Conservation</w:t>
      </w:r>
      <w:r w:rsidRPr="0040067B">
        <w:rPr>
          <w:rFonts w:ascii="Arial" w:hAnsi="Arial" w:cs="Arial"/>
          <w:sz w:val="22"/>
          <w:szCs w:val="22"/>
        </w:rPr>
        <w:t xml:space="preserve">, </w:t>
      </w:r>
      <w:r w:rsidRPr="0040067B">
        <w:rPr>
          <w:rFonts w:ascii="Arial" w:hAnsi="Arial" w:cs="Arial"/>
          <w:i/>
          <w:iCs/>
          <w:sz w:val="22"/>
          <w:szCs w:val="22"/>
        </w:rPr>
        <w:t>4</w:t>
      </w:r>
      <w:r w:rsidRPr="0040067B">
        <w:rPr>
          <w:rFonts w:ascii="Arial" w:hAnsi="Arial" w:cs="Arial"/>
          <w:sz w:val="22"/>
          <w:szCs w:val="22"/>
        </w:rPr>
        <w:t>(3), 281-298.</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Lewison, R. L., Crowder, L. B., Read, A. J., &amp; Freeman, S. A. (2004). Understanding impacts of fisheries bycatch on marine megafauna. </w:t>
      </w:r>
      <w:r w:rsidRPr="0040067B">
        <w:rPr>
          <w:rFonts w:ascii="Arial" w:hAnsi="Arial" w:cs="Arial"/>
          <w:i/>
          <w:iCs/>
          <w:sz w:val="22"/>
          <w:szCs w:val="22"/>
        </w:rPr>
        <w:t>Trends in ecology &amp; evolution</w:t>
      </w:r>
      <w:r w:rsidRPr="0040067B">
        <w:rPr>
          <w:rFonts w:ascii="Arial" w:hAnsi="Arial" w:cs="Arial"/>
          <w:sz w:val="22"/>
          <w:szCs w:val="22"/>
        </w:rPr>
        <w:t xml:space="preserve">, </w:t>
      </w:r>
      <w:r w:rsidRPr="0040067B">
        <w:rPr>
          <w:rFonts w:ascii="Arial" w:hAnsi="Arial" w:cs="Arial"/>
          <w:i/>
          <w:iCs/>
          <w:sz w:val="22"/>
          <w:szCs w:val="22"/>
        </w:rPr>
        <w:t>19</w:t>
      </w:r>
      <w:r w:rsidRPr="0040067B">
        <w:rPr>
          <w:rFonts w:ascii="Arial" w:hAnsi="Arial" w:cs="Arial"/>
          <w:sz w:val="22"/>
          <w:szCs w:val="22"/>
        </w:rPr>
        <w:t>(11), 598-604.</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Lewison, R. L., &amp; Crowder, L. B. (2007). Putting longline bycatch of sea turtles into perspective. </w:t>
      </w:r>
      <w:r w:rsidRPr="0040067B">
        <w:rPr>
          <w:rFonts w:ascii="Arial" w:hAnsi="Arial" w:cs="Arial"/>
          <w:i/>
          <w:iCs/>
          <w:sz w:val="22"/>
          <w:szCs w:val="22"/>
        </w:rPr>
        <w:t>Conservation biology</w:t>
      </w:r>
      <w:r w:rsidRPr="0040067B">
        <w:rPr>
          <w:rFonts w:ascii="Arial" w:hAnsi="Arial" w:cs="Arial"/>
          <w:sz w:val="22"/>
          <w:szCs w:val="22"/>
        </w:rPr>
        <w:t xml:space="preserve">, </w:t>
      </w:r>
      <w:r w:rsidRPr="0040067B">
        <w:rPr>
          <w:rFonts w:ascii="Arial" w:hAnsi="Arial" w:cs="Arial"/>
          <w:i/>
          <w:iCs/>
          <w:sz w:val="22"/>
          <w:szCs w:val="22"/>
        </w:rPr>
        <w:t>21</w:t>
      </w:r>
      <w:r w:rsidRPr="0040067B">
        <w:rPr>
          <w:rFonts w:ascii="Arial" w:hAnsi="Arial" w:cs="Arial"/>
          <w:sz w:val="22"/>
          <w:szCs w:val="22"/>
        </w:rPr>
        <w:t>(1), 79-86.</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lang w:val="en-US"/>
        </w:rPr>
      </w:pPr>
      <w:r w:rsidRPr="0040067B">
        <w:rPr>
          <w:rFonts w:ascii="Arial" w:hAnsi="Arial" w:cs="Arial"/>
          <w:sz w:val="22"/>
          <w:szCs w:val="22"/>
        </w:rPr>
        <w:t xml:space="preserve">Mancini, A., and V. Koch. (2009). Sea turtle consumption and black market trade in Baja California Sur, Mexico. </w:t>
      </w:r>
      <w:r w:rsidRPr="0040067B">
        <w:rPr>
          <w:rFonts w:ascii="Arial" w:hAnsi="Arial" w:cs="Arial"/>
          <w:sz w:val="22"/>
          <w:szCs w:val="22"/>
          <w:lang w:val="en-US"/>
        </w:rPr>
        <w:t>Endangered Species Res. 7:1–10</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proofErr w:type="spellStart"/>
      <w:r w:rsidRPr="0040067B">
        <w:rPr>
          <w:rFonts w:ascii="Arial" w:hAnsi="Arial" w:cs="Arial"/>
          <w:sz w:val="22"/>
          <w:szCs w:val="22"/>
        </w:rPr>
        <w:t>Mangel</w:t>
      </w:r>
      <w:proofErr w:type="spellEnd"/>
      <w:r w:rsidRPr="0040067B">
        <w:rPr>
          <w:rFonts w:ascii="Arial" w:hAnsi="Arial" w:cs="Arial"/>
          <w:sz w:val="22"/>
          <w:szCs w:val="22"/>
        </w:rPr>
        <w:t>, J. C., Alfaro-</w:t>
      </w:r>
      <w:proofErr w:type="spellStart"/>
      <w:r w:rsidRPr="0040067B">
        <w:rPr>
          <w:rFonts w:ascii="Arial" w:hAnsi="Arial" w:cs="Arial"/>
          <w:sz w:val="22"/>
          <w:szCs w:val="22"/>
        </w:rPr>
        <w:t>Shigueto</w:t>
      </w:r>
      <w:proofErr w:type="spellEnd"/>
      <w:r w:rsidRPr="0040067B">
        <w:rPr>
          <w:rFonts w:ascii="Arial" w:hAnsi="Arial" w:cs="Arial"/>
          <w:sz w:val="22"/>
          <w:szCs w:val="22"/>
        </w:rPr>
        <w:t xml:space="preserve">, J., Van </w:t>
      </w:r>
      <w:proofErr w:type="spellStart"/>
      <w:r w:rsidRPr="0040067B">
        <w:rPr>
          <w:rFonts w:ascii="Arial" w:hAnsi="Arial" w:cs="Arial"/>
          <w:sz w:val="22"/>
          <w:szCs w:val="22"/>
        </w:rPr>
        <w:t>Waerebeek</w:t>
      </w:r>
      <w:proofErr w:type="spellEnd"/>
      <w:r w:rsidRPr="0040067B">
        <w:rPr>
          <w:rFonts w:ascii="Arial" w:hAnsi="Arial" w:cs="Arial"/>
          <w:sz w:val="22"/>
          <w:szCs w:val="22"/>
        </w:rPr>
        <w:t xml:space="preserve">, K., </w:t>
      </w:r>
      <w:proofErr w:type="spellStart"/>
      <w:r w:rsidRPr="0040067B">
        <w:rPr>
          <w:rFonts w:ascii="Arial" w:hAnsi="Arial" w:cs="Arial"/>
          <w:sz w:val="22"/>
          <w:szCs w:val="22"/>
        </w:rPr>
        <w:t>Cáceres</w:t>
      </w:r>
      <w:proofErr w:type="spellEnd"/>
      <w:r w:rsidRPr="0040067B">
        <w:rPr>
          <w:rFonts w:ascii="Arial" w:hAnsi="Arial" w:cs="Arial"/>
          <w:sz w:val="22"/>
          <w:szCs w:val="22"/>
        </w:rPr>
        <w:t xml:space="preserve">, C., </w:t>
      </w:r>
      <w:proofErr w:type="spellStart"/>
      <w:r w:rsidRPr="0040067B">
        <w:rPr>
          <w:rFonts w:ascii="Arial" w:hAnsi="Arial" w:cs="Arial"/>
          <w:sz w:val="22"/>
          <w:szCs w:val="22"/>
        </w:rPr>
        <w:t>Bearhop</w:t>
      </w:r>
      <w:proofErr w:type="spellEnd"/>
      <w:r w:rsidRPr="0040067B">
        <w:rPr>
          <w:rFonts w:ascii="Arial" w:hAnsi="Arial" w:cs="Arial"/>
          <w:sz w:val="22"/>
          <w:szCs w:val="22"/>
        </w:rPr>
        <w:t xml:space="preserve">, S., Witt, M. J., &amp; Godley, B. J. (2010). Small cetacean captures in Peruvian artisanal fisheries: high despite protective legislation. </w:t>
      </w:r>
      <w:r w:rsidRPr="0040067B">
        <w:rPr>
          <w:rFonts w:ascii="Arial" w:hAnsi="Arial" w:cs="Arial"/>
          <w:i/>
          <w:iCs/>
          <w:sz w:val="22"/>
          <w:szCs w:val="22"/>
        </w:rPr>
        <w:t>Biological Conservation</w:t>
      </w:r>
      <w:r w:rsidRPr="0040067B">
        <w:rPr>
          <w:rFonts w:ascii="Arial" w:hAnsi="Arial" w:cs="Arial"/>
          <w:sz w:val="22"/>
          <w:szCs w:val="22"/>
        </w:rPr>
        <w:t xml:space="preserve">, </w:t>
      </w:r>
      <w:r w:rsidRPr="0040067B">
        <w:rPr>
          <w:rFonts w:ascii="Arial" w:hAnsi="Arial" w:cs="Arial"/>
          <w:i/>
          <w:iCs/>
          <w:sz w:val="22"/>
          <w:szCs w:val="22"/>
        </w:rPr>
        <w:t>143</w:t>
      </w:r>
      <w:r w:rsidRPr="0040067B">
        <w:rPr>
          <w:rFonts w:ascii="Arial" w:hAnsi="Arial" w:cs="Arial"/>
          <w:sz w:val="22"/>
          <w:szCs w:val="22"/>
        </w:rPr>
        <w:t>(1), 136-143</w:t>
      </w:r>
    </w:p>
    <w:p w:rsidR="00500220" w:rsidRPr="0040067B" w:rsidRDefault="00500220" w:rsidP="0040067B">
      <w:pPr>
        <w:pStyle w:val="ListParagraph"/>
        <w:widowControl w:val="0"/>
        <w:numPr>
          <w:ilvl w:val="0"/>
          <w:numId w:val="4"/>
        </w:numPr>
        <w:suppressAutoHyphens/>
        <w:autoSpaceDE w:val="0"/>
        <w:autoSpaceDN w:val="0"/>
        <w:adjustRightInd w:val="0"/>
        <w:ind w:left="426"/>
        <w:jc w:val="both"/>
        <w:textAlignment w:val="baseline"/>
        <w:rPr>
          <w:rFonts w:ascii="Arial" w:hAnsi="Arial" w:cs="Arial"/>
          <w:sz w:val="22"/>
          <w:szCs w:val="22"/>
        </w:rPr>
      </w:pPr>
      <w:proofErr w:type="spellStart"/>
      <w:r w:rsidRPr="0040067B">
        <w:rPr>
          <w:rFonts w:ascii="Arial" w:hAnsi="Arial" w:cs="Arial"/>
          <w:sz w:val="22"/>
          <w:szCs w:val="22"/>
        </w:rPr>
        <w:t>Mayaka</w:t>
      </w:r>
      <w:proofErr w:type="spellEnd"/>
      <w:r w:rsidRPr="0040067B">
        <w:rPr>
          <w:rFonts w:ascii="Arial" w:hAnsi="Arial" w:cs="Arial"/>
          <w:sz w:val="22"/>
          <w:szCs w:val="22"/>
        </w:rPr>
        <w:t xml:space="preserve">, T.B., </w:t>
      </w:r>
      <w:proofErr w:type="spellStart"/>
      <w:r w:rsidRPr="0040067B">
        <w:rPr>
          <w:rFonts w:ascii="Arial" w:hAnsi="Arial" w:cs="Arial"/>
          <w:sz w:val="22"/>
          <w:szCs w:val="22"/>
        </w:rPr>
        <w:t>Takoukam</w:t>
      </w:r>
      <w:proofErr w:type="spellEnd"/>
      <w:r w:rsidRPr="0040067B">
        <w:rPr>
          <w:rFonts w:ascii="Arial" w:hAnsi="Arial" w:cs="Arial"/>
          <w:sz w:val="22"/>
          <w:szCs w:val="22"/>
        </w:rPr>
        <w:t xml:space="preserve"> A.K., &amp; Self-Sullivan, C. (2015). Using Pooled Local Expert Opinions (PLEO) to Discern Patterns in Sightings of Live and Dead Manatees (</w:t>
      </w:r>
      <w:r w:rsidRPr="0040067B">
        <w:rPr>
          <w:rFonts w:ascii="Arial" w:hAnsi="Arial" w:cs="Arial"/>
          <w:i/>
          <w:iCs/>
          <w:sz w:val="22"/>
          <w:szCs w:val="22"/>
        </w:rPr>
        <w:t>Trichechus senegalensis</w:t>
      </w:r>
      <w:r w:rsidRPr="0040067B">
        <w:rPr>
          <w:rFonts w:ascii="Arial" w:hAnsi="Arial" w:cs="Arial"/>
          <w:sz w:val="22"/>
          <w:szCs w:val="22"/>
        </w:rPr>
        <w:t xml:space="preserve">, Link 1785) in Lower </w:t>
      </w:r>
      <w:proofErr w:type="spellStart"/>
      <w:r w:rsidRPr="0040067B">
        <w:rPr>
          <w:rFonts w:ascii="Arial" w:hAnsi="Arial" w:cs="Arial"/>
          <w:sz w:val="22"/>
          <w:szCs w:val="22"/>
        </w:rPr>
        <w:t>Sanaga</w:t>
      </w:r>
      <w:proofErr w:type="spellEnd"/>
      <w:r w:rsidRPr="0040067B">
        <w:rPr>
          <w:rFonts w:ascii="Arial" w:hAnsi="Arial" w:cs="Arial"/>
          <w:sz w:val="22"/>
          <w:szCs w:val="22"/>
        </w:rPr>
        <w:t xml:space="preserve"> Basin, Cameroon. </w:t>
      </w:r>
      <w:proofErr w:type="spellStart"/>
      <w:r w:rsidRPr="0040067B">
        <w:rPr>
          <w:rFonts w:ascii="Arial" w:hAnsi="Arial" w:cs="Arial"/>
          <w:i/>
          <w:iCs/>
          <w:sz w:val="22"/>
          <w:szCs w:val="22"/>
        </w:rPr>
        <w:t>PLoS</w:t>
      </w:r>
      <w:proofErr w:type="spellEnd"/>
      <w:r w:rsidRPr="0040067B">
        <w:rPr>
          <w:rFonts w:ascii="Arial" w:hAnsi="Arial" w:cs="Arial"/>
          <w:i/>
          <w:iCs/>
          <w:sz w:val="22"/>
          <w:szCs w:val="22"/>
        </w:rPr>
        <w:t xml:space="preserve"> One</w:t>
      </w:r>
      <w:r w:rsidRPr="0040067B">
        <w:rPr>
          <w:rFonts w:ascii="Arial" w:hAnsi="Arial" w:cs="Arial"/>
          <w:sz w:val="22"/>
          <w:szCs w:val="22"/>
        </w:rPr>
        <w:t xml:space="preserve"> 10(7): e0128579. doi:10.1371/journal.pone.0128579</w:t>
      </w:r>
    </w:p>
    <w:p w:rsidR="00500220" w:rsidRPr="0040067B" w:rsidRDefault="00500220" w:rsidP="0040067B">
      <w:pPr>
        <w:pStyle w:val="ListParagraph"/>
        <w:widowControl w:val="0"/>
        <w:numPr>
          <w:ilvl w:val="0"/>
          <w:numId w:val="4"/>
        </w:numPr>
        <w:suppressAutoHyphens/>
        <w:autoSpaceDE w:val="0"/>
        <w:autoSpaceDN w:val="0"/>
        <w:adjustRightInd w:val="0"/>
        <w:ind w:left="426"/>
        <w:jc w:val="both"/>
        <w:textAlignment w:val="baseline"/>
        <w:rPr>
          <w:rFonts w:ascii="Arial" w:hAnsi="Arial" w:cs="Arial"/>
          <w:sz w:val="22"/>
          <w:szCs w:val="22"/>
          <w:lang w:val="en-US"/>
        </w:rPr>
      </w:pPr>
      <w:r w:rsidRPr="0040067B">
        <w:rPr>
          <w:rFonts w:ascii="Arial" w:hAnsi="Arial" w:cs="Arial"/>
          <w:sz w:val="22"/>
          <w:szCs w:val="22"/>
          <w:lang w:val="de-DE"/>
        </w:rPr>
        <w:t xml:space="preserve">Milner-Gulland, E. J., and E. L. Bennett. </w:t>
      </w:r>
      <w:r w:rsidRPr="0040067B">
        <w:rPr>
          <w:rFonts w:ascii="Arial" w:hAnsi="Arial" w:cs="Arial"/>
          <w:sz w:val="22"/>
          <w:szCs w:val="22"/>
        </w:rPr>
        <w:t xml:space="preserve">2003. Wild meat: the bigger picture. </w:t>
      </w:r>
      <w:r w:rsidRPr="0040067B">
        <w:rPr>
          <w:rFonts w:ascii="Arial" w:hAnsi="Arial" w:cs="Arial"/>
          <w:sz w:val="22"/>
          <w:szCs w:val="22"/>
          <w:lang w:val="en-US"/>
        </w:rPr>
        <w:t xml:space="preserve">Trends Ecol. </w:t>
      </w:r>
      <w:proofErr w:type="spellStart"/>
      <w:r w:rsidRPr="0040067B">
        <w:rPr>
          <w:rFonts w:ascii="Arial" w:hAnsi="Arial" w:cs="Arial"/>
          <w:sz w:val="22"/>
          <w:szCs w:val="22"/>
          <w:lang w:val="en-US"/>
        </w:rPr>
        <w:t>Evol</w:t>
      </w:r>
      <w:proofErr w:type="spellEnd"/>
      <w:r w:rsidRPr="0040067B">
        <w:rPr>
          <w:rFonts w:ascii="Arial" w:hAnsi="Arial" w:cs="Arial"/>
          <w:sz w:val="22"/>
          <w:szCs w:val="22"/>
          <w:lang w:val="en-US"/>
        </w:rPr>
        <w:t>. 18:351–357.</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proofErr w:type="spellStart"/>
      <w:r w:rsidRPr="0040067B">
        <w:rPr>
          <w:rFonts w:ascii="Arial" w:hAnsi="Arial" w:cs="Arial"/>
          <w:sz w:val="22"/>
          <w:szCs w:val="22"/>
        </w:rPr>
        <w:t>Panayotou</w:t>
      </w:r>
      <w:proofErr w:type="spellEnd"/>
      <w:r w:rsidRPr="0040067B">
        <w:rPr>
          <w:rFonts w:ascii="Arial" w:hAnsi="Arial" w:cs="Arial"/>
          <w:sz w:val="22"/>
          <w:szCs w:val="22"/>
        </w:rPr>
        <w:t>, T. (1982) Management concepts for small-scale fisheries: economic and social aspects. Rome, Italy: Food and Agriculture Organization.</w:t>
      </w:r>
    </w:p>
    <w:p w:rsidR="00500220"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Pauly, D. (2006) Major trends in small-scale marine fisheries, with emphasis on developing countries, and some implications for the social sciences. Maritime Studies 4: 7–22</w:t>
      </w:r>
    </w:p>
    <w:p w:rsidR="0040067B" w:rsidRDefault="0040067B" w:rsidP="0040067B">
      <w:pPr>
        <w:pStyle w:val="ListParagraph"/>
        <w:widowControl w:val="0"/>
        <w:suppressAutoHyphens/>
        <w:autoSpaceDE w:val="0"/>
        <w:autoSpaceDN w:val="0"/>
        <w:ind w:left="426"/>
        <w:jc w:val="both"/>
        <w:textAlignment w:val="baseline"/>
        <w:rPr>
          <w:rFonts w:ascii="Arial" w:hAnsi="Arial" w:cs="Arial"/>
          <w:sz w:val="22"/>
          <w:szCs w:val="22"/>
        </w:rPr>
      </w:pPr>
    </w:p>
    <w:p w:rsidR="0040067B" w:rsidRDefault="0040067B" w:rsidP="0040067B">
      <w:pPr>
        <w:pStyle w:val="ListParagraph"/>
        <w:widowControl w:val="0"/>
        <w:suppressAutoHyphens/>
        <w:autoSpaceDE w:val="0"/>
        <w:autoSpaceDN w:val="0"/>
        <w:ind w:left="426"/>
        <w:jc w:val="both"/>
        <w:textAlignment w:val="baseline"/>
        <w:rPr>
          <w:rFonts w:ascii="Arial" w:hAnsi="Arial" w:cs="Arial"/>
          <w:sz w:val="22"/>
          <w:szCs w:val="22"/>
        </w:rPr>
      </w:pPr>
    </w:p>
    <w:p w:rsidR="0040067B" w:rsidRPr="0040067B" w:rsidRDefault="0040067B" w:rsidP="0040067B">
      <w:pPr>
        <w:pStyle w:val="ListParagraph"/>
        <w:widowControl w:val="0"/>
        <w:suppressAutoHyphens/>
        <w:autoSpaceDE w:val="0"/>
        <w:autoSpaceDN w:val="0"/>
        <w:ind w:left="426"/>
        <w:jc w:val="both"/>
        <w:textAlignment w:val="baseline"/>
        <w:rPr>
          <w:rFonts w:ascii="Arial" w:hAnsi="Arial" w:cs="Arial"/>
          <w:sz w:val="22"/>
          <w:szCs w:val="22"/>
        </w:rPr>
      </w:pP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lastRenderedPageBreak/>
        <w:t xml:space="preserve">Peckham, S. H., Diaz, D. M., </w:t>
      </w:r>
      <w:proofErr w:type="spellStart"/>
      <w:r w:rsidRPr="0040067B">
        <w:rPr>
          <w:rFonts w:ascii="Arial" w:hAnsi="Arial" w:cs="Arial"/>
          <w:sz w:val="22"/>
          <w:szCs w:val="22"/>
        </w:rPr>
        <w:t>Walli</w:t>
      </w:r>
      <w:proofErr w:type="spellEnd"/>
      <w:r w:rsidRPr="0040067B">
        <w:rPr>
          <w:rFonts w:ascii="Arial" w:hAnsi="Arial" w:cs="Arial"/>
          <w:sz w:val="22"/>
          <w:szCs w:val="22"/>
        </w:rPr>
        <w:t xml:space="preserve">, A., Ruiz, G., Crowder, L. B., &amp; Nichols, W. J. (2007). Small-scale fisheries bycatch jeopardizes endangered Pacific loggerhead turtles. </w:t>
      </w:r>
      <w:proofErr w:type="spellStart"/>
      <w:r w:rsidRPr="0040067B">
        <w:rPr>
          <w:rFonts w:ascii="Arial" w:hAnsi="Arial" w:cs="Arial"/>
          <w:i/>
          <w:iCs/>
          <w:sz w:val="22"/>
          <w:szCs w:val="22"/>
        </w:rPr>
        <w:t>PloS</w:t>
      </w:r>
      <w:proofErr w:type="spellEnd"/>
      <w:r w:rsidRPr="0040067B">
        <w:rPr>
          <w:rFonts w:ascii="Arial" w:hAnsi="Arial" w:cs="Arial"/>
          <w:i/>
          <w:iCs/>
          <w:sz w:val="22"/>
          <w:szCs w:val="22"/>
        </w:rPr>
        <w:t xml:space="preserve"> one</w:t>
      </w:r>
      <w:r w:rsidRPr="0040067B">
        <w:rPr>
          <w:rFonts w:ascii="Arial" w:hAnsi="Arial" w:cs="Arial"/>
          <w:sz w:val="22"/>
          <w:szCs w:val="22"/>
        </w:rPr>
        <w:t xml:space="preserve">, </w:t>
      </w:r>
      <w:r w:rsidRPr="0040067B">
        <w:rPr>
          <w:rFonts w:ascii="Arial" w:hAnsi="Arial" w:cs="Arial"/>
          <w:i/>
          <w:iCs/>
          <w:sz w:val="22"/>
          <w:szCs w:val="22"/>
        </w:rPr>
        <w:t>2</w:t>
      </w:r>
      <w:r w:rsidRPr="0040067B">
        <w:rPr>
          <w:rFonts w:ascii="Arial" w:hAnsi="Arial" w:cs="Arial"/>
          <w:sz w:val="22"/>
          <w:szCs w:val="22"/>
        </w:rPr>
        <w:t>(10), e1041.</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Phillips, R.A., Gales, R., Baker, G.B., Double, M.C., </w:t>
      </w:r>
      <w:proofErr w:type="spellStart"/>
      <w:r w:rsidRPr="0040067B">
        <w:rPr>
          <w:rFonts w:ascii="Arial" w:hAnsi="Arial" w:cs="Arial"/>
          <w:sz w:val="22"/>
          <w:szCs w:val="22"/>
        </w:rPr>
        <w:t>Favero</w:t>
      </w:r>
      <w:proofErr w:type="spellEnd"/>
      <w:r w:rsidRPr="0040067B">
        <w:rPr>
          <w:rFonts w:ascii="Arial" w:hAnsi="Arial" w:cs="Arial"/>
          <w:sz w:val="22"/>
          <w:szCs w:val="22"/>
        </w:rPr>
        <w:t xml:space="preserve">, M., Quintana, F., Tasker, M.L., </w:t>
      </w:r>
      <w:proofErr w:type="spellStart"/>
      <w:r w:rsidRPr="0040067B">
        <w:rPr>
          <w:rFonts w:ascii="Arial" w:hAnsi="Arial" w:cs="Arial"/>
          <w:sz w:val="22"/>
          <w:szCs w:val="22"/>
        </w:rPr>
        <w:t>Weimerskirch</w:t>
      </w:r>
      <w:proofErr w:type="spellEnd"/>
      <w:r w:rsidRPr="0040067B">
        <w:rPr>
          <w:rFonts w:ascii="Arial" w:hAnsi="Arial" w:cs="Arial"/>
          <w:sz w:val="22"/>
          <w:szCs w:val="22"/>
        </w:rPr>
        <w:t xml:space="preserve">, H., </w:t>
      </w:r>
      <w:proofErr w:type="spellStart"/>
      <w:r w:rsidRPr="0040067B">
        <w:rPr>
          <w:rFonts w:ascii="Arial" w:hAnsi="Arial" w:cs="Arial"/>
          <w:sz w:val="22"/>
          <w:szCs w:val="22"/>
        </w:rPr>
        <w:t>Uhart</w:t>
      </w:r>
      <w:proofErr w:type="spellEnd"/>
      <w:r w:rsidRPr="0040067B">
        <w:rPr>
          <w:rFonts w:ascii="Arial" w:hAnsi="Arial" w:cs="Arial"/>
          <w:sz w:val="22"/>
          <w:szCs w:val="22"/>
        </w:rPr>
        <w:t xml:space="preserve">, M., and </w:t>
      </w:r>
      <w:proofErr w:type="spellStart"/>
      <w:r w:rsidRPr="0040067B">
        <w:rPr>
          <w:rFonts w:ascii="Arial" w:hAnsi="Arial" w:cs="Arial"/>
          <w:sz w:val="22"/>
          <w:szCs w:val="22"/>
        </w:rPr>
        <w:t>Wolfaardt</w:t>
      </w:r>
      <w:proofErr w:type="spellEnd"/>
      <w:r w:rsidRPr="0040067B">
        <w:rPr>
          <w:rFonts w:ascii="Arial" w:hAnsi="Arial" w:cs="Arial"/>
          <w:sz w:val="22"/>
          <w:szCs w:val="22"/>
        </w:rPr>
        <w:t>, A. 2016. A global assessment of the conservation status, threats and priorities for albatrosses and large petrels. Biological Conservation 201, 169-183.</w:t>
      </w:r>
    </w:p>
    <w:p w:rsidR="00500220" w:rsidRPr="0040067B" w:rsidRDefault="00500220" w:rsidP="0040067B">
      <w:pPr>
        <w:pStyle w:val="ListParagraph"/>
        <w:widowControl w:val="0"/>
        <w:numPr>
          <w:ilvl w:val="0"/>
          <w:numId w:val="4"/>
        </w:numPr>
        <w:suppressAutoHyphens/>
        <w:autoSpaceDE w:val="0"/>
        <w:autoSpaceDN w:val="0"/>
        <w:adjustRightInd w:val="0"/>
        <w:ind w:left="426"/>
        <w:jc w:val="both"/>
        <w:textAlignment w:val="baseline"/>
        <w:rPr>
          <w:rFonts w:ascii="Arial" w:hAnsi="Arial" w:cs="Arial"/>
          <w:sz w:val="22"/>
          <w:szCs w:val="22"/>
        </w:rPr>
      </w:pPr>
      <w:r w:rsidRPr="0040067B">
        <w:rPr>
          <w:rFonts w:ascii="Arial" w:hAnsi="Arial" w:cs="Arial"/>
          <w:sz w:val="22"/>
          <w:szCs w:val="22"/>
        </w:rPr>
        <w:t xml:space="preserve">Raby, G.D., </w:t>
      </w:r>
      <w:proofErr w:type="spellStart"/>
      <w:r w:rsidRPr="0040067B">
        <w:rPr>
          <w:rFonts w:ascii="Arial" w:hAnsi="Arial" w:cs="Arial"/>
          <w:sz w:val="22"/>
          <w:szCs w:val="22"/>
        </w:rPr>
        <w:t>Colotelo</w:t>
      </w:r>
      <w:proofErr w:type="spellEnd"/>
      <w:r w:rsidRPr="0040067B">
        <w:rPr>
          <w:rFonts w:ascii="Arial" w:hAnsi="Arial" w:cs="Arial"/>
          <w:sz w:val="22"/>
          <w:szCs w:val="22"/>
        </w:rPr>
        <w:t xml:space="preserve">, A.H., Blouin-Demers, G., &amp; Cooke, S.J. (2011). Freshwater Commercial Bycatch: An Understated Conservation Problem. </w:t>
      </w:r>
      <w:proofErr w:type="spellStart"/>
      <w:r w:rsidRPr="0040067B">
        <w:rPr>
          <w:rFonts w:ascii="Arial" w:hAnsi="Arial" w:cs="Arial"/>
          <w:i/>
          <w:iCs/>
          <w:sz w:val="22"/>
          <w:szCs w:val="22"/>
        </w:rPr>
        <w:t>BioScience</w:t>
      </w:r>
      <w:proofErr w:type="spellEnd"/>
      <w:r w:rsidRPr="0040067B">
        <w:rPr>
          <w:rFonts w:ascii="Arial" w:hAnsi="Arial" w:cs="Arial"/>
          <w:i/>
          <w:iCs/>
          <w:sz w:val="22"/>
          <w:szCs w:val="22"/>
        </w:rPr>
        <w:t xml:space="preserve"> </w:t>
      </w:r>
      <w:r w:rsidRPr="0040067B">
        <w:rPr>
          <w:rFonts w:ascii="Arial" w:hAnsi="Arial" w:cs="Arial"/>
          <w:sz w:val="22"/>
          <w:szCs w:val="22"/>
        </w:rPr>
        <w:t>61: 271–280.</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Read, A. J., Drinker, P., &amp; Northridge, S. (2006). Bycatch of marine mammals in US and global fisheries. </w:t>
      </w:r>
      <w:r w:rsidRPr="0040067B">
        <w:rPr>
          <w:rFonts w:ascii="Arial" w:hAnsi="Arial" w:cs="Arial"/>
          <w:i/>
          <w:iCs/>
          <w:sz w:val="22"/>
          <w:szCs w:val="22"/>
        </w:rPr>
        <w:t>Conservation biology</w:t>
      </w:r>
      <w:r w:rsidRPr="0040067B">
        <w:rPr>
          <w:rFonts w:ascii="Arial" w:hAnsi="Arial" w:cs="Arial"/>
          <w:sz w:val="22"/>
          <w:szCs w:val="22"/>
        </w:rPr>
        <w:t xml:space="preserve">, </w:t>
      </w:r>
      <w:r w:rsidRPr="0040067B">
        <w:rPr>
          <w:rFonts w:ascii="Arial" w:hAnsi="Arial" w:cs="Arial"/>
          <w:i/>
          <w:iCs/>
          <w:sz w:val="22"/>
          <w:szCs w:val="22"/>
        </w:rPr>
        <w:t>20</w:t>
      </w:r>
      <w:r w:rsidRPr="0040067B">
        <w:rPr>
          <w:rFonts w:ascii="Arial" w:hAnsi="Arial" w:cs="Arial"/>
          <w:sz w:val="22"/>
          <w:szCs w:val="22"/>
        </w:rPr>
        <w:t>(1), 163-169.</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Robards, M.D. and Reeves, R.R., 2011. The global extent and character of marine mammal consumption by humans: 1970–2009. </w:t>
      </w:r>
      <w:r w:rsidRPr="0040067B">
        <w:rPr>
          <w:rFonts w:ascii="Arial" w:hAnsi="Arial" w:cs="Arial"/>
          <w:i/>
          <w:iCs/>
          <w:sz w:val="22"/>
          <w:szCs w:val="22"/>
        </w:rPr>
        <w:t>Biological Conservation</w:t>
      </w:r>
      <w:r w:rsidRPr="0040067B">
        <w:rPr>
          <w:rFonts w:ascii="Arial" w:hAnsi="Arial" w:cs="Arial"/>
          <w:sz w:val="22"/>
          <w:szCs w:val="22"/>
        </w:rPr>
        <w:t>, 144(12), pp.2770-2786.</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Temple, A. J., </w:t>
      </w:r>
      <w:proofErr w:type="spellStart"/>
      <w:r w:rsidRPr="0040067B">
        <w:rPr>
          <w:rFonts w:ascii="Arial" w:hAnsi="Arial" w:cs="Arial"/>
          <w:sz w:val="22"/>
          <w:szCs w:val="22"/>
        </w:rPr>
        <w:t>Kiszka</w:t>
      </w:r>
      <w:proofErr w:type="spellEnd"/>
      <w:r w:rsidRPr="0040067B">
        <w:rPr>
          <w:rFonts w:ascii="Arial" w:hAnsi="Arial" w:cs="Arial"/>
          <w:sz w:val="22"/>
          <w:szCs w:val="22"/>
        </w:rPr>
        <w:t xml:space="preserve">, J. J., Stead, S. M., </w:t>
      </w:r>
      <w:proofErr w:type="spellStart"/>
      <w:r w:rsidRPr="0040067B">
        <w:rPr>
          <w:rFonts w:ascii="Arial" w:hAnsi="Arial" w:cs="Arial"/>
          <w:sz w:val="22"/>
          <w:szCs w:val="22"/>
        </w:rPr>
        <w:t>Wambiji</w:t>
      </w:r>
      <w:proofErr w:type="spellEnd"/>
      <w:r w:rsidRPr="0040067B">
        <w:rPr>
          <w:rFonts w:ascii="Arial" w:hAnsi="Arial" w:cs="Arial"/>
          <w:sz w:val="22"/>
          <w:szCs w:val="22"/>
        </w:rPr>
        <w:t xml:space="preserve">, N., Brito, A., </w:t>
      </w:r>
      <w:proofErr w:type="spellStart"/>
      <w:r w:rsidRPr="0040067B">
        <w:rPr>
          <w:rFonts w:ascii="Arial" w:hAnsi="Arial" w:cs="Arial"/>
          <w:sz w:val="22"/>
          <w:szCs w:val="22"/>
        </w:rPr>
        <w:t>Poonian</w:t>
      </w:r>
      <w:proofErr w:type="spellEnd"/>
      <w:r w:rsidRPr="0040067B">
        <w:rPr>
          <w:rFonts w:ascii="Arial" w:hAnsi="Arial" w:cs="Arial"/>
          <w:sz w:val="22"/>
          <w:szCs w:val="22"/>
        </w:rPr>
        <w:t xml:space="preserve">, C. N., . &amp; Berggren, P. (2018). Marine megafauna interactions with small-scale fisheries in the southwestern Indian Ocean: a review of status and challenges for research and management. </w:t>
      </w:r>
      <w:r w:rsidRPr="0040067B">
        <w:rPr>
          <w:rFonts w:ascii="Arial" w:hAnsi="Arial" w:cs="Arial"/>
          <w:i/>
          <w:iCs/>
          <w:sz w:val="22"/>
          <w:szCs w:val="22"/>
        </w:rPr>
        <w:t>Reviews in fish biology and fisheries</w:t>
      </w:r>
      <w:r w:rsidRPr="0040067B">
        <w:rPr>
          <w:rFonts w:ascii="Arial" w:hAnsi="Arial" w:cs="Arial"/>
          <w:sz w:val="22"/>
          <w:szCs w:val="22"/>
        </w:rPr>
        <w:t xml:space="preserve">, </w:t>
      </w:r>
      <w:r w:rsidRPr="0040067B">
        <w:rPr>
          <w:rFonts w:ascii="Arial" w:hAnsi="Arial" w:cs="Arial"/>
          <w:i/>
          <w:iCs/>
          <w:sz w:val="22"/>
          <w:szCs w:val="22"/>
        </w:rPr>
        <w:t>28</w:t>
      </w:r>
      <w:r w:rsidRPr="0040067B">
        <w:rPr>
          <w:rFonts w:ascii="Arial" w:hAnsi="Arial" w:cs="Arial"/>
          <w:sz w:val="22"/>
          <w:szCs w:val="22"/>
        </w:rPr>
        <w:t>(1), 89-115.</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rPr>
      </w:pPr>
      <w:r w:rsidRPr="0040067B">
        <w:rPr>
          <w:rFonts w:ascii="Arial" w:hAnsi="Arial" w:cs="Arial"/>
          <w:sz w:val="22"/>
          <w:szCs w:val="22"/>
        </w:rPr>
        <w:t xml:space="preserve">US Commission on Ocean Policy. "An ocean blueprint for the 21st century." (2004): 40.White, W. T., Giles, J., </w:t>
      </w:r>
      <w:proofErr w:type="spellStart"/>
      <w:r w:rsidRPr="0040067B">
        <w:rPr>
          <w:rFonts w:ascii="Arial" w:hAnsi="Arial" w:cs="Arial"/>
          <w:sz w:val="22"/>
          <w:szCs w:val="22"/>
        </w:rPr>
        <w:t>Dharmadi</w:t>
      </w:r>
      <w:proofErr w:type="spellEnd"/>
      <w:r w:rsidRPr="0040067B">
        <w:rPr>
          <w:rFonts w:ascii="Arial" w:hAnsi="Arial" w:cs="Arial"/>
          <w:sz w:val="22"/>
          <w:szCs w:val="22"/>
        </w:rPr>
        <w:t xml:space="preserve"> &amp; Potter, I. C. </w:t>
      </w:r>
      <w:r w:rsidRPr="0040067B">
        <w:rPr>
          <w:rStyle w:val="HTMLCite"/>
          <w:rFonts w:ascii="Arial" w:hAnsi="Arial" w:cs="Arial"/>
          <w:sz w:val="22"/>
          <w:szCs w:val="22"/>
        </w:rPr>
        <w:t xml:space="preserve">Data on the bycatch fishery and reproductive biology of </w:t>
      </w:r>
      <w:proofErr w:type="spellStart"/>
      <w:r w:rsidRPr="0040067B">
        <w:rPr>
          <w:rStyle w:val="HTMLCite"/>
          <w:rFonts w:ascii="Arial" w:hAnsi="Arial" w:cs="Arial"/>
          <w:sz w:val="22"/>
          <w:szCs w:val="22"/>
        </w:rPr>
        <w:t>mobulid</w:t>
      </w:r>
      <w:proofErr w:type="spellEnd"/>
      <w:r w:rsidRPr="0040067B">
        <w:rPr>
          <w:rStyle w:val="HTMLCite"/>
          <w:rFonts w:ascii="Arial" w:hAnsi="Arial" w:cs="Arial"/>
          <w:sz w:val="22"/>
          <w:szCs w:val="22"/>
        </w:rPr>
        <w:t xml:space="preserve"> rays (</w:t>
      </w:r>
      <w:proofErr w:type="spellStart"/>
      <w:r w:rsidRPr="0040067B">
        <w:rPr>
          <w:rStyle w:val="HTMLCite"/>
          <w:rFonts w:ascii="Arial" w:hAnsi="Arial" w:cs="Arial"/>
          <w:sz w:val="22"/>
          <w:szCs w:val="22"/>
        </w:rPr>
        <w:t>Myliobatiformes</w:t>
      </w:r>
      <w:proofErr w:type="spellEnd"/>
      <w:r w:rsidRPr="0040067B">
        <w:rPr>
          <w:rStyle w:val="HTMLCite"/>
          <w:rFonts w:ascii="Arial" w:hAnsi="Arial" w:cs="Arial"/>
          <w:sz w:val="22"/>
          <w:szCs w:val="22"/>
        </w:rPr>
        <w:t>) in Indonesia</w:t>
      </w:r>
      <w:r w:rsidRPr="0040067B">
        <w:rPr>
          <w:rFonts w:ascii="Arial" w:hAnsi="Arial" w:cs="Arial"/>
          <w:sz w:val="22"/>
          <w:szCs w:val="22"/>
        </w:rPr>
        <w:t xml:space="preserve">. </w:t>
      </w:r>
      <w:r w:rsidRPr="0040067B">
        <w:rPr>
          <w:rFonts w:ascii="Arial" w:hAnsi="Arial" w:cs="Arial"/>
          <w:i/>
          <w:iCs/>
          <w:sz w:val="22"/>
          <w:szCs w:val="22"/>
        </w:rPr>
        <w:t>Fish. Res.</w:t>
      </w:r>
      <w:r w:rsidRPr="0040067B">
        <w:rPr>
          <w:rFonts w:ascii="Arial" w:hAnsi="Arial" w:cs="Arial"/>
          <w:sz w:val="22"/>
          <w:szCs w:val="22"/>
        </w:rPr>
        <w:t xml:space="preserve"> </w:t>
      </w:r>
      <w:r w:rsidRPr="0040067B">
        <w:rPr>
          <w:rFonts w:ascii="Arial" w:hAnsi="Arial" w:cs="Arial"/>
          <w:b/>
          <w:bCs/>
          <w:sz w:val="22"/>
          <w:szCs w:val="22"/>
        </w:rPr>
        <w:t>82</w:t>
      </w:r>
      <w:r w:rsidRPr="0040067B">
        <w:rPr>
          <w:rFonts w:ascii="Arial" w:hAnsi="Arial" w:cs="Arial"/>
          <w:sz w:val="22"/>
          <w:szCs w:val="22"/>
        </w:rPr>
        <w:t>, 65–73 (2006)</w:t>
      </w:r>
    </w:p>
    <w:p w:rsidR="00500220" w:rsidRPr="0040067B" w:rsidRDefault="00500220" w:rsidP="0040067B">
      <w:pPr>
        <w:pStyle w:val="ListParagraph"/>
        <w:widowControl w:val="0"/>
        <w:numPr>
          <w:ilvl w:val="0"/>
          <w:numId w:val="4"/>
        </w:numPr>
        <w:suppressAutoHyphens/>
        <w:autoSpaceDE w:val="0"/>
        <w:autoSpaceDN w:val="0"/>
        <w:ind w:left="426"/>
        <w:jc w:val="both"/>
        <w:textAlignment w:val="baseline"/>
        <w:rPr>
          <w:rFonts w:ascii="Arial" w:hAnsi="Arial" w:cs="Arial"/>
          <w:sz w:val="22"/>
          <w:szCs w:val="22"/>
          <w:lang w:val="en-US"/>
        </w:rPr>
      </w:pPr>
      <w:proofErr w:type="spellStart"/>
      <w:r w:rsidRPr="0040067B">
        <w:rPr>
          <w:rFonts w:ascii="Arial" w:hAnsi="Arial" w:cs="Arial"/>
          <w:sz w:val="22"/>
          <w:szCs w:val="22"/>
        </w:rPr>
        <w:t>Wilkie</w:t>
      </w:r>
      <w:proofErr w:type="spellEnd"/>
      <w:r w:rsidRPr="0040067B">
        <w:rPr>
          <w:rFonts w:ascii="Arial" w:hAnsi="Arial" w:cs="Arial"/>
          <w:sz w:val="22"/>
          <w:szCs w:val="22"/>
        </w:rPr>
        <w:t xml:space="preserve">, D. S., and J. F. Carpenter. 1999. Bushmeat hunting in the Congo Basin: an assessment of impacts and options for mitigation. </w:t>
      </w:r>
      <w:r w:rsidRPr="0040067B">
        <w:rPr>
          <w:rFonts w:ascii="Arial" w:hAnsi="Arial" w:cs="Arial"/>
          <w:sz w:val="22"/>
          <w:szCs w:val="22"/>
          <w:lang w:val="en-US"/>
        </w:rPr>
        <w:t xml:space="preserve">Biodiversity </w:t>
      </w:r>
      <w:proofErr w:type="spellStart"/>
      <w:r w:rsidRPr="0040067B">
        <w:rPr>
          <w:rFonts w:ascii="Arial" w:hAnsi="Arial" w:cs="Arial"/>
          <w:sz w:val="22"/>
          <w:szCs w:val="22"/>
          <w:lang w:val="en-US"/>
        </w:rPr>
        <w:t>Conserv</w:t>
      </w:r>
      <w:proofErr w:type="spellEnd"/>
      <w:r w:rsidRPr="0040067B">
        <w:rPr>
          <w:rFonts w:ascii="Arial" w:hAnsi="Arial" w:cs="Arial"/>
          <w:sz w:val="22"/>
          <w:szCs w:val="22"/>
          <w:lang w:val="en-US"/>
        </w:rPr>
        <w:t>. 8:927–955.</w:t>
      </w:r>
    </w:p>
    <w:p w:rsidR="00500220" w:rsidRPr="0040067B" w:rsidRDefault="00500220" w:rsidP="0040067B">
      <w:pPr>
        <w:ind w:left="426"/>
        <w:jc w:val="both"/>
        <w:rPr>
          <w:rFonts w:ascii="Arial" w:hAnsi="Arial" w:cs="Arial"/>
          <w:b/>
          <w:bCs/>
          <w:sz w:val="22"/>
          <w:szCs w:val="22"/>
        </w:rPr>
      </w:pPr>
    </w:p>
    <w:p w:rsidR="00E47B71" w:rsidRPr="0040067B" w:rsidRDefault="00E47B71" w:rsidP="0040067B">
      <w:pPr>
        <w:pStyle w:val="Firstnumbering"/>
        <w:numPr>
          <w:ilvl w:val="0"/>
          <w:numId w:val="0"/>
        </w:numPr>
        <w:ind w:left="567" w:hanging="567"/>
        <w:rPr>
          <w:sz w:val="22"/>
          <w:szCs w:val="22"/>
        </w:rPr>
      </w:pPr>
    </w:p>
    <w:sectPr w:rsidR="00E47B71" w:rsidRPr="0040067B" w:rsidSect="0008199A">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33" w:rsidRDefault="00D46533" w:rsidP="00D46533">
      <w:r>
        <w:separator/>
      </w:r>
    </w:p>
  </w:endnote>
  <w:endnote w:type="continuationSeparator" w:id="0">
    <w:p w:rsidR="00D46533" w:rsidRDefault="00D46533" w:rsidP="00D4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16728"/>
      <w:docPartObj>
        <w:docPartGallery w:val="Page Numbers (Bottom of Page)"/>
        <w:docPartUnique/>
      </w:docPartObj>
    </w:sdtPr>
    <w:sdtEndPr>
      <w:rPr>
        <w:noProof/>
        <w:sz w:val="18"/>
        <w:szCs w:val="18"/>
      </w:rPr>
    </w:sdtEndPr>
    <w:sdtContent>
      <w:p w:rsidR="00D46533" w:rsidRPr="00D46533" w:rsidRDefault="00D46533">
        <w:pPr>
          <w:pStyle w:val="Footer"/>
          <w:jc w:val="center"/>
          <w:rPr>
            <w:sz w:val="18"/>
            <w:szCs w:val="18"/>
          </w:rPr>
        </w:pPr>
        <w:r w:rsidRPr="00D46533">
          <w:rPr>
            <w:sz w:val="18"/>
            <w:szCs w:val="18"/>
          </w:rPr>
          <w:fldChar w:fldCharType="begin"/>
        </w:r>
        <w:r w:rsidRPr="00D46533">
          <w:rPr>
            <w:sz w:val="18"/>
            <w:szCs w:val="18"/>
          </w:rPr>
          <w:instrText xml:space="preserve"> PAGE   \* MERGEFORMAT </w:instrText>
        </w:r>
        <w:r w:rsidRPr="00D46533">
          <w:rPr>
            <w:sz w:val="18"/>
            <w:szCs w:val="18"/>
          </w:rPr>
          <w:fldChar w:fldCharType="separate"/>
        </w:r>
        <w:r w:rsidRPr="00D46533">
          <w:rPr>
            <w:noProof/>
            <w:sz w:val="18"/>
            <w:szCs w:val="18"/>
          </w:rPr>
          <w:t>2</w:t>
        </w:r>
        <w:r w:rsidRPr="00D46533">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4436"/>
      <w:docPartObj>
        <w:docPartGallery w:val="Page Numbers (Bottom of Page)"/>
        <w:docPartUnique/>
      </w:docPartObj>
    </w:sdtPr>
    <w:sdtEndPr>
      <w:rPr>
        <w:noProof/>
        <w:sz w:val="18"/>
        <w:szCs w:val="18"/>
      </w:rPr>
    </w:sdtEndPr>
    <w:sdtContent>
      <w:p w:rsidR="00F354A0" w:rsidRPr="00F354A0" w:rsidRDefault="00F354A0">
        <w:pPr>
          <w:pStyle w:val="Footer"/>
          <w:jc w:val="center"/>
          <w:rPr>
            <w:sz w:val="18"/>
            <w:szCs w:val="18"/>
          </w:rPr>
        </w:pPr>
        <w:r w:rsidRPr="00F354A0">
          <w:rPr>
            <w:sz w:val="18"/>
            <w:szCs w:val="18"/>
          </w:rPr>
          <w:fldChar w:fldCharType="begin"/>
        </w:r>
        <w:r w:rsidRPr="00F354A0">
          <w:rPr>
            <w:sz w:val="18"/>
            <w:szCs w:val="18"/>
          </w:rPr>
          <w:instrText xml:space="preserve"> PAGE   \* MERGEFORMAT </w:instrText>
        </w:r>
        <w:r w:rsidRPr="00F354A0">
          <w:rPr>
            <w:sz w:val="18"/>
            <w:szCs w:val="18"/>
          </w:rPr>
          <w:fldChar w:fldCharType="separate"/>
        </w:r>
        <w:r w:rsidRPr="00F354A0">
          <w:rPr>
            <w:noProof/>
            <w:sz w:val="18"/>
            <w:szCs w:val="18"/>
          </w:rPr>
          <w:t>2</w:t>
        </w:r>
        <w:r w:rsidRPr="00F354A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2B6" w:rsidRDefault="004C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33" w:rsidRDefault="00D46533" w:rsidP="00D46533">
      <w:r>
        <w:separator/>
      </w:r>
    </w:p>
  </w:footnote>
  <w:footnote w:type="continuationSeparator" w:id="0">
    <w:p w:rsidR="00D46533" w:rsidRDefault="00D46533" w:rsidP="00D4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33" w:rsidRPr="0011211E" w:rsidRDefault="00D46533" w:rsidP="00D46533">
    <w:pPr>
      <w:pBdr>
        <w:bottom w:val="single" w:sz="4" w:space="1" w:color="auto"/>
      </w:pBdr>
      <w:rPr>
        <w:rFonts w:ascii="Arial" w:hAnsi="Arial" w:cs="Arial"/>
        <w:i/>
        <w:sz w:val="18"/>
        <w:szCs w:val="18"/>
      </w:rPr>
    </w:pPr>
    <w:bookmarkStart w:id="7" w:name="_Hlk18402175"/>
    <w:r w:rsidRPr="0011211E">
      <w:rPr>
        <w:rFonts w:ascii="Arial" w:hAnsi="Arial" w:cs="Arial"/>
        <w:i/>
        <w:sz w:val="18"/>
        <w:szCs w:val="18"/>
      </w:rPr>
      <w:t>UNEP/CMS/</w:t>
    </w:r>
    <w:r w:rsidR="009B58BF">
      <w:rPr>
        <w:rFonts w:ascii="Arial" w:hAnsi="Arial" w:cs="Arial"/>
        <w:i/>
        <w:sz w:val="18"/>
        <w:szCs w:val="18"/>
      </w:rPr>
      <w:t>COP13/Doc.26.2.4/Rev.1</w:t>
    </w:r>
    <w:r w:rsidR="0011211E" w:rsidRPr="0011211E">
      <w:rPr>
        <w:rFonts w:ascii="Arial" w:hAnsi="Arial" w:cs="Arial"/>
        <w:i/>
        <w:sz w:val="18"/>
        <w:szCs w:val="18"/>
      </w:rPr>
      <w:t>/An</w:t>
    </w:r>
    <w:r w:rsidR="0011211E">
      <w:rPr>
        <w:rFonts w:ascii="Arial" w:hAnsi="Arial" w:cs="Arial"/>
        <w:i/>
        <w:sz w:val="18"/>
        <w:szCs w:val="18"/>
      </w:rPr>
      <w:t xml:space="preserve">nexe </w:t>
    </w:r>
    <w:r w:rsidR="009B58BF">
      <w:rPr>
        <w:rFonts w:ascii="Arial" w:hAnsi="Arial" w:cs="Arial"/>
        <w:i/>
        <w:sz w:val="18"/>
        <w:szCs w:val="18"/>
      </w:rPr>
      <w:t>3</w:t>
    </w:r>
  </w:p>
  <w:bookmarkEnd w:id="7"/>
  <w:p w:rsidR="00D46533" w:rsidRDefault="00D4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4A0" w:rsidRPr="004C72B6" w:rsidRDefault="004C72B6" w:rsidP="004C72B6">
    <w:pPr>
      <w:pBdr>
        <w:bottom w:val="single" w:sz="4" w:space="1" w:color="auto"/>
      </w:pBdr>
      <w:jc w:val="right"/>
      <w:rPr>
        <w:rFonts w:ascii="Arial" w:hAnsi="Arial" w:cs="Arial"/>
        <w:i/>
        <w:sz w:val="18"/>
        <w:szCs w:val="18"/>
      </w:rPr>
    </w:pPr>
    <w:r w:rsidRPr="0011211E">
      <w:rPr>
        <w:rFonts w:ascii="Arial" w:hAnsi="Arial" w:cs="Arial"/>
        <w:i/>
        <w:sz w:val="18"/>
        <w:szCs w:val="18"/>
      </w:rPr>
      <w:t>UNEP/CMS/</w:t>
    </w:r>
    <w:r>
      <w:rPr>
        <w:rFonts w:ascii="Arial" w:hAnsi="Arial" w:cs="Arial"/>
        <w:i/>
        <w:sz w:val="18"/>
        <w:szCs w:val="18"/>
      </w:rPr>
      <w:t>COP13/Doc.26.2.4/Rev.1</w:t>
    </w:r>
    <w:r w:rsidRPr="0011211E">
      <w:rPr>
        <w:rFonts w:ascii="Arial" w:hAnsi="Arial" w:cs="Arial"/>
        <w:i/>
        <w:sz w:val="18"/>
        <w:szCs w:val="18"/>
      </w:rPr>
      <w:t>/An</w:t>
    </w:r>
    <w:r>
      <w:rPr>
        <w:rFonts w:ascii="Arial" w:hAnsi="Arial" w:cs="Arial"/>
        <w:i/>
        <w:sz w:val="18"/>
        <w:szCs w:val="18"/>
      </w:rPr>
      <w:t>nexe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9A" w:rsidRPr="00EC2A58" w:rsidRDefault="0008199A" w:rsidP="0008199A">
    <w:pPr>
      <w:widowControl w:val="0"/>
      <w:tabs>
        <w:tab w:val="center" w:pos="4153"/>
        <w:tab w:val="right" w:pos="8306"/>
      </w:tabs>
      <w:suppressAutoHyphens/>
      <w:autoSpaceDE w:val="0"/>
      <w:autoSpaceDN w:val="0"/>
      <w:ind w:right="-547"/>
      <w:jc w:val="right"/>
      <w:textAlignment w:val="baseline"/>
      <w:rPr>
        <w:sz w:val="18"/>
        <w:szCs w:val="20"/>
      </w:rPr>
    </w:pPr>
    <w:r w:rsidRPr="00EC2A58">
      <w:rPr>
        <w:noProof/>
        <w:sz w:val="18"/>
        <w:szCs w:val="20"/>
      </w:rPr>
      <w:drawing>
        <wp:anchor distT="0" distB="0" distL="114300" distR="114300" simplePos="0" relativeHeight="251659264" behindDoc="0" locked="0" layoutInCell="1" allowOverlap="1" wp14:anchorId="32AF4AFF" wp14:editId="09DCD808">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noProof/>
        <w:sz w:val="4"/>
        <w:szCs w:val="4"/>
      </w:rPr>
      <w:drawing>
        <wp:anchor distT="0" distB="0" distL="114300" distR="114300" simplePos="0" relativeHeight="251661312" behindDoc="0" locked="0" layoutInCell="1" allowOverlap="1" wp14:anchorId="785851A4" wp14:editId="6F40FD42">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9"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noProof/>
        <w:sz w:val="18"/>
        <w:szCs w:val="20"/>
      </w:rPr>
      <w:drawing>
        <wp:anchor distT="0" distB="0" distL="114300" distR="114300" simplePos="0" relativeHeight="251660288" behindDoc="0" locked="0" layoutInCell="1" allowOverlap="1" wp14:anchorId="2B40B068" wp14:editId="6BBC611E">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20"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D46533" w:rsidRDefault="00D4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7BE2"/>
    <w:multiLevelType w:val="multilevel"/>
    <w:tmpl w:val="31529990"/>
    <w:lvl w:ilvl="0">
      <w:start w:val="1"/>
      <w:numFmt w:val="decimal"/>
      <w:lvlText w:val="%1)"/>
      <w:lvlJc w:val="left"/>
      <w:pPr>
        <w:ind w:left="360" w:hanging="360"/>
      </w:pPr>
      <w:rPr>
        <w:rFonts w:hint="default"/>
      </w:rPr>
    </w:lvl>
    <w:lvl w:ilvl="1">
      <w:start w:val="1"/>
      <w:numFmt w:val="lowerLetter"/>
      <w:lvlText w:val="%2"/>
      <w:lvlJc w:val="left"/>
      <w:pPr>
        <w:tabs>
          <w:tab w:val="num" w:pos="907"/>
        </w:tabs>
        <w:ind w:left="1134" w:hanging="283"/>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F29BC"/>
    <w:multiLevelType w:val="hybridMultilevel"/>
    <w:tmpl w:val="A60455FA"/>
    <w:lvl w:ilvl="0" w:tplc="AF0AA700">
      <w:start w:val="1"/>
      <w:numFmt w:val="decimal"/>
      <w:lvlText w:val="%1."/>
      <w:lvlJc w:val="left"/>
      <w:pPr>
        <w:ind w:left="504" w:hanging="504"/>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E7886"/>
    <w:multiLevelType w:val="hybridMultilevel"/>
    <w:tmpl w:val="206413DC"/>
    <w:lvl w:ilvl="0" w:tplc="2000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33"/>
    <w:rsid w:val="0008199A"/>
    <w:rsid w:val="0011211E"/>
    <w:rsid w:val="00231D55"/>
    <w:rsid w:val="00374F46"/>
    <w:rsid w:val="003C1425"/>
    <w:rsid w:val="0040067B"/>
    <w:rsid w:val="00481EB5"/>
    <w:rsid w:val="004C72B6"/>
    <w:rsid w:val="00500220"/>
    <w:rsid w:val="005330F7"/>
    <w:rsid w:val="00563598"/>
    <w:rsid w:val="005E7BBA"/>
    <w:rsid w:val="00700FE0"/>
    <w:rsid w:val="009B58BF"/>
    <w:rsid w:val="00C93E51"/>
    <w:rsid w:val="00CE08D3"/>
    <w:rsid w:val="00D46533"/>
    <w:rsid w:val="00E22FB1"/>
    <w:rsid w:val="00E445A0"/>
    <w:rsid w:val="00E47B71"/>
    <w:rsid w:val="00F3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6F0BE"/>
  <w15:chartTrackingRefBased/>
  <w15:docId w15:val="{7AE6F29D-22BC-4388-8E59-7F78546D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5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533"/>
    <w:pPr>
      <w:tabs>
        <w:tab w:val="center" w:pos="4680"/>
        <w:tab w:val="right" w:pos="9360"/>
      </w:tabs>
    </w:pPr>
    <w:rPr>
      <w:rFonts w:ascii="Arial" w:eastAsiaTheme="minorHAnsi" w:hAnsi="Arial" w:cstheme="minorBidi"/>
      <w:sz w:val="22"/>
      <w:szCs w:val="22"/>
      <w:lang w:val="en-US"/>
    </w:rPr>
  </w:style>
  <w:style w:type="character" w:customStyle="1" w:styleId="HeaderChar">
    <w:name w:val="Header Char"/>
    <w:basedOn w:val="DefaultParagraphFont"/>
    <w:link w:val="Header"/>
    <w:uiPriority w:val="99"/>
    <w:rsid w:val="00D46533"/>
  </w:style>
  <w:style w:type="paragraph" w:styleId="Footer">
    <w:name w:val="footer"/>
    <w:basedOn w:val="Normal"/>
    <w:link w:val="FooterChar"/>
    <w:uiPriority w:val="99"/>
    <w:unhideWhenUsed/>
    <w:rsid w:val="00D46533"/>
    <w:pPr>
      <w:tabs>
        <w:tab w:val="center" w:pos="4680"/>
        <w:tab w:val="right" w:pos="9360"/>
      </w:tabs>
    </w:pPr>
    <w:rPr>
      <w:rFonts w:ascii="Arial" w:eastAsiaTheme="minorHAnsi" w:hAnsi="Arial" w:cstheme="minorBidi"/>
      <w:sz w:val="22"/>
      <w:szCs w:val="22"/>
      <w:lang w:val="en-US"/>
    </w:rPr>
  </w:style>
  <w:style w:type="character" w:customStyle="1" w:styleId="FooterChar">
    <w:name w:val="Footer Char"/>
    <w:basedOn w:val="DefaultParagraphFont"/>
    <w:link w:val="Footer"/>
    <w:uiPriority w:val="99"/>
    <w:rsid w:val="00D46533"/>
  </w:style>
  <w:style w:type="paragraph" w:styleId="ListParagraph">
    <w:name w:val="List Paragraph"/>
    <w:basedOn w:val="Normal"/>
    <w:link w:val="ListParagraphChar"/>
    <w:uiPriority w:val="34"/>
    <w:qFormat/>
    <w:rsid w:val="00E47B71"/>
    <w:pPr>
      <w:ind w:left="720"/>
      <w:contextualSpacing/>
    </w:pPr>
  </w:style>
  <w:style w:type="paragraph" w:customStyle="1" w:styleId="Firstnumbering">
    <w:name w:val="First numbering"/>
    <w:basedOn w:val="ListParagraph"/>
    <w:link w:val="FirstnumberingChar"/>
    <w:qFormat/>
    <w:rsid w:val="00C93E51"/>
    <w:pPr>
      <w:numPr>
        <w:numId w:val="1"/>
      </w:numPr>
      <w:ind w:left="567" w:hanging="567"/>
      <w:jc w:val="both"/>
    </w:pPr>
    <w:rPr>
      <w:rFonts w:ascii="Arial" w:hAnsi="Arial" w:cs="Arial"/>
      <w:lang w:val="fr-FR"/>
    </w:rPr>
  </w:style>
  <w:style w:type="character" w:customStyle="1" w:styleId="ListParagraphChar">
    <w:name w:val="List Paragraph Char"/>
    <w:basedOn w:val="DefaultParagraphFont"/>
    <w:link w:val="ListParagraph"/>
    <w:uiPriority w:val="34"/>
    <w:rsid w:val="00C93E51"/>
    <w:rPr>
      <w:rFonts w:ascii="Times New Roman" w:eastAsia="Times New Roman" w:hAnsi="Times New Roman" w:cs="Times New Roman"/>
      <w:sz w:val="24"/>
      <w:szCs w:val="24"/>
      <w:lang w:val="en-GB"/>
    </w:rPr>
  </w:style>
  <w:style w:type="character" w:customStyle="1" w:styleId="FirstnumberingChar">
    <w:name w:val="First numbering Char"/>
    <w:basedOn w:val="ListParagraphChar"/>
    <w:link w:val="Firstnumbering"/>
    <w:rsid w:val="00C93E51"/>
    <w:rPr>
      <w:rFonts w:ascii="Times New Roman" w:eastAsia="Times New Roman" w:hAnsi="Times New Roman" w:cs="Arial"/>
      <w:sz w:val="24"/>
      <w:szCs w:val="24"/>
      <w:lang w:val="fr-FR"/>
    </w:rPr>
  </w:style>
  <w:style w:type="paragraph" w:styleId="NormalWeb">
    <w:name w:val="Normal (Web)"/>
    <w:basedOn w:val="Normal"/>
    <w:uiPriority w:val="99"/>
    <w:semiHidden/>
    <w:unhideWhenUsed/>
    <w:rsid w:val="00500220"/>
    <w:pPr>
      <w:spacing w:before="100" w:beforeAutospacing="1" w:after="100" w:afterAutospacing="1"/>
    </w:pPr>
    <w:rPr>
      <w:lang w:val="fr-FR" w:eastAsia="de-CH"/>
    </w:rPr>
  </w:style>
  <w:style w:type="paragraph" w:customStyle="1" w:styleId="Default">
    <w:name w:val="Default"/>
    <w:rsid w:val="00500220"/>
    <w:pPr>
      <w:autoSpaceDE w:val="0"/>
      <w:autoSpaceDN w:val="0"/>
      <w:adjustRightInd w:val="0"/>
      <w:spacing w:after="0" w:line="240" w:lineRule="auto"/>
    </w:pPr>
    <w:rPr>
      <w:rFonts w:cs="Arial"/>
      <w:color w:val="000000"/>
      <w:sz w:val="24"/>
      <w:szCs w:val="24"/>
      <w:lang w:val="fr-FR"/>
    </w:rPr>
  </w:style>
  <w:style w:type="character" w:styleId="Hyperlink">
    <w:name w:val="Hyperlink"/>
    <w:basedOn w:val="DefaultParagraphFont"/>
    <w:uiPriority w:val="99"/>
    <w:unhideWhenUsed/>
    <w:rsid w:val="00500220"/>
    <w:rPr>
      <w:color w:val="0000FF"/>
      <w:u w:val="single"/>
    </w:rPr>
  </w:style>
  <w:style w:type="character" w:styleId="HTMLCite">
    <w:name w:val="HTML Cite"/>
    <w:basedOn w:val="DefaultParagraphFont"/>
    <w:uiPriority w:val="99"/>
    <w:semiHidden/>
    <w:unhideWhenUsed/>
    <w:rsid w:val="00500220"/>
    <w:rPr>
      <w:i/>
      <w:iCs/>
    </w:rPr>
  </w:style>
  <w:style w:type="paragraph" w:styleId="BalloonText">
    <w:name w:val="Balloon Text"/>
    <w:basedOn w:val="Normal"/>
    <w:link w:val="BalloonTextChar"/>
    <w:uiPriority w:val="99"/>
    <w:semiHidden/>
    <w:unhideWhenUsed/>
    <w:rsid w:val="00081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9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cop12_res.12.15_aquatic_wild_meat_e.pdf" TargetMode="External"/><Relationship Id="rId13" Type="http://schemas.openxmlformats.org/officeDocument/2006/relationships/hyperlink" Target="http://www.spc.int/DigitalLibrary/Doc/FAME/Reports/CRISP/ENG_2006_Coastal_Shark_Fisheries_Pacific.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doi.org/10.3354/meps0810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species/podocnemis-expans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int/en/species/gavialis-gangetic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en/documents/decisions/cop12/lis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2019-11-22T10:12:00Z</dcterms:created>
  <dcterms:modified xsi:type="dcterms:W3CDTF">2019-11-22T10:17:00Z</dcterms:modified>
</cp:coreProperties>
</file>