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525A" w14:textId="77777777" w:rsidR="00E829C9" w:rsidRDefault="00E829C9" w:rsidP="004D4CB0">
      <w:pPr>
        <w:rPr>
          <w:rFonts w:ascii="Arial" w:hAnsi="Arial" w:cs="Arial"/>
          <w:b/>
          <w:sz w:val="22"/>
          <w:szCs w:val="22"/>
        </w:rPr>
      </w:pPr>
    </w:p>
    <w:p w14:paraId="16031F52" w14:textId="77777777" w:rsidR="004D4CB0" w:rsidRPr="004D4CB0" w:rsidRDefault="004D4CB0" w:rsidP="004D4CB0">
      <w:pPr>
        <w:pBdr>
          <w:top w:val="single" w:sz="6" w:space="0" w:color="FFFFFF"/>
          <w:left w:val="single" w:sz="6" w:space="0" w:color="FFFFFF"/>
          <w:bottom w:val="single" w:sz="6" w:space="0" w:color="FFFFFF"/>
          <w:right w:val="single" w:sz="6" w:space="0" w:color="FFFFFF"/>
        </w:pBdr>
        <w:ind w:left="-85" w:right="-357"/>
        <w:jc w:val="center"/>
        <w:outlineLvl w:val="1"/>
        <w:rPr>
          <w:rFonts w:ascii="Arial" w:hAnsi="Arial" w:cs="Arial"/>
          <w:b/>
          <w:caps/>
          <w:sz w:val="22"/>
          <w:szCs w:val="22"/>
          <w:lang w:val="fr-FR"/>
        </w:rPr>
      </w:pPr>
      <w:r w:rsidRPr="004D4CB0">
        <w:rPr>
          <w:rFonts w:ascii="Arial" w:hAnsi="Arial" w:cs="Arial"/>
          <w:b/>
          <w:sz w:val="22"/>
          <w:szCs w:val="22"/>
          <w:lang w:val="fr-FR"/>
        </w:rPr>
        <w:t xml:space="preserve">RÉSERVES </w:t>
      </w:r>
      <w:r w:rsidRPr="004D4CB0">
        <w:rPr>
          <w:rFonts w:ascii="Arial" w:hAnsi="Arial" w:cs="Arial"/>
          <w:b/>
          <w:caps/>
          <w:sz w:val="22"/>
          <w:szCs w:val="22"/>
          <w:lang w:val="fr-FR"/>
        </w:rPr>
        <w:t>CONCERNANT LES AMENDEMENTS AUX</w:t>
      </w:r>
    </w:p>
    <w:p w14:paraId="10D55C4B" w14:textId="77777777" w:rsidR="004D4CB0" w:rsidRPr="004D4CB0" w:rsidRDefault="004D4CB0" w:rsidP="004D4CB0">
      <w:pPr>
        <w:pBdr>
          <w:top w:val="single" w:sz="6" w:space="0" w:color="FFFFFF"/>
          <w:left w:val="single" w:sz="6" w:space="0" w:color="FFFFFF"/>
          <w:bottom w:val="single" w:sz="6" w:space="0" w:color="FFFFFF"/>
          <w:right w:val="single" w:sz="6" w:space="0" w:color="FFFFFF"/>
        </w:pBdr>
        <w:ind w:left="-85" w:right="-357"/>
        <w:jc w:val="center"/>
        <w:outlineLvl w:val="1"/>
        <w:rPr>
          <w:rFonts w:ascii="Arial" w:hAnsi="Arial" w:cs="Arial"/>
          <w:b/>
          <w:sz w:val="22"/>
          <w:szCs w:val="22"/>
          <w:lang w:val="fr-FR"/>
        </w:rPr>
      </w:pPr>
      <w:r w:rsidRPr="004D4CB0">
        <w:rPr>
          <w:rFonts w:ascii="Arial" w:hAnsi="Arial" w:cs="Arial"/>
          <w:b/>
          <w:caps/>
          <w:sz w:val="22"/>
          <w:szCs w:val="22"/>
          <w:lang w:val="fr-FR"/>
        </w:rPr>
        <w:t>ANNEXES I ET II DE LA CONVENTION</w:t>
      </w:r>
      <w:r w:rsidRPr="004D4CB0">
        <w:rPr>
          <w:rFonts w:ascii="Arial" w:hAnsi="Arial" w:cs="Arial"/>
          <w:b/>
          <w:sz w:val="22"/>
          <w:szCs w:val="22"/>
          <w:lang w:val="fr-FR"/>
        </w:rPr>
        <w:t xml:space="preserve"> </w:t>
      </w:r>
    </w:p>
    <w:p w14:paraId="77BA811D" w14:textId="67A0D63E" w:rsidR="00D82C56" w:rsidRPr="003626AB" w:rsidRDefault="005D43E4" w:rsidP="00E829C9">
      <w:pPr>
        <w:jc w:val="center"/>
        <w:rPr>
          <w:rFonts w:ascii="Arial" w:hAnsi="Arial" w:cs="Arial"/>
          <w:sz w:val="22"/>
          <w:szCs w:val="22"/>
          <w:lang w:val="fr-FR"/>
        </w:rPr>
      </w:pPr>
      <w:r w:rsidRPr="003626AB">
        <w:rPr>
          <w:rFonts w:ascii="Arial" w:hAnsi="Arial" w:cs="Arial"/>
          <w:sz w:val="22"/>
          <w:szCs w:val="22"/>
          <w:lang w:val="fr-FR"/>
        </w:rPr>
        <w:t>UNEP/CMS/COP13/Doc.</w:t>
      </w:r>
      <w:r w:rsidR="004D4CB0" w:rsidRPr="003626AB">
        <w:rPr>
          <w:rFonts w:ascii="Arial" w:hAnsi="Arial" w:cs="Arial"/>
          <w:sz w:val="22"/>
          <w:szCs w:val="22"/>
          <w:lang w:val="fr-FR"/>
        </w:rPr>
        <w:t>27.4</w:t>
      </w:r>
    </w:p>
    <w:p w14:paraId="48F82B79" w14:textId="77777777" w:rsidR="00D82C56" w:rsidRPr="003626AB" w:rsidRDefault="00D82C56" w:rsidP="00E829C9">
      <w:pPr>
        <w:jc w:val="center"/>
        <w:rPr>
          <w:rFonts w:ascii="Arial" w:hAnsi="Arial" w:cs="Arial"/>
          <w:sz w:val="22"/>
          <w:szCs w:val="22"/>
          <w:lang w:val="fr-FR"/>
        </w:rPr>
      </w:pPr>
    </w:p>
    <w:p w14:paraId="25BD5BFE" w14:textId="5C01E0E1" w:rsidR="00D82C56" w:rsidRPr="00447EE4" w:rsidRDefault="005D43E4" w:rsidP="00447EE4">
      <w:pPr>
        <w:jc w:val="center"/>
        <w:rPr>
          <w:rFonts w:ascii="Arial" w:hAnsi="Arial" w:cs="Arial"/>
          <w:i/>
          <w:sz w:val="22"/>
          <w:szCs w:val="22"/>
          <w:lang w:val="fr-FR"/>
        </w:rPr>
      </w:pPr>
      <w:r w:rsidRPr="00A048E3">
        <w:rPr>
          <w:rFonts w:ascii="Arial" w:hAnsi="Arial" w:cs="Arial"/>
          <w:i/>
          <w:sz w:val="22"/>
          <w:szCs w:val="22"/>
          <w:lang w:val="fr-FR"/>
        </w:rPr>
        <w:t>(Pr</w:t>
      </w:r>
      <w:r w:rsidR="003626AB">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4D4CB0">
        <w:rPr>
          <w:rFonts w:ascii="Arial" w:hAnsi="Arial" w:cs="Arial"/>
          <w:i/>
          <w:sz w:val="22"/>
          <w:szCs w:val="22"/>
          <w:lang w:val="fr-FR"/>
        </w:rPr>
        <w:t>le Comité plénier)</w:t>
      </w:r>
    </w:p>
    <w:p w14:paraId="6C7ED871" w14:textId="77777777" w:rsidR="00D82C56" w:rsidRPr="00A048E3" w:rsidRDefault="00D82C56" w:rsidP="00E829C9">
      <w:pPr>
        <w:rPr>
          <w:rFonts w:ascii="Arial" w:hAnsi="Arial" w:cs="Arial"/>
          <w:sz w:val="22"/>
          <w:szCs w:val="22"/>
          <w:lang w:val="fr-FR"/>
        </w:rPr>
      </w:pPr>
    </w:p>
    <w:p w14:paraId="1E929546" w14:textId="419A340C" w:rsidR="004D4CB0" w:rsidRDefault="00A048E3" w:rsidP="00447EE4">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53CB8088" w14:textId="410EC8E2" w:rsidR="00447EE4" w:rsidRDefault="00447EE4" w:rsidP="00447EE4">
      <w:pPr>
        <w:jc w:val="center"/>
        <w:rPr>
          <w:rFonts w:ascii="Arial" w:hAnsi="Arial" w:cs="Arial"/>
          <w:sz w:val="22"/>
          <w:szCs w:val="22"/>
          <w:lang w:val="fr-FR"/>
        </w:rPr>
      </w:pPr>
    </w:p>
    <w:p w14:paraId="6F3D5A05" w14:textId="77777777" w:rsidR="00447EE4" w:rsidRPr="00447EE4" w:rsidRDefault="00447EE4" w:rsidP="00447EE4">
      <w:pPr>
        <w:jc w:val="center"/>
        <w:rPr>
          <w:rFonts w:ascii="Arial" w:hAnsi="Arial" w:cs="Arial"/>
          <w:sz w:val="22"/>
          <w:szCs w:val="22"/>
          <w:lang w:val="fr-FR"/>
        </w:rPr>
      </w:pPr>
    </w:p>
    <w:p w14:paraId="513A1874" w14:textId="6CE71C6E" w:rsidR="004D4CB0" w:rsidRPr="004D4CB0" w:rsidRDefault="004D4CB0" w:rsidP="004D4CB0">
      <w:pPr>
        <w:jc w:val="both"/>
        <w:rPr>
          <w:rFonts w:ascii="Arial" w:hAnsi="Arial" w:cs="Arial"/>
          <w:sz w:val="22"/>
          <w:szCs w:val="22"/>
          <w:lang w:val="fr-FR"/>
        </w:rPr>
      </w:pPr>
      <w:r w:rsidRPr="004D4CB0">
        <w:rPr>
          <w:rFonts w:ascii="Arial" w:hAnsi="Arial" w:cs="Arial"/>
          <w:i/>
          <w:sz w:val="22"/>
          <w:szCs w:val="22"/>
          <w:lang w:val="fr-FR"/>
        </w:rPr>
        <w:t xml:space="preserve">Reconnaissant </w:t>
      </w:r>
      <w:r w:rsidRPr="004D4CB0">
        <w:rPr>
          <w:rFonts w:ascii="Arial" w:hAnsi="Arial" w:cs="Arial"/>
          <w:sz w:val="22"/>
          <w:szCs w:val="22"/>
          <w:lang w:val="fr-FR"/>
        </w:rPr>
        <w:t>que, conformément à l’Article XIV de la Convention sur la conservation des espèces migratrices appartenant à la faune sauvage (la Convention sur la CMS), un État peut, lorsqu’il devient Partie à la Convention, formuler une réserve à l’égard de toute espèce inscrite à l’Annexe I ou II, ou les deux, et que, dans ce cas, il ne sera pas considéré comme une Partie en ce qui concerne l’objet de cette réserve jusqu’à ce qu’il retire sa réserve</w:t>
      </w:r>
      <w:r w:rsidR="00447EE4">
        <w:rPr>
          <w:rFonts w:ascii="Arial" w:hAnsi="Arial" w:cs="Arial"/>
          <w:sz w:val="22"/>
          <w:szCs w:val="22"/>
          <w:lang w:val="fr-FR"/>
        </w:rPr>
        <w:t>,</w:t>
      </w:r>
    </w:p>
    <w:p w14:paraId="3CC8F5EE" w14:textId="77777777" w:rsidR="004D4CB0" w:rsidRPr="004D4CB0" w:rsidRDefault="004D4CB0" w:rsidP="004D4CB0">
      <w:pPr>
        <w:jc w:val="both"/>
        <w:rPr>
          <w:rFonts w:ascii="Arial" w:hAnsi="Arial" w:cs="Arial"/>
          <w:sz w:val="22"/>
          <w:szCs w:val="22"/>
          <w:lang w:val="fr-FR"/>
        </w:rPr>
      </w:pPr>
    </w:p>
    <w:p w14:paraId="048F727F" w14:textId="5AC24009" w:rsidR="004D4CB0" w:rsidRDefault="004D4CB0" w:rsidP="004D4CB0">
      <w:pPr>
        <w:jc w:val="both"/>
        <w:rPr>
          <w:rFonts w:ascii="Arial" w:hAnsi="Arial" w:cs="Arial"/>
          <w:sz w:val="22"/>
          <w:szCs w:val="22"/>
          <w:lang w:val="fr-FR"/>
        </w:rPr>
      </w:pPr>
      <w:r w:rsidRPr="004D4CB0">
        <w:rPr>
          <w:rFonts w:ascii="Arial" w:hAnsi="Arial" w:cs="Arial"/>
          <w:i/>
          <w:sz w:val="22"/>
          <w:szCs w:val="22"/>
          <w:lang w:val="fr-FR"/>
        </w:rPr>
        <w:t xml:space="preserve">Reconnaissant </w:t>
      </w:r>
      <w:r w:rsidRPr="004D4CB0">
        <w:rPr>
          <w:rFonts w:ascii="Arial" w:hAnsi="Arial" w:cs="Arial"/>
          <w:sz w:val="22"/>
          <w:szCs w:val="22"/>
          <w:lang w:val="fr-FR"/>
        </w:rPr>
        <w:t>que, lorsque les Annexes I ou II sont modifiées conformément à l’article XI de la Convention, toute Partie peut, dans un délai de 90 jours, faire une réserve à l’égard de cet amendement et que le retrait de cette réserve prend effet 90 jours après la date à laquelle la réserve est retirée, à moins qu’une date ultérieure ait été fixée par la partie qui retire la réserve</w:t>
      </w:r>
      <w:r w:rsidR="00447EE4">
        <w:rPr>
          <w:rFonts w:ascii="Arial" w:hAnsi="Arial" w:cs="Arial"/>
          <w:sz w:val="22"/>
          <w:szCs w:val="22"/>
          <w:lang w:val="fr-FR"/>
        </w:rPr>
        <w:t>,</w:t>
      </w:r>
    </w:p>
    <w:p w14:paraId="0ED7268E" w14:textId="6EEECB15" w:rsidR="003626AB" w:rsidRDefault="003626AB" w:rsidP="004D4CB0">
      <w:pPr>
        <w:jc w:val="both"/>
        <w:rPr>
          <w:rFonts w:ascii="Arial" w:hAnsi="Arial" w:cs="Arial"/>
          <w:sz w:val="22"/>
          <w:szCs w:val="22"/>
          <w:lang w:val="fr-FR"/>
        </w:rPr>
      </w:pPr>
    </w:p>
    <w:p w14:paraId="59F1D8FE" w14:textId="348058AD" w:rsidR="003626AB" w:rsidRPr="003626AB" w:rsidRDefault="003626AB" w:rsidP="004D4CB0">
      <w:pPr>
        <w:jc w:val="both"/>
        <w:rPr>
          <w:rFonts w:ascii="Arial" w:hAnsi="Arial" w:cs="Arial"/>
          <w:sz w:val="22"/>
          <w:szCs w:val="22"/>
          <w:lang w:val="fr-FR"/>
        </w:rPr>
      </w:pPr>
      <w:r>
        <w:rPr>
          <w:rFonts w:ascii="Arial" w:hAnsi="Arial" w:cs="Arial"/>
          <w:i/>
          <w:iCs/>
          <w:sz w:val="22"/>
          <w:szCs w:val="22"/>
          <w:lang w:val="fr-FR"/>
        </w:rPr>
        <w:t xml:space="preserve">Consciente du fait </w:t>
      </w:r>
      <w:r>
        <w:rPr>
          <w:rFonts w:ascii="Arial" w:hAnsi="Arial" w:cs="Arial"/>
          <w:sz w:val="22"/>
          <w:szCs w:val="22"/>
          <w:lang w:val="fr-FR"/>
        </w:rPr>
        <w:t>qu’une utilisation excessive des réserves peut limiter l’efficacité de la Convention et qu’il faut donc retirer les réserves lorsqu’elles ne sont plus nécessaires</w:t>
      </w:r>
      <w:r w:rsidR="00447EE4">
        <w:rPr>
          <w:rFonts w:ascii="Arial" w:hAnsi="Arial" w:cs="Arial"/>
          <w:sz w:val="22"/>
          <w:szCs w:val="22"/>
          <w:lang w:val="fr-FR"/>
        </w:rPr>
        <w:t>,</w:t>
      </w:r>
    </w:p>
    <w:p w14:paraId="0E282D1C" w14:textId="77777777" w:rsidR="004D4CB0" w:rsidRPr="004D4CB0" w:rsidRDefault="004D4CB0" w:rsidP="004D4CB0">
      <w:pPr>
        <w:jc w:val="both"/>
        <w:rPr>
          <w:rFonts w:ascii="Arial" w:hAnsi="Arial" w:cs="Arial"/>
          <w:sz w:val="22"/>
          <w:szCs w:val="22"/>
          <w:lang w:val="fr-FR"/>
        </w:rPr>
      </w:pPr>
    </w:p>
    <w:p w14:paraId="36573CC6" w14:textId="50DE73F5" w:rsidR="004D4CB0" w:rsidRPr="004D4CB0" w:rsidRDefault="004D4CB0" w:rsidP="004D4CB0">
      <w:pPr>
        <w:jc w:val="both"/>
        <w:rPr>
          <w:rFonts w:ascii="Arial" w:hAnsi="Arial" w:cs="Arial"/>
          <w:sz w:val="22"/>
          <w:szCs w:val="22"/>
          <w:lang w:val="fr-FR"/>
        </w:rPr>
      </w:pPr>
      <w:r w:rsidRPr="004D4CB0">
        <w:rPr>
          <w:rFonts w:ascii="Arial" w:hAnsi="Arial" w:cs="Arial"/>
          <w:i/>
          <w:sz w:val="22"/>
          <w:szCs w:val="22"/>
          <w:lang w:val="fr-FR"/>
        </w:rPr>
        <w:t>Considérant</w:t>
      </w:r>
      <w:r w:rsidRPr="004D4CB0">
        <w:rPr>
          <w:rFonts w:ascii="Arial" w:hAnsi="Arial" w:cs="Arial"/>
          <w:sz w:val="22"/>
          <w:szCs w:val="22"/>
          <w:lang w:val="fr-FR"/>
        </w:rPr>
        <w:t xml:space="preserve"> que, si une espèce est retirée ou supprimée des </w:t>
      </w:r>
      <w:r w:rsidR="003626AB">
        <w:rPr>
          <w:rFonts w:ascii="Arial" w:hAnsi="Arial" w:cs="Arial"/>
          <w:sz w:val="22"/>
          <w:szCs w:val="22"/>
          <w:lang w:val="fr-FR"/>
        </w:rPr>
        <w:t>a</w:t>
      </w:r>
      <w:r w:rsidRPr="004D4CB0">
        <w:rPr>
          <w:rFonts w:ascii="Arial" w:hAnsi="Arial" w:cs="Arial"/>
          <w:sz w:val="22"/>
          <w:szCs w:val="22"/>
          <w:lang w:val="fr-FR"/>
        </w:rPr>
        <w:t>nnexes, toute réserve formulée à son sujet cesse d’être valable</w:t>
      </w:r>
      <w:r w:rsidR="00447EE4">
        <w:rPr>
          <w:rFonts w:ascii="Arial" w:hAnsi="Arial" w:cs="Arial"/>
          <w:sz w:val="22"/>
          <w:szCs w:val="22"/>
          <w:lang w:val="fr-FR"/>
        </w:rPr>
        <w:t>,</w:t>
      </w:r>
    </w:p>
    <w:p w14:paraId="4BC35B36" w14:textId="77777777" w:rsidR="004D4CB0" w:rsidRPr="004D4CB0" w:rsidRDefault="004D4CB0" w:rsidP="004D4CB0">
      <w:pPr>
        <w:jc w:val="both"/>
        <w:rPr>
          <w:rFonts w:ascii="Arial" w:hAnsi="Arial" w:cs="Arial"/>
          <w:sz w:val="22"/>
          <w:szCs w:val="22"/>
          <w:lang w:val="fr-FR"/>
        </w:rPr>
      </w:pPr>
    </w:p>
    <w:p w14:paraId="208EF3F2" w14:textId="438F72F6" w:rsidR="004D4CB0" w:rsidRPr="004D4CB0" w:rsidRDefault="004D4CB0" w:rsidP="004D4CB0">
      <w:pPr>
        <w:jc w:val="both"/>
        <w:rPr>
          <w:rFonts w:ascii="Arial" w:hAnsi="Arial" w:cs="Arial"/>
          <w:sz w:val="22"/>
          <w:szCs w:val="22"/>
          <w:lang w:val="fr-FR"/>
        </w:rPr>
      </w:pPr>
      <w:r w:rsidRPr="004D4CB0">
        <w:rPr>
          <w:rFonts w:ascii="Arial" w:hAnsi="Arial" w:cs="Arial"/>
          <w:i/>
          <w:sz w:val="22"/>
          <w:szCs w:val="22"/>
          <w:lang w:val="fr-FR"/>
        </w:rPr>
        <w:t>Considérant</w:t>
      </w:r>
      <w:r w:rsidRPr="004D4CB0">
        <w:rPr>
          <w:rFonts w:ascii="Arial" w:hAnsi="Arial" w:cs="Arial"/>
          <w:sz w:val="22"/>
          <w:szCs w:val="22"/>
          <w:lang w:val="fr-FR"/>
        </w:rPr>
        <w:t xml:space="preserve"> également que toutes les Parties devraient interpréter la Convention de façon uniforme</w:t>
      </w:r>
      <w:r w:rsidR="00447EE4">
        <w:rPr>
          <w:rFonts w:ascii="Arial" w:hAnsi="Arial" w:cs="Arial"/>
          <w:sz w:val="22"/>
          <w:szCs w:val="22"/>
          <w:lang w:val="fr-FR"/>
        </w:rPr>
        <w:t>,</w:t>
      </w:r>
    </w:p>
    <w:p w14:paraId="29CE35FF" w14:textId="77777777" w:rsidR="004D4CB0" w:rsidRPr="004D4CB0" w:rsidRDefault="004D4CB0" w:rsidP="00447EE4">
      <w:pPr>
        <w:rPr>
          <w:rFonts w:ascii="Arial" w:hAnsi="Arial" w:cs="Arial"/>
          <w:sz w:val="22"/>
          <w:szCs w:val="22"/>
          <w:lang w:val="fr-FR"/>
        </w:rPr>
      </w:pPr>
    </w:p>
    <w:p w14:paraId="66FA5405" w14:textId="77777777" w:rsidR="004D4CB0" w:rsidRPr="004D4CB0" w:rsidRDefault="004D4CB0" w:rsidP="004D4CB0">
      <w:pPr>
        <w:jc w:val="center"/>
        <w:rPr>
          <w:rFonts w:ascii="Arial" w:hAnsi="Arial" w:cs="Arial"/>
          <w:i/>
          <w:sz w:val="22"/>
          <w:szCs w:val="22"/>
          <w:lang w:val="fr-FR"/>
        </w:rPr>
      </w:pPr>
      <w:r w:rsidRPr="004D4CB0">
        <w:rPr>
          <w:rFonts w:ascii="Arial" w:hAnsi="Arial" w:cs="Arial"/>
          <w:i/>
          <w:sz w:val="22"/>
          <w:szCs w:val="22"/>
          <w:lang w:val="fr-FR"/>
        </w:rPr>
        <w:t>La Conférence des Parties à la</w:t>
      </w:r>
    </w:p>
    <w:p w14:paraId="2C764299" w14:textId="77777777" w:rsidR="004D4CB0" w:rsidRPr="004D4CB0" w:rsidRDefault="004D4CB0" w:rsidP="004D4CB0">
      <w:pPr>
        <w:jc w:val="center"/>
        <w:rPr>
          <w:rFonts w:ascii="Arial" w:hAnsi="Arial" w:cs="Arial"/>
          <w:i/>
          <w:sz w:val="22"/>
          <w:szCs w:val="22"/>
          <w:lang w:val="fr-FR"/>
        </w:rPr>
      </w:pPr>
      <w:r w:rsidRPr="004D4CB0">
        <w:rPr>
          <w:rFonts w:ascii="Arial" w:hAnsi="Arial" w:cs="Arial"/>
          <w:i/>
          <w:sz w:val="22"/>
          <w:szCs w:val="22"/>
          <w:lang w:val="fr-FR"/>
        </w:rPr>
        <w:t>Convention sur la conservation des espèces migratrices appartenant à la faune sauvage</w:t>
      </w:r>
    </w:p>
    <w:p w14:paraId="4FE5A7F2" w14:textId="77777777" w:rsidR="004D4CB0" w:rsidRPr="004D4CB0" w:rsidRDefault="004D4CB0" w:rsidP="004D4CB0">
      <w:pPr>
        <w:jc w:val="center"/>
        <w:rPr>
          <w:rFonts w:ascii="Arial" w:hAnsi="Arial" w:cs="Arial"/>
          <w:sz w:val="22"/>
          <w:szCs w:val="22"/>
          <w:lang w:val="fr-FR"/>
        </w:rPr>
      </w:pPr>
    </w:p>
    <w:p w14:paraId="3868C9E1" w14:textId="532A428E" w:rsidR="004D4CB0" w:rsidRDefault="003626AB" w:rsidP="00447EE4">
      <w:pPr>
        <w:pStyle w:val="ListParagraph"/>
        <w:numPr>
          <w:ilvl w:val="0"/>
          <w:numId w:val="3"/>
        </w:numPr>
        <w:ind w:left="567"/>
        <w:jc w:val="both"/>
        <w:rPr>
          <w:rFonts w:ascii="Arial" w:hAnsi="Arial" w:cs="Arial"/>
          <w:sz w:val="22"/>
          <w:szCs w:val="22"/>
          <w:lang w:val="fr-FR"/>
        </w:rPr>
      </w:pPr>
      <w:bookmarkStart w:id="0" w:name="_GoBack"/>
      <w:bookmarkEnd w:id="0"/>
      <w:r w:rsidRPr="003626AB">
        <w:rPr>
          <w:rFonts w:ascii="Arial" w:hAnsi="Arial" w:cs="Arial"/>
          <w:i/>
          <w:iCs/>
          <w:sz w:val="22"/>
          <w:szCs w:val="22"/>
          <w:lang w:val="fr-FR"/>
        </w:rPr>
        <w:t xml:space="preserve">Souligne </w:t>
      </w:r>
      <w:r w:rsidRPr="003626AB">
        <w:rPr>
          <w:rFonts w:ascii="Arial" w:hAnsi="Arial" w:cs="Arial"/>
          <w:sz w:val="22"/>
          <w:szCs w:val="22"/>
          <w:lang w:val="fr-FR"/>
        </w:rPr>
        <w:t xml:space="preserve">que les réserves ayant trait à un amendement de l’Annexe I ou II doivent être soumises par écrit au </w:t>
      </w:r>
      <w:r w:rsidR="001F34D3">
        <w:rPr>
          <w:rFonts w:ascii="Arial" w:hAnsi="Arial" w:cs="Arial"/>
          <w:sz w:val="22"/>
          <w:szCs w:val="22"/>
          <w:lang w:val="fr-FR"/>
        </w:rPr>
        <w:t>G</w:t>
      </w:r>
      <w:r w:rsidRPr="003626AB">
        <w:rPr>
          <w:rFonts w:ascii="Arial" w:hAnsi="Arial" w:cs="Arial"/>
          <w:sz w:val="22"/>
          <w:szCs w:val="22"/>
          <w:lang w:val="fr-FR"/>
        </w:rPr>
        <w:t xml:space="preserve">ouvernement dépositaire, sous forme de notification, </w:t>
      </w:r>
      <w:r w:rsidR="004D4CB0" w:rsidRPr="003626AB">
        <w:rPr>
          <w:rFonts w:ascii="Arial" w:hAnsi="Arial" w:cs="Arial"/>
          <w:sz w:val="22"/>
          <w:szCs w:val="22"/>
          <w:lang w:val="fr-FR"/>
        </w:rPr>
        <w:t xml:space="preserve">dans les 90 jours </w:t>
      </w:r>
      <w:r>
        <w:rPr>
          <w:rFonts w:ascii="Arial" w:hAnsi="Arial" w:cs="Arial"/>
          <w:sz w:val="22"/>
          <w:szCs w:val="22"/>
          <w:lang w:val="fr-FR"/>
        </w:rPr>
        <w:t xml:space="preserve">qui </w:t>
      </w:r>
      <w:r w:rsidR="004D4CB0" w:rsidRPr="003626AB">
        <w:rPr>
          <w:rFonts w:ascii="Arial" w:hAnsi="Arial" w:cs="Arial"/>
          <w:sz w:val="22"/>
          <w:szCs w:val="22"/>
          <w:lang w:val="fr-FR"/>
        </w:rPr>
        <w:t>suiv</w:t>
      </w:r>
      <w:r>
        <w:rPr>
          <w:rFonts w:ascii="Arial" w:hAnsi="Arial" w:cs="Arial"/>
          <w:sz w:val="22"/>
          <w:szCs w:val="22"/>
          <w:lang w:val="fr-FR"/>
        </w:rPr>
        <w:t>e</w:t>
      </w:r>
      <w:r w:rsidR="004D4CB0" w:rsidRPr="003626AB">
        <w:rPr>
          <w:rFonts w:ascii="Arial" w:hAnsi="Arial" w:cs="Arial"/>
          <w:sz w:val="22"/>
          <w:szCs w:val="22"/>
          <w:lang w:val="fr-FR"/>
        </w:rPr>
        <w:t xml:space="preserve">nt la </w:t>
      </w:r>
      <w:r>
        <w:rPr>
          <w:rFonts w:ascii="Arial" w:hAnsi="Arial" w:cs="Arial"/>
          <w:sz w:val="22"/>
          <w:szCs w:val="22"/>
          <w:lang w:val="fr-FR"/>
        </w:rPr>
        <w:t>session</w:t>
      </w:r>
      <w:r w:rsidR="004D4CB0" w:rsidRPr="003626AB">
        <w:rPr>
          <w:rFonts w:ascii="Arial" w:hAnsi="Arial" w:cs="Arial"/>
          <w:sz w:val="22"/>
          <w:szCs w:val="22"/>
          <w:lang w:val="fr-FR"/>
        </w:rPr>
        <w:t>, conformément au paragraphe 6 de l’Article XI de la Convention</w:t>
      </w:r>
      <w:r w:rsidR="00447EE4">
        <w:rPr>
          <w:rFonts w:ascii="Arial" w:hAnsi="Arial" w:cs="Arial"/>
          <w:sz w:val="22"/>
          <w:szCs w:val="22"/>
          <w:lang w:val="fr-FR"/>
        </w:rPr>
        <w:t> ;</w:t>
      </w:r>
    </w:p>
    <w:p w14:paraId="0B25B682" w14:textId="77777777" w:rsidR="001F34D3" w:rsidRDefault="001F34D3" w:rsidP="00447EE4">
      <w:pPr>
        <w:pStyle w:val="ListParagraph"/>
        <w:ind w:left="567"/>
        <w:jc w:val="both"/>
        <w:rPr>
          <w:rFonts w:ascii="Arial" w:hAnsi="Arial" w:cs="Arial"/>
          <w:sz w:val="22"/>
          <w:szCs w:val="22"/>
          <w:lang w:val="fr-FR"/>
        </w:rPr>
      </w:pPr>
    </w:p>
    <w:p w14:paraId="4EFDF6B0" w14:textId="2DADC3EF" w:rsidR="001F34D3" w:rsidRDefault="004D4CB0" w:rsidP="00447EE4">
      <w:pPr>
        <w:pStyle w:val="ListParagraph"/>
        <w:numPr>
          <w:ilvl w:val="0"/>
          <w:numId w:val="3"/>
        </w:numPr>
        <w:ind w:left="567"/>
        <w:jc w:val="both"/>
        <w:rPr>
          <w:rFonts w:ascii="Arial" w:hAnsi="Arial" w:cs="Arial"/>
          <w:sz w:val="22"/>
          <w:szCs w:val="22"/>
          <w:lang w:val="fr-FR"/>
        </w:rPr>
      </w:pPr>
      <w:r w:rsidRPr="001F34D3">
        <w:rPr>
          <w:rFonts w:ascii="Arial" w:hAnsi="Arial" w:cs="Arial"/>
          <w:i/>
          <w:sz w:val="22"/>
          <w:szCs w:val="22"/>
          <w:lang w:val="fr-FR"/>
        </w:rPr>
        <w:t>Demande</w:t>
      </w:r>
      <w:r w:rsidRPr="001F34D3">
        <w:rPr>
          <w:rFonts w:ascii="Arial" w:hAnsi="Arial" w:cs="Arial"/>
          <w:sz w:val="22"/>
          <w:szCs w:val="22"/>
          <w:lang w:val="fr-FR"/>
        </w:rPr>
        <w:t xml:space="preserve"> au Gouvernement dépositaire de ne pas accepter de réserve formulée après </w:t>
      </w:r>
      <w:r w:rsidR="001F34D3">
        <w:rPr>
          <w:rFonts w:ascii="Arial" w:hAnsi="Arial" w:cs="Arial"/>
          <w:sz w:val="22"/>
          <w:szCs w:val="22"/>
          <w:lang w:val="fr-FR"/>
        </w:rPr>
        <w:t>un</w:t>
      </w:r>
      <w:r w:rsidRPr="001F34D3">
        <w:rPr>
          <w:rFonts w:ascii="Arial" w:hAnsi="Arial" w:cs="Arial"/>
          <w:sz w:val="22"/>
          <w:szCs w:val="22"/>
          <w:lang w:val="fr-FR"/>
        </w:rPr>
        <w:t xml:space="preserve"> délai de 90 jours conformément à l’Article XI, paragraphe 6 de la Convention</w:t>
      </w:r>
      <w:r w:rsidR="00447EE4">
        <w:rPr>
          <w:rFonts w:ascii="Arial" w:hAnsi="Arial" w:cs="Arial"/>
          <w:sz w:val="22"/>
          <w:szCs w:val="22"/>
          <w:lang w:val="fr-FR"/>
        </w:rPr>
        <w:t> ;</w:t>
      </w:r>
    </w:p>
    <w:p w14:paraId="7FED8BEF" w14:textId="77777777" w:rsidR="001F34D3" w:rsidRPr="001F34D3" w:rsidRDefault="001F34D3" w:rsidP="00447EE4">
      <w:pPr>
        <w:pStyle w:val="ListParagraph"/>
        <w:ind w:left="567"/>
        <w:rPr>
          <w:rFonts w:ascii="Arial" w:hAnsi="Arial" w:cs="Arial"/>
          <w:sz w:val="22"/>
          <w:szCs w:val="22"/>
          <w:lang w:val="fr-FR"/>
        </w:rPr>
      </w:pPr>
    </w:p>
    <w:p w14:paraId="4AB279E0" w14:textId="72A13BB7" w:rsidR="004D4CB0" w:rsidRDefault="004D4CB0" w:rsidP="00447EE4">
      <w:pPr>
        <w:pStyle w:val="ListParagraph"/>
        <w:numPr>
          <w:ilvl w:val="0"/>
          <w:numId w:val="3"/>
        </w:numPr>
        <w:ind w:left="567"/>
        <w:jc w:val="both"/>
        <w:rPr>
          <w:rFonts w:ascii="Arial" w:hAnsi="Arial" w:cs="Arial"/>
          <w:sz w:val="22"/>
          <w:szCs w:val="22"/>
          <w:lang w:val="fr-FR"/>
        </w:rPr>
      </w:pPr>
      <w:r w:rsidRPr="001F34D3">
        <w:rPr>
          <w:rFonts w:ascii="Arial" w:hAnsi="Arial" w:cs="Arial"/>
          <w:sz w:val="22"/>
          <w:szCs w:val="22"/>
          <w:lang w:val="fr-FR"/>
        </w:rPr>
        <w:t xml:space="preserve"> </w:t>
      </w:r>
      <w:r w:rsidRPr="001F34D3">
        <w:rPr>
          <w:rFonts w:ascii="Arial" w:hAnsi="Arial" w:cs="Arial"/>
          <w:i/>
          <w:sz w:val="22"/>
          <w:szCs w:val="22"/>
          <w:lang w:val="fr-FR"/>
        </w:rPr>
        <w:t>Convient</w:t>
      </w:r>
      <w:r w:rsidRPr="001F34D3">
        <w:rPr>
          <w:rFonts w:ascii="Arial" w:hAnsi="Arial" w:cs="Arial"/>
          <w:sz w:val="22"/>
          <w:szCs w:val="22"/>
          <w:lang w:val="fr-FR"/>
        </w:rPr>
        <w:t xml:space="preserve"> que la date mentionnée au paragraphe 6 de l’Article XI portant sur le retrait d’une réserve à un amendement est la date à laquelle le gouvernement dépositaire reçoit la notification écrite du retrait</w:t>
      </w:r>
      <w:r w:rsidR="00447EE4">
        <w:rPr>
          <w:rFonts w:ascii="Arial" w:hAnsi="Arial" w:cs="Arial"/>
          <w:sz w:val="22"/>
          <w:szCs w:val="22"/>
          <w:lang w:val="fr-FR"/>
        </w:rPr>
        <w:t> ;</w:t>
      </w:r>
    </w:p>
    <w:p w14:paraId="63B7AEAB" w14:textId="77777777" w:rsidR="001F34D3" w:rsidRPr="001F34D3" w:rsidRDefault="001F34D3" w:rsidP="00447EE4">
      <w:pPr>
        <w:pStyle w:val="ListParagraph"/>
        <w:ind w:left="567"/>
        <w:rPr>
          <w:rFonts w:ascii="Arial" w:hAnsi="Arial" w:cs="Arial"/>
          <w:sz w:val="22"/>
          <w:szCs w:val="22"/>
          <w:lang w:val="fr-FR"/>
        </w:rPr>
      </w:pPr>
    </w:p>
    <w:p w14:paraId="0DEE2AC5" w14:textId="437A3688" w:rsidR="004D4CB0" w:rsidRDefault="004D4CB0" w:rsidP="00447EE4">
      <w:pPr>
        <w:pStyle w:val="ListParagraph"/>
        <w:numPr>
          <w:ilvl w:val="0"/>
          <w:numId w:val="3"/>
        </w:numPr>
        <w:ind w:left="567"/>
        <w:jc w:val="both"/>
        <w:rPr>
          <w:rFonts w:ascii="Arial" w:hAnsi="Arial" w:cs="Arial"/>
          <w:sz w:val="22"/>
          <w:szCs w:val="22"/>
          <w:lang w:val="fr-FR"/>
        </w:rPr>
      </w:pPr>
      <w:r w:rsidRPr="001F34D3">
        <w:rPr>
          <w:rFonts w:ascii="Arial" w:hAnsi="Arial" w:cs="Arial"/>
          <w:i/>
          <w:sz w:val="22"/>
          <w:szCs w:val="22"/>
          <w:lang w:val="fr-FR"/>
        </w:rPr>
        <w:t>Convient</w:t>
      </w:r>
      <w:r w:rsidRPr="001F34D3">
        <w:rPr>
          <w:rFonts w:ascii="Arial" w:hAnsi="Arial" w:cs="Arial"/>
          <w:sz w:val="22"/>
          <w:szCs w:val="22"/>
          <w:lang w:val="fr-FR"/>
        </w:rPr>
        <w:t xml:space="preserve"> </w:t>
      </w:r>
      <w:r w:rsidR="001F34D3" w:rsidRPr="001F34D3">
        <w:rPr>
          <w:rFonts w:ascii="Arial" w:hAnsi="Arial" w:cs="Arial"/>
          <w:i/>
          <w:iCs/>
          <w:sz w:val="22"/>
          <w:szCs w:val="22"/>
          <w:lang w:val="fr-FR"/>
        </w:rPr>
        <w:t xml:space="preserve">également </w:t>
      </w:r>
      <w:r w:rsidRPr="001F34D3">
        <w:rPr>
          <w:rFonts w:ascii="Arial" w:hAnsi="Arial" w:cs="Arial"/>
          <w:sz w:val="22"/>
          <w:szCs w:val="22"/>
          <w:lang w:val="fr-FR"/>
        </w:rPr>
        <w:t xml:space="preserve">que le retrait d’une réserve à un amendement prend effet 90 jours après que le </w:t>
      </w:r>
      <w:r w:rsidR="001F34D3">
        <w:rPr>
          <w:rFonts w:ascii="Arial" w:hAnsi="Arial" w:cs="Arial"/>
          <w:sz w:val="22"/>
          <w:szCs w:val="22"/>
          <w:lang w:val="fr-FR"/>
        </w:rPr>
        <w:t>G</w:t>
      </w:r>
      <w:r w:rsidRPr="001F34D3">
        <w:rPr>
          <w:rFonts w:ascii="Arial" w:hAnsi="Arial" w:cs="Arial"/>
          <w:sz w:val="22"/>
          <w:szCs w:val="22"/>
          <w:lang w:val="fr-FR"/>
        </w:rPr>
        <w:t>ouvernement dépositaire a</w:t>
      </w:r>
      <w:r w:rsidR="001F34D3">
        <w:rPr>
          <w:rFonts w:ascii="Arial" w:hAnsi="Arial" w:cs="Arial"/>
          <w:sz w:val="22"/>
          <w:szCs w:val="22"/>
          <w:lang w:val="fr-FR"/>
        </w:rPr>
        <w:t>it</w:t>
      </w:r>
      <w:r w:rsidRPr="001F34D3">
        <w:rPr>
          <w:rFonts w:ascii="Arial" w:hAnsi="Arial" w:cs="Arial"/>
          <w:sz w:val="22"/>
          <w:szCs w:val="22"/>
          <w:lang w:val="fr-FR"/>
        </w:rPr>
        <w:t xml:space="preserve"> reçu la notification écrite du retrait, à moins que la Partie qui a retiré la réserve n’ait fixé une date ultérieure</w:t>
      </w:r>
      <w:r w:rsidR="00447EE4">
        <w:rPr>
          <w:rFonts w:ascii="Arial" w:hAnsi="Arial" w:cs="Arial"/>
          <w:sz w:val="22"/>
          <w:szCs w:val="22"/>
          <w:lang w:val="fr-FR"/>
        </w:rPr>
        <w:t> ;</w:t>
      </w:r>
    </w:p>
    <w:p w14:paraId="0B2602E8" w14:textId="77777777" w:rsidR="001F34D3" w:rsidRPr="001F34D3" w:rsidRDefault="001F34D3" w:rsidP="00447EE4">
      <w:pPr>
        <w:pStyle w:val="ListParagraph"/>
        <w:ind w:left="567"/>
        <w:rPr>
          <w:rFonts w:ascii="Arial" w:hAnsi="Arial" w:cs="Arial"/>
          <w:sz w:val="22"/>
          <w:szCs w:val="22"/>
          <w:lang w:val="fr-FR"/>
        </w:rPr>
      </w:pPr>
    </w:p>
    <w:p w14:paraId="57947569" w14:textId="6A62C09D" w:rsidR="004D4CB0" w:rsidRPr="001F34D3" w:rsidRDefault="004D4CB0" w:rsidP="00447EE4">
      <w:pPr>
        <w:pStyle w:val="ListParagraph"/>
        <w:numPr>
          <w:ilvl w:val="0"/>
          <w:numId w:val="3"/>
        </w:numPr>
        <w:ind w:left="567"/>
        <w:jc w:val="both"/>
        <w:rPr>
          <w:rFonts w:ascii="Arial" w:hAnsi="Arial" w:cs="Arial"/>
          <w:sz w:val="22"/>
          <w:szCs w:val="22"/>
          <w:lang w:val="fr-FR"/>
        </w:rPr>
      </w:pPr>
      <w:r w:rsidRPr="001F34D3">
        <w:rPr>
          <w:rFonts w:ascii="Arial" w:hAnsi="Arial" w:cs="Arial"/>
          <w:i/>
          <w:sz w:val="22"/>
          <w:szCs w:val="22"/>
          <w:lang w:val="fr-FR"/>
        </w:rPr>
        <w:t>Recommande</w:t>
      </w:r>
      <w:r w:rsidRPr="001F34D3">
        <w:rPr>
          <w:rFonts w:ascii="Arial" w:hAnsi="Arial" w:cs="Arial"/>
          <w:sz w:val="22"/>
          <w:szCs w:val="22"/>
          <w:lang w:val="fr-FR"/>
        </w:rPr>
        <w:t xml:space="preserve"> que, dans le cas où une espèce est retirée ou supprimée d’une Annexe de la Convention et simultanément inscrite dans une autre, ce retrait ou cette suppression annule toute réserve en vigueur à l’égard de l’espèce. En conséquence, toute Partie qui souhaite maintenir une réserve à l’égard de l’espèce doit formuler une nouvelle réserve conformément au paragraphe 6 de l’Article XI</w:t>
      </w:r>
      <w:r w:rsidR="00447EE4">
        <w:rPr>
          <w:rFonts w:ascii="Arial" w:hAnsi="Arial" w:cs="Arial"/>
          <w:sz w:val="22"/>
          <w:szCs w:val="22"/>
          <w:lang w:val="fr-FR"/>
        </w:rPr>
        <w:t> ;</w:t>
      </w:r>
    </w:p>
    <w:p w14:paraId="75691FF9" w14:textId="77777777" w:rsidR="004D4CB0" w:rsidRPr="004D4CB0" w:rsidRDefault="004D4CB0" w:rsidP="00447EE4">
      <w:pPr>
        <w:ind w:left="567" w:hanging="567"/>
        <w:jc w:val="both"/>
        <w:rPr>
          <w:rFonts w:ascii="Arial" w:hAnsi="Arial" w:cs="Arial"/>
          <w:sz w:val="22"/>
          <w:szCs w:val="22"/>
          <w:lang w:val="fr-FR"/>
        </w:rPr>
      </w:pPr>
    </w:p>
    <w:p w14:paraId="2F57C3E9" w14:textId="55AA429B" w:rsidR="00D82C56" w:rsidRPr="004D4CB0" w:rsidRDefault="004D4CB0" w:rsidP="00447EE4">
      <w:pPr>
        <w:adjustRightInd w:val="0"/>
        <w:ind w:left="567" w:hanging="567"/>
        <w:jc w:val="both"/>
        <w:rPr>
          <w:rFonts w:ascii="Arial" w:hAnsi="Arial" w:cs="Arial"/>
          <w:sz w:val="22"/>
          <w:szCs w:val="22"/>
          <w:lang w:val="fr-FR"/>
        </w:rPr>
      </w:pPr>
      <w:r w:rsidRPr="004D4CB0">
        <w:rPr>
          <w:rFonts w:ascii="Arial" w:hAnsi="Arial" w:cs="Arial"/>
          <w:sz w:val="22"/>
          <w:szCs w:val="22"/>
          <w:lang w:val="fr-FR"/>
        </w:rPr>
        <w:t>6</w:t>
      </w:r>
      <w:r w:rsidRPr="004D4CB0">
        <w:rPr>
          <w:rFonts w:ascii="Arial" w:hAnsi="Arial" w:cs="Arial"/>
          <w:sz w:val="22"/>
          <w:szCs w:val="22"/>
          <w:lang w:val="fr-FR"/>
        </w:rPr>
        <w:tab/>
      </w:r>
      <w:r w:rsidRPr="004D4CB0">
        <w:rPr>
          <w:rFonts w:ascii="Arial" w:hAnsi="Arial" w:cs="Arial"/>
          <w:i/>
          <w:sz w:val="22"/>
          <w:szCs w:val="22"/>
          <w:lang w:val="fr-FR"/>
        </w:rPr>
        <w:t>Charge</w:t>
      </w:r>
      <w:r w:rsidRPr="004D4CB0">
        <w:rPr>
          <w:rFonts w:ascii="Arial" w:hAnsi="Arial" w:cs="Arial"/>
          <w:sz w:val="22"/>
          <w:szCs w:val="22"/>
          <w:lang w:val="fr-FR"/>
        </w:rPr>
        <w:t xml:space="preserve"> le Secrétariat et le </w:t>
      </w:r>
      <w:r w:rsidR="001F34D3">
        <w:rPr>
          <w:rFonts w:ascii="Arial" w:hAnsi="Arial" w:cs="Arial"/>
          <w:sz w:val="22"/>
          <w:szCs w:val="22"/>
          <w:lang w:val="fr-FR"/>
        </w:rPr>
        <w:t>G</w:t>
      </w:r>
      <w:r w:rsidRPr="004D4CB0">
        <w:rPr>
          <w:rFonts w:ascii="Arial" w:hAnsi="Arial" w:cs="Arial"/>
          <w:sz w:val="22"/>
          <w:szCs w:val="22"/>
          <w:lang w:val="fr-FR"/>
        </w:rPr>
        <w:t xml:space="preserve">ouvernement dépositaire de rappeler explicitement et à temps aux Parties concernées les réserves qui </w:t>
      </w:r>
      <w:r w:rsidR="001F34D3">
        <w:rPr>
          <w:rFonts w:ascii="Arial" w:hAnsi="Arial" w:cs="Arial"/>
          <w:sz w:val="22"/>
          <w:szCs w:val="22"/>
          <w:lang w:val="fr-FR"/>
        </w:rPr>
        <w:t xml:space="preserve">deviendront </w:t>
      </w:r>
      <w:r w:rsidRPr="004D4CB0">
        <w:rPr>
          <w:rFonts w:ascii="Arial" w:hAnsi="Arial" w:cs="Arial"/>
          <w:sz w:val="22"/>
          <w:szCs w:val="22"/>
          <w:lang w:val="fr-FR"/>
        </w:rPr>
        <w:t>caduques, afin qu’elles renouvellent leurs réserves si elles le souhaitent</w:t>
      </w:r>
      <w:r w:rsidR="00447EE4">
        <w:rPr>
          <w:rFonts w:ascii="Arial" w:hAnsi="Arial" w:cs="Arial"/>
          <w:sz w:val="22"/>
          <w:szCs w:val="22"/>
          <w:lang w:val="fr-FR"/>
        </w:rPr>
        <w:t>.</w:t>
      </w:r>
    </w:p>
    <w:sectPr w:rsidR="00D82C56" w:rsidRPr="004D4CB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44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44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266F" w14:textId="2BBA1D82" w:rsidR="007A1066" w:rsidRPr="004D4CB0" w:rsidRDefault="007A1066" w:rsidP="004D4CB0">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D4CB0">
      <w:rPr>
        <w:rFonts w:ascii="Arial" w:hAnsi="Arial" w:cs="Arial"/>
        <w:bCs/>
        <w:i/>
        <w:iCs/>
        <w:szCs w:val="20"/>
        <w:lang w:val="en-GB"/>
      </w:rPr>
      <w:t>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D30"/>
    <w:multiLevelType w:val="hybridMultilevel"/>
    <w:tmpl w:val="7598DAEE"/>
    <w:lvl w:ilvl="0" w:tplc="449EE7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F34D3"/>
    <w:rsid w:val="002223BB"/>
    <w:rsid w:val="003626AB"/>
    <w:rsid w:val="003F1AD8"/>
    <w:rsid w:val="0043102F"/>
    <w:rsid w:val="00447EE4"/>
    <w:rsid w:val="00487D0A"/>
    <w:rsid w:val="004D4CB0"/>
    <w:rsid w:val="005645C4"/>
    <w:rsid w:val="005D43E4"/>
    <w:rsid w:val="005F0639"/>
    <w:rsid w:val="007A1066"/>
    <w:rsid w:val="009573CA"/>
    <w:rsid w:val="00A048E3"/>
    <w:rsid w:val="00C32FF1"/>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irstnumberingChar">
    <w:name w:val="First numbering Char"/>
    <w:basedOn w:val="DefaultParagraphFont"/>
    <w:link w:val="Firstnumbering"/>
    <w:locked/>
    <w:rsid w:val="004D4CB0"/>
    <w:rPr>
      <w:lang w:val="fr-FR"/>
    </w:rPr>
  </w:style>
  <w:style w:type="paragraph" w:customStyle="1" w:styleId="Firstnumbering">
    <w:name w:val="First numbering"/>
    <w:basedOn w:val="ListParagraph"/>
    <w:link w:val="FirstnumberingChar"/>
    <w:qFormat/>
    <w:rsid w:val="004D4CB0"/>
    <w:pPr>
      <w:widowControl/>
      <w:numPr>
        <w:numId w:val="1"/>
      </w:numPr>
      <w:suppressAutoHyphens w:val="0"/>
      <w:autoSpaceDE/>
      <w:autoSpaceDN/>
      <w:ind w:left="567" w:hanging="567"/>
      <w:jc w:val="both"/>
      <w:textAlignment w:val="auto"/>
    </w:pPr>
    <w:rPr>
      <w:rFonts w:ascii="Arial" w:eastAsia="Calibri" w:hAnsi="Arial"/>
      <w:sz w:val="22"/>
      <w:szCs w:val="22"/>
      <w:lang w:val="fr-FR"/>
    </w:rPr>
  </w:style>
  <w:style w:type="character" w:customStyle="1" w:styleId="FourthnumberingAChar">
    <w:name w:val="Fourth numbering A. Char"/>
    <w:basedOn w:val="DefaultParagraphFont"/>
    <w:link w:val="FourthnumberingA"/>
    <w:locked/>
    <w:rsid w:val="004D4CB0"/>
    <w:rPr>
      <w:lang w:val="fr-FR"/>
    </w:rPr>
  </w:style>
  <w:style w:type="paragraph" w:customStyle="1" w:styleId="FourthnumberingA">
    <w:name w:val="Fourth numbering A."/>
    <w:basedOn w:val="Normal"/>
    <w:link w:val="FourthnumberingAChar"/>
    <w:qFormat/>
    <w:rsid w:val="004D4CB0"/>
    <w:pPr>
      <w:widowControl/>
      <w:numPr>
        <w:numId w:val="2"/>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ListParagraph">
    <w:name w:val="List Paragraph"/>
    <w:basedOn w:val="Normal"/>
    <w:uiPriority w:val="34"/>
    <w:qFormat/>
    <w:rsid w:val="004D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5562">
      <w:bodyDiv w:val="1"/>
      <w:marLeft w:val="0"/>
      <w:marRight w:val="0"/>
      <w:marTop w:val="0"/>
      <w:marBottom w:val="0"/>
      <w:divBdr>
        <w:top w:val="none" w:sz="0" w:space="0" w:color="auto"/>
        <w:left w:val="none" w:sz="0" w:space="0" w:color="auto"/>
        <w:bottom w:val="none" w:sz="0" w:space="0" w:color="auto"/>
        <w:right w:val="none" w:sz="0" w:space="0" w:color="auto"/>
      </w:divBdr>
    </w:div>
    <w:div w:id="154410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2020-02-21T17:36:00Z</dcterms:created>
  <dcterms:modified xsi:type="dcterms:W3CDTF">2020-02-21T17:36:00Z</dcterms:modified>
</cp:coreProperties>
</file>