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8C55D4" w:rsidRDefault="00BF42FC" w:rsidP="00BF42FC">
      <w:pPr>
        <w:jc w:val="right"/>
        <w:rPr>
          <w:sz w:val="22"/>
          <w:szCs w:val="22"/>
          <w:lang w:val="en-GB"/>
        </w:rPr>
      </w:pPr>
    </w:p>
    <w:p w:rsidR="00BF42FC" w:rsidRPr="008C55D4" w:rsidRDefault="003E24AC" w:rsidP="000F1354">
      <w:pPr>
        <w:pStyle w:val="Heading2"/>
        <w:keepNext w:val="0"/>
        <w:ind w:left="-90" w:right="-367"/>
        <w:jc w:val="center"/>
        <w:rPr>
          <w:rFonts w:cs="Arial"/>
          <w:sz w:val="22"/>
          <w:szCs w:val="22"/>
          <w:lang w:val="en-GB"/>
        </w:rPr>
      </w:pPr>
      <w:r w:rsidRPr="008C55D4">
        <w:rPr>
          <w:rFonts w:cs="Arial"/>
          <w:sz w:val="22"/>
          <w:szCs w:val="22"/>
          <w:lang w:val="en-GB"/>
        </w:rPr>
        <w:t xml:space="preserve">SCIENTIFIC COUNCIL COMMENTS </w:t>
      </w:r>
    </w:p>
    <w:p w:rsidR="00BF42FC" w:rsidRPr="008C55D4" w:rsidRDefault="00BF42FC" w:rsidP="008C55D4">
      <w:pPr>
        <w:pStyle w:val="Heading2"/>
        <w:keepNext w:val="0"/>
        <w:ind w:left="-90" w:right="-367"/>
        <w:jc w:val="center"/>
        <w:rPr>
          <w:rFonts w:cs="Arial"/>
          <w:b w:val="0"/>
          <w:sz w:val="22"/>
          <w:szCs w:val="22"/>
          <w:lang w:val="en-GB"/>
        </w:rPr>
      </w:pPr>
      <w:r w:rsidRPr="008C55D4">
        <w:rPr>
          <w:rFonts w:cs="Arial"/>
          <w:b w:val="0"/>
          <w:sz w:val="22"/>
          <w:szCs w:val="22"/>
          <w:lang w:val="en-GB"/>
        </w:rPr>
        <w:t xml:space="preserve">(arising from ScC-SC2) </w:t>
      </w:r>
    </w:p>
    <w:p w:rsidR="00BF42FC" w:rsidRPr="008C55D4" w:rsidRDefault="00BF42FC" w:rsidP="000F1354">
      <w:pPr>
        <w:pStyle w:val="Heading2"/>
        <w:keepNext w:val="0"/>
        <w:ind w:left="-90" w:right="-367"/>
        <w:jc w:val="center"/>
        <w:rPr>
          <w:rFonts w:cs="Arial"/>
          <w:sz w:val="22"/>
          <w:szCs w:val="22"/>
          <w:lang w:val="en-GB"/>
        </w:rPr>
      </w:pPr>
    </w:p>
    <w:p w:rsidR="00812142" w:rsidRPr="008C55D4" w:rsidRDefault="00812142" w:rsidP="00812142">
      <w:pPr>
        <w:pStyle w:val="Heading2"/>
        <w:ind w:left="-90" w:right="-367"/>
        <w:jc w:val="center"/>
        <w:rPr>
          <w:rFonts w:cs="Arial"/>
          <w:sz w:val="22"/>
          <w:szCs w:val="22"/>
        </w:rPr>
      </w:pPr>
    </w:p>
    <w:p w:rsidR="00812142" w:rsidRPr="008C55D4" w:rsidRDefault="00812142" w:rsidP="00812142">
      <w:pPr>
        <w:pStyle w:val="Heading2"/>
        <w:keepNext w:val="0"/>
        <w:ind w:left="-90" w:right="-367"/>
        <w:jc w:val="center"/>
        <w:rPr>
          <w:rFonts w:cs="Arial"/>
          <w:sz w:val="22"/>
          <w:szCs w:val="22"/>
          <w:lang w:val="en-GB"/>
        </w:rPr>
      </w:pPr>
      <w:r w:rsidRPr="008C55D4">
        <w:rPr>
          <w:rFonts w:cs="Arial"/>
          <w:sz w:val="22"/>
          <w:szCs w:val="22"/>
        </w:rPr>
        <w:t>THE PREVENTION OF BIRD POISONING</w:t>
      </w:r>
    </w:p>
    <w:p w:rsidR="000F1354" w:rsidRPr="008C55D4" w:rsidRDefault="003E24AC" w:rsidP="000F1354">
      <w:pPr>
        <w:pStyle w:val="Heading2"/>
        <w:keepNext w:val="0"/>
        <w:ind w:left="-90" w:right="-367"/>
        <w:jc w:val="center"/>
        <w:rPr>
          <w:rFonts w:cs="Arial"/>
          <w:sz w:val="22"/>
          <w:szCs w:val="22"/>
          <w:lang w:val="en-GB"/>
        </w:rPr>
      </w:pPr>
      <w:r w:rsidRPr="008C55D4">
        <w:rPr>
          <w:rFonts w:cs="Arial"/>
          <w:sz w:val="22"/>
          <w:szCs w:val="22"/>
          <w:lang w:val="en-GB"/>
        </w:rPr>
        <w:t>UNEP/CMS/COP12/</w:t>
      </w:r>
      <w:r w:rsidR="00812142" w:rsidRPr="008C55D4">
        <w:rPr>
          <w:rFonts w:cs="Arial"/>
          <w:sz w:val="22"/>
          <w:szCs w:val="22"/>
          <w:lang w:val="en-GB"/>
        </w:rPr>
        <w:t>DOC.24.1.3</w:t>
      </w:r>
      <w:r w:rsidR="008C55D4">
        <w:rPr>
          <w:rFonts w:cs="Arial"/>
          <w:sz w:val="22"/>
          <w:szCs w:val="22"/>
          <w:lang w:val="en-GB"/>
        </w:rPr>
        <w:t>/Rev.2</w:t>
      </w:r>
    </w:p>
    <w:p w:rsidR="00BF42FC" w:rsidRDefault="00BF42FC" w:rsidP="00BF42FC">
      <w:pPr>
        <w:jc w:val="center"/>
        <w:rPr>
          <w:b/>
          <w:sz w:val="22"/>
          <w:szCs w:val="22"/>
          <w:lang w:val="en-GB"/>
        </w:rPr>
      </w:pPr>
    </w:p>
    <w:p w:rsidR="00AB2082" w:rsidRPr="008C55D4" w:rsidRDefault="00AB2082" w:rsidP="00BF42FC">
      <w:pPr>
        <w:jc w:val="center"/>
        <w:rPr>
          <w:b/>
          <w:sz w:val="22"/>
          <w:szCs w:val="22"/>
          <w:lang w:val="en-GB"/>
        </w:rPr>
      </w:pPr>
    </w:p>
    <w:p w:rsidR="00DF4423" w:rsidRPr="008C55D4" w:rsidRDefault="00596840" w:rsidP="008C55D4">
      <w:pPr>
        <w:tabs>
          <w:tab w:val="left" w:pos="1020"/>
        </w:tabs>
        <w:jc w:val="both"/>
        <w:rPr>
          <w:rFonts w:cs="Arial"/>
          <w:sz w:val="22"/>
          <w:szCs w:val="22"/>
        </w:rPr>
      </w:pPr>
      <w:r w:rsidRPr="008C55D4">
        <w:rPr>
          <w:rFonts w:cs="Arial"/>
          <w:sz w:val="22"/>
          <w:szCs w:val="22"/>
        </w:rPr>
        <w:t xml:space="preserve">These comments were stated by Observers. The Members of the Scientific Council Sessional Committee are kindly requested to evaluate their applicability regarding the scientific content. </w:t>
      </w:r>
    </w:p>
    <w:p w:rsidR="008C55D4" w:rsidRDefault="008C55D4" w:rsidP="00DF4423">
      <w:pPr>
        <w:tabs>
          <w:tab w:val="left" w:pos="1020"/>
        </w:tabs>
        <w:rPr>
          <w:rFonts w:cs="Arial"/>
          <w:b/>
          <w:sz w:val="22"/>
          <w:szCs w:val="22"/>
        </w:rPr>
      </w:pPr>
      <w:bookmarkStart w:id="0" w:name="_GoBack"/>
      <w:bookmarkEnd w:id="0"/>
    </w:p>
    <w:p w:rsidR="00AB2082" w:rsidRPr="008C55D4" w:rsidRDefault="00AB2082" w:rsidP="00DF4423">
      <w:pPr>
        <w:tabs>
          <w:tab w:val="left" w:pos="1020"/>
        </w:tabs>
        <w:rPr>
          <w:rFonts w:cs="Arial"/>
          <w:b/>
          <w:sz w:val="22"/>
          <w:szCs w:val="22"/>
        </w:rPr>
      </w:pPr>
    </w:p>
    <w:p w:rsidR="00DF4423" w:rsidRPr="008C55D4" w:rsidRDefault="00DF4423" w:rsidP="00DF4423">
      <w:pPr>
        <w:tabs>
          <w:tab w:val="left" w:pos="1020"/>
        </w:tabs>
        <w:rPr>
          <w:rFonts w:cs="Arial"/>
          <w:b/>
          <w:sz w:val="22"/>
          <w:szCs w:val="22"/>
        </w:rPr>
      </w:pPr>
      <w:r w:rsidRPr="008C55D4">
        <w:rPr>
          <w:rFonts w:cs="Arial"/>
          <w:b/>
          <w:sz w:val="22"/>
          <w:szCs w:val="22"/>
        </w:rPr>
        <w:t>GENERAL COMMENTS ON THE DOCUMENT</w:t>
      </w:r>
    </w:p>
    <w:p w:rsidR="00AE45FB" w:rsidRPr="008C55D4" w:rsidRDefault="00AE45FB" w:rsidP="00DF4423">
      <w:pPr>
        <w:tabs>
          <w:tab w:val="left" w:pos="1020"/>
        </w:tabs>
        <w:rPr>
          <w:rFonts w:cs="Arial"/>
          <w:b/>
          <w:sz w:val="22"/>
          <w:szCs w:val="22"/>
        </w:rPr>
      </w:pPr>
    </w:p>
    <w:p w:rsidR="00755C2A" w:rsidRPr="008C55D4" w:rsidRDefault="00755C2A" w:rsidP="00AB2082">
      <w:pPr>
        <w:pStyle w:val="ListParagraph"/>
        <w:numPr>
          <w:ilvl w:val="0"/>
          <w:numId w:val="43"/>
        </w:numPr>
        <w:tabs>
          <w:tab w:val="left" w:pos="1020"/>
        </w:tabs>
        <w:jc w:val="both"/>
        <w:rPr>
          <w:rFonts w:cs="Arial"/>
          <w:sz w:val="22"/>
          <w:szCs w:val="22"/>
        </w:rPr>
      </w:pPr>
      <w:r w:rsidRPr="008C55D4">
        <w:rPr>
          <w:rFonts w:cs="Arial"/>
          <w:sz w:val="22"/>
          <w:szCs w:val="22"/>
        </w:rPr>
        <w:t>The PPWG was established under the CMS Scientific Council, which was appropriate at the time as the task was to review the scale of the problem and develop guidelines.  Now that the PPWG has moved into the operational phase,</w:t>
      </w:r>
      <w:r w:rsidR="002C221F" w:rsidRPr="008C55D4">
        <w:rPr>
          <w:rFonts w:cs="Arial"/>
          <w:sz w:val="22"/>
          <w:szCs w:val="22"/>
        </w:rPr>
        <w:t xml:space="preserve"> it is recommended</w:t>
      </w:r>
      <w:r w:rsidRPr="008C55D4">
        <w:rPr>
          <w:rFonts w:cs="Arial"/>
          <w:sz w:val="22"/>
          <w:szCs w:val="22"/>
        </w:rPr>
        <w:t xml:space="preserve"> to </w:t>
      </w:r>
      <w:r w:rsidR="00D1399E" w:rsidRPr="008C55D4">
        <w:rPr>
          <w:rFonts w:cs="Arial"/>
          <w:sz w:val="22"/>
          <w:szCs w:val="22"/>
        </w:rPr>
        <w:t xml:space="preserve">consider </w:t>
      </w:r>
      <w:r w:rsidRPr="008C55D4">
        <w:rPr>
          <w:rFonts w:cs="Arial"/>
          <w:sz w:val="22"/>
          <w:szCs w:val="22"/>
        </w:rPr>
        <w:t>giv</w:t>
      </w:r>
      <w:r w:rsidR="00D1399E" w:rsidRPr="008C55D4">
        <w:rPr>
          <w:rFonts w:cs="Arial"/>
          <w:sz w:val="22"/>
          <w:szCs w:val="22"/>
        </w:rPr>
        <w:t>ing</w:t>
      </w:r>
      <w:r w:rsidRPr="008C55D4">
        <w:rPr>
          <w:rFonts w:cs="Arial"/>
          <w:sz w:val="22"/>
          <w:szCs w:val="22"/>
        </w:rPr>
        <w:t xml:space="preserve"> it the same status as the Energy Task Force and Illegal Killing Task Force i.e. reporting direct to COP rather than to the Scientific Council.</w:t>
      </w:r>
    </w:p>
    <w:p w:rsidR="006356C5" w:rsidRDefault="006356C5" w:rsidP="006356C5">
      <w:pPr>
        <w:tabs>
          <w:tab w:val="left" w:pos="1020"/>
        </w:tabs>
        <w:rPr>
          <w:rFonts w:cs="Arial"/>
          <w:sz w:val="22"/>
          <w:szCs w:val="22"/>
        </w:rPr>
      </w:pPr>
    </w:p>
    <w:p w:rsidR="008C55D4" w:rsidRPr="008C55D4" w:rsidRDefault="008C55D4" w:rsidP="006356C5">
      <w:pPr>
        <w:tabs>
          <w:tab w:val="left" w:pos="1020"/>
        </w:tabs>
        <w:rPr>
          <w:rFonts w:cs="Arial"/>
          <w:sz w:val="22"/>
          <w:szCs w:val="22"/>
        </w:rPr>
      </w:pPr>
    </w:p>
    <w:p w:rsidR="008F20D3" w:rsidRPr="008C55D4" w:rsidRDefault="006356C5" w:rsidP="008F20D3">
      <w:pPr>
        <w:tabs>
          <w:tab w:val="left" w:pos="1020"/>
        </w:tabs>
        <w:rPr>
          <w:rFonts w:cs="Arial"/>
          <w:b/>
          <w:sz w:val="22"/>
          <w:szCs w:val="22"/>
        </w:rPr>
      </w:pPr>
      <w:r w:rsidRPr="008C55D4">
        <w:rPr>
          <w:rFonts w:cs="Arial"/>
          <w:b/>
          <w:sz w:val="22"/>
          <w:szCs w:val="22"/>
        </w:rPr>
        <w:t>COMMENTS ON SPECIFIC SECTIONS</w:t>
      </w:r>
      <w:r w:rsidR="008F20D3" w:rsidRPr="008C55D4">
        <w:rPr>
          <w:rFonts w:cs="Arial"/>
          <w:b/>
          <w:sz w:val="22"/>
          <w:szCs w:val="22"/>
        </w:rPr>
        <w:t xml:space="preserve">/ </w:t>
      </w:r>
      <w:r w:rsidR="00DF4423" w:rsidRPr="008C55D4">
        <w:rPr>
          <w:rFonts w:cs="Arial"/>
          <w:b/>
          <w:sz w:val="22"/>
          <w:szCs w:val="22"/>
        </w:rPr>
        <w:t>INCLUDING POSSI</w:t>
      </w:r>
      <w:r w:rsidR="008F20D3" w:rsidRPr="008C55D4">
        <w:rPr>
          <w:rFonts w:cs="Arial"/>
          <w:b/>
          <w:sz w:val="22"/>
          <w:szCs w:val="22"/>
        </w:rPr>
        <w:t>BLE PROPOSALS FOR TEXT REVISION</w:t>
      </w:r>
    </w:p>
    <w:p w:rsidR="008F20D3" w:rsidRPr="008C55D4" w:rsidRDefault="008F20D3" w:rsidP="008F20D3">
      <w:pPr>
        <w:tabs>
          <w:tab w:val="left" w:pos="1020"/>
        </w:tabs>
        <w:rPr>
          <w:rFonts w:cs="Arial"/>
          <w:b/>
          <w:sz w:val="22"/>
          <w:szCs w:val="22"/>
        </w:rPr>
      </w:pPr>
    </w:p>
    <w:p w:rsidR="000E32BE" w:rsidRPr="008C55D4" w:rsidRDefault="008C55D4" w:rsidP="00AB2082">
      <w:pPr>
        <w:tabs>
          <w:tab w:val="left" w:pos="426"/>
          <w:tab w:val="left" w:pos="1020"/>
        </w:tabs>
        <w:rPr>
          <w:rFonts w:cs="Arial"/>
          <w:sz w:val="22"/>
          <w:szCs w:val="22"/>
          <w:u w:val="single"/>
        </w:rPr>
      </w:pPr>
      <w:r w:rsidRPr="008C55D4">
        <w:rPr>
          <w:rFonts w:cs="Arial"/>
          <w:sz w:val="22"/>
          <w:szCs w:val="22"/>
        </w:rPr>
        <w:tab/>
      </w:r>
      <w:r w:rsidR="000E32BE" w:rsidRPr="008C55D4">
        <w:rPr>
          <w:rFonts w:cs="Arial"/>
          <w:sz w:val="22"/>
          <w:szCs w:val="22"/>
          <w:u w:val="single"/>
        </w:rPr>
        <w:t>Summary</w:t>
      </w:r>
    </w:p>
    <w:p w:rsidR="008F20D3" w:rsidRPr="008C55D4" w:rsidRDefault="008F20D3" w:rsidP="008F20D3">
      <w:pPr>
        <w:pStyle w:val="ListParagraph"/>
        <w:tabs>
          <w:tab w:val="left" w:pos="1020"/>
        </w:tabs>
        <w:ind w:left="420"/>
        <w:rPr>
          <w:rFonts w:cs="Arial"/>
          <w:sz w:val="22"/>
          <w:szCs w:val="22"/>
        </w:rPr>
      </w:pPr>
      <w:r w:rsidRPr="008C55D4">
        <w:rPr>
          <w:rFonts w:cs="Arial"/>
          <w:sz w:val="22"/>
          <w:szCs w:val="22"/>
        </w:rPr>
        <w:t>P</w:t>
      </w:r>
      <w:r w:rsidR="00AE45FB" w:rsidRPr="008C55D4">
        <w:rPr>
          <w:rFonts w:cs="Arial"/>
          <w:sz w:val="22"/>
          <w:szCs w:val="22"/>
        </w:rPr>
        <w:t>age</w:t>
      </w:r>
      <w:r w:rsidRPr="008C55D4">
        <w:rPr>
          <w:rFonts w:cs="Arial"/>
          <w:sz w:val="22"/>
          <w:szCs w:val="22"/>
        </w:rPr>
        <w:t xml:space="preserve"> </w:t>
      </w:r>
      <w:r w:rsidR="00755C2A" w:rsidRPr="008C55D4">
        <w:rPr>
          <w:rFonts w:cs="Arial"/>
          <w:sz w:val="22"/>
          <w:szCs w:val="22"/>
        </w:rPr>
        <w:t>1</w:t>
      </w:r>
      <w:r w:rsidR="000E32BE" w:rsidRPr="008C55D4">
        <w:rPr>
          <w:rFonts w:cs="Arial"/>
          <w:sz w:val="22"/>
          <w:szCs w:val="22"/>
        </w:rPr>
        <w:t>,</w:t>
      </w:r>
    </w:p>
    <w:p w:rsidR="00755C2A" w:rsidRPr="008C55D4" w:rsidRDefault="00FB6EDF" w:rsidP="00755C2A">
      <w:pPr>
        <w:pStyle w:val="ListParagraph"/>
        <w:numPr>
          <w:ilvl w:val="0"/>
          <w:numId w:val="43"/>
        </w:numPr>
        <w:rPr>
          <w:rFonts w:cs="Arial"/>
          <w:sz w:val="22"/>
          <w:szCs w:val="22"/>
        </w:rPr>
      </w:pPr>
      <w:r w:rsidRPr="008C55D4">
        <w:rPr>
          <w:rFonts w:cs="Arial"/>
          <w:sz w:val="22"/>
          <w:szCs w:val="22"/>
        </w:rPr>
        <w:t xml:space="preserve">Reference </w:t>
      </w:r>
      <w:r w:rsidR="000C3595" w:rsidRPr="008C55D4">
        <w:rPr>
          <w:rFonts w:cs="Arial"/>
          <w:sz w:val="22"/>
          <w:szCs w:val="22"/>
        </w:rPr>
        <w:t>to the PO</w:t>
      </w:r>
      <w:r w:rsidR="00755C2A" w:rsidRPr="008C55D4">
        <w:rPr>
          <w:rFonts w:cs="Arial"/>
          <w:sz w:val="22"/>
          <w:szCs w:val="22"/>
        </w:rPr>
        <w:t>W</w:t>
      </w:r>
      <w:r w:rsidR="00CA3DE9" w:rsidRPr="008C55D4">
        <w:rPr>
          <w:rFonts w:cs="Arial"/>
          <w:sz w:val="22"/>
          <w:szCs w:val="22"/>
        </w:rPr>
        <w:t xml:space="preserve"> of the PPWG</w:t>
      </w:r>
      <w:r w:rsidRPr="008C55D4">
        <w:rPr>
          <w:rFonts w:cs="Arial"/>
          <w:sz w:val="22"/>
          <w:szCs w:val="22"/>
        </w:rPr>
        <w:t xml:space="preserve"> should be made.</w:t>
      </w:r>
    </w:p>
    <w:p w:rsidR="008F20D3" w:rsidRPr="008C55D4" w:rsidRDefault="008F20D3" w:rsidP="008F20D3">
      <w:pPr>
        <w:tabs>
          <w:tab w:val="left" w:pos="1020"/>
        </w:tabs>
        <w:rPr>
          <w:rFonts w:cs="Arial"/>
          <w:sz w:val="22"/>
          <w:szCs w:val="22"/>
        </w:rPr>
      </w:pPr>
    </w:p>
    <w:p w:rsidR="000E32BE" w:rsidRPr="008C55D4" w:rsidRDefault="008C55D4" w:rsidP="00AB2082">
      <w:pPr>
        <w:tabs>
          <w:tab w:val="left" w:pos="426"/>
          <w:tab w:val="left" w:pos="567"/>
          <w:tab w:val="left" w:pos="1020"/>
        </w:tabs>
        <w:rPr>
          <w:rFonts w:cs="Arial"/>
          <w:sz w:val="22"/>
          <w:szCs w:val="22"/>
          <w:u w:val="single"/>
        </w:rPr>
      </w:pPr>
      <w:r w:rsidRPr="008C55D4">
        <w:rPr>
          <w:rFonts w:cs="Arial"/>
          <w:sz w:val="22"/>
          <w:szCs w:val="22"/>
        </w:rPr>
        <w:tab/>
      </w:r>
      <w:r w:rsidR="000E32BE" w:rsidRPr="008C55D4">
        <w:rPr>
          <w:rFonts w:cs="Arial"/>
          <w:sz w:val="22"/>
          <w:szCs w:val="22"/>
          <w:u w:val="single"/>
        </w:rPr>
        <w:t>Background</w:t>
      </w:r>
    </w:p>
    <w:p w:rsidR="008F20D3" w:rsidRPr="008C55D4" w:rsidRDefault="008F20D3" w:rsidP="008F20D3">
      <w:pPr>
        <w:pStyle w:val="ListParagraph"/>
        <w:tabs>
          <w:tab w:val="left" w:pos="1020"/>
        </w:tabs>
        <w:ind w:left="420"/>
        <w:rPr>
          <w:rFonts w:cs="Arial"/>
          <w:sz w:val="22"/>
          <w:szCs w:val="22"/>
        </w:rPr>
      </w:pPr>
      <w:r w:rsidRPr="008C55D4">
        <w:rPr>
          <w:rFonts w:cs="Arial"/>
          <w:sz w:val="22"/>
          <w:szCs w:val="22"/>
        </w:rPr>
        <w:t>P</w:t>
      </w:r>
      <w:r w:rsidR="00AE45FB" w:rsidRPr="008C55D4">
        <w:rPr>
          <w:rFonts w:cs="Arial"/>
          <w:sz w:val="22"/>
          <w:szCs w:val="22"/>
        </w:rPr>
        <w:t>age</w:t>
      </w:r>
      <w:r w:rsidRPr="008C55D4">
        <w:rPr>
          <w:rFonts w:cs="Arial"/>
          <w:sz w:val="22"/>
          <w:szCs w:val="22"/>
        </w:rPr>
        <w:t xml:space="preserve"> </w:t>
      </w:r>
      <w:r w:rsidR="00CA3DE9" w:rsidRPr="008C55D4">
        <w:rPr>
          <w:rFonts w:cs="Arial"/>
          <w:sz w:val="22"/>
          <w:szCs w:val="22"/>
        </w:rPr>
        <w:t>2</w:t>
      </w:r>
      <w:r w:rsidRPr="008C55D4">
        <w:rPr>
          <w:rFonts w:cs="Arial"/>
          <w:sz w:val="22"/>
          <w:szCs w:val="22"/>
        </w:rPr>
        <w:t xml:space="preserve">, </w:t>
      </w:r>
      <w:r w:rsidR="00AE45FB" w:rsidRPr="008C55D4">
        <w:rPr>
          <w:rFonts w:cs="Arial"/>
          <w:sz w:val="22"/>
          <w:szCs w:val="22"/>
        </w:rPr>
        <w:t>p</w:t>
      </w:r>
      <w:r w:rsidRPr="008C55D4">
        <w:rPr>
          <w:rFonts w:cs="Arial"/>
          <w:sz w:val="22"/>
          <w:szCs w:val="22"/>
        </w:rPr>
        <w:t xml:space="preserve">ara. </w:t>
      </w:r>
      <w:r w:rsidR="00CA3DE9" w:rsidRPr="008C55D4">
        <w:rPr>
          <w:rFonts w:cs="Arial"/>
          <w:sz w:val="22"/>
          <w:szCs w:val="22"/>
        </w:rPr>
        <w:t>1</w:t>
      </w:r>
    </w:p>
    <w:p w:rsidR="00CA3DE9" w:rsidRPr="008C55D4" w:rsidRDefault="00CA3DE9" w:rsidP="00CA3DE9">
      <w:pPr>
        <w:pStyle w:val="ListParagraph"/>
        <w:numPr>
          <w:ilvl w:val="0"/>
          <w:numId w:val="43"/>
        </w:numPr>
        <w:tabs>
          <w:tab w:val="left" w:pos="1020"/>
        </w:tabs>
        <w:rPr>
          <w:rFonts w:cs="Arial"/>
          <w:sz w:val="22"/>
          <w:szCs w:val="22"/>
        </w:rPr>
      </w:pPr>
      <w:r w:rsidRPr="008C55D4">
        <w:rPr>
          <w:rFonts w:cs="Arial"/>
          <w:sz w:val="22"/>
          <w:szCs w:val="22"/>
        </w:rPr>
        <w:t>Reword the last sentence.</w:t>
      </w:r>
    </w:p>
    <w:p w:rsidR="00CA3DE9" w:rsidRPr="008C55D4" w:rsidRDefault="00CA3DE9" w:rsidP="00CA3DE9">
      <w:pPr>
        <w:pStyle w:val="ListParagraph"/>
        <w:tabs>
          <w:tab w:val="left" w:pos="1020"/>
        </w:tabs>
        <w:ind w:left="420"/>
        <w:rPr>
          <w:rFonts w:cs="Arial"/>
          <w:sz w:val="22"/>
          <w:szCs w:val="22"/>
        </w:rPr>
      </w:pPr>
    </w:p>
    <w:p w:rsidR="00CA3DE9" w:rsidRPr="008C55D4" w:rsidRDefault="00CA3DE9" w:rsidP="00CA3DE9">
      <w:pPr>
        <w:pStyle w:val="ListParagraph"/>
        <w:tabs>
          <w:tab w:val="left" w:pos="1020"/>
        </w:tabs>
        <w:ind w:left="420"/>
        <w:rPr>
          <w:rFonts w:cs="Arial"/>
          <w:sz w:val="22"/>
          <w:szCs w:val="22"/>
        </w:rPr>
      </w:pPr>
      <w:r w:rsidRPr="008C55D4">
        <w:rPr>
          <w:rFonts w:cs="Arial"/>
          <w:sz w:val="22"/>
          <w:szCs w:val="22"/>
        </w:rPr>
        <w:t>Page 2 para. 2</w:t>
      </w:r>
    </w:p>
    <w:p w:rsidR="00CA3DE9" w:rsidRPr="008C55D4" w:rsidRDefault="00CA3DE9" w:rsidP="00CA3DE9">
      <w:pPr>
        <w:pStyle w:val="ListParagraph"/>
        <w:numPr>
          <w:ilvl w:val="0"/>
          <w:numId w:val="43"/>
        </w:numPr>
        <w:tabs>
          <w:tab w:val="left" w:pos="1020"/>
        </w:tabs>
        <w:rPr>
          <w:rFonts w:cs="Arial"/>
          <w:sz w:val="22"/>
          <w:szCs w:val="22"/>
        </w:rPr>
      </w:pPr>
      <w:r w:rsidRPr="008C55D4">
        <w:rPr>
          <w:rFonts w:cs="Arial"/>
          <w:sz w:val="22"/>
          <w:szCs w:val="22"/>
          <w:lang w:val="en-GB"/>
        </w:rPr>
        <w:t>Reword: The Working Group agreed on the five categories of poisoning with the most significant impact on migratory birds and began developing guidelines to address them.</w:t>
      </w:r>
    </w:p>
    <w:p w:rsidR="00881468" w:rsidRPr="008C55D4" w:rsidRDefault="00881468" w:rsidP="00881468">
      <w:pPr>
        <w:pStyle w:val="ListParagraph"/>
        <w:tabs>
          <w:tab w:val="left" w:pos="1020"/>
        </w:tabs>
        <w:ind w:left="420"/>
        <w:rPr>
          <w:rFonts w:cs="Arial"/>
          <w:sz w:val="22"/>
          <w:szCs w:val="22"/>
        </w:rPr>
      </w:pPr>
    </w:p>
    <w:p w:rsidR="00881468" w:rsidRPr="008C55D4" w:rsidRDefault="00881468" w:rsidP="00881468">
      <w:pPr>
        <w:pStyle w:val="ListParagraph"/>
        <w:tabs>
          <w:tab w:val="left" w:pos="1020"/>
        </w:tabs>
        <w:ind w:left="420"/>
        <w:rPr>
          <w:rFonts w:cs="Arial"/>
          <w:sz w:val="22"/>
          <w:szCs w:val="22"/>
        </w:rPr>
      </w:pPr>
      <w:r w:rsidRPr="008C55D4">
        <w:rPr>
          <w:rFonts w:cs="Arial"/>
          <w:sz w:val="22"/>
          <w:szCs w:val="22"/>
        </w:rPr>
        <w:t>Page 2, para. 4</w:t>
      </w:r>
    </w:p>
    <w:p w:rsidR="008F20D3" w:rsidRPr="008C55D4" w:rsidRDefault="00881468" w:rsidP="008F20D3">
      <w:pPr>
        <w:pStyle w:val="ListParagraph"/>
        <w:numPr>
          <w:ilvl w:val="0"/>
          <w:numId w:val="43"/>
        </w:numPr>
        <w:tabs>
          <w:tab w:val="left" w:pos="1020"/>
        </w:tabs>
        <w:rPr>
          <w:rFonts w:cs="Arial"/>
          <w:sz w:val="22"/>
          <w:szCs w:val="22"/>
        </w:rPr>
      </w:pPr>
      <w:r w:rsidRPr="008C55D4">
        <w:rPr>
          <w:rFonts w:cs="Arial"/>
          <w:sz w:val="22"/>
          <w:szCs w:val="22"/>
          <w:lang w:val="en-GB"/>
        </w:rPr>
        <w:t xml:space="preserve">A similar para to 4 </w:t>
      </w:r>
      <w:r w:rsidR="007554A2" w:rsidRPr="008C55D4">
        <w:rPr>
          <w:rFonts w:cs="Arial"/>
          <w:sz w:val="22"/>
          <w:szCs w:val="22"/>
          <w:lang w:val="en-GB"/>
        </w:rPr>
        <w:t xml:space="preserve">may </w:t>
      </w:r>
      <w:r w:rsidRPr="008C55D4">
        <w:rPr>
          <w:rFonts w:cs="Arial"/>
          <w:sz w:val="22"/>
          <w:szCs w:val="22"/>
          <w:lang w:val="en-GB"/>
        </w:rPr>
        <w:t>be added for the ENEC Plan</w:t>
      </w:r>
    </w:p>
    <w:p w:rsidR="00314FB7" w:rsidRPr="008C55D4" w:rsidRDefault="00596840" w:rsidP="00314FB7">
      <w:pPr>
        <w:pStyle w:val="ListParagraph"/>
        <w:numPr>
          <w:ilvl w:val="0"/>
          <w:numId w:val="43"/>
        </w:numPr>
        <w:rPr>
          <w:rFonts w:cs="Arial"/>
          <w:sz w:val="22"/>
          <w:szCs w:val="22"/>
        </w:rPr>
      </w:pPr>
      <w:r w:rsidRPr="008C55D4">
        <w:rPr>
          <w:rFonts w:cs="Arial"/>
          <w:sz w:val="22"/>
          <w:szCs w:val="22"/>
        </w:rPr>
        <w:t>I</w:t>
      </w:r>
      <w:r w:rsidR="009A7F89" w:rsidRPr="008C55D4">
        <w:rPr>
          <w:rFonts w:cs="Arial"/>
          <w:sz w:val="22"/>
          <w:szCs w:val="22"/>
        </w:rPr>
        <w:t xml:space="preserve">nclude </w:t>
      </w:r>
      <w:r w:rsidR="00314FB7" w:rsidRPr="008C55D4">
        <w:rPr>
          <w:rFonts w:cs="Arial"/>
          <w:sz w:val="22"/>
          <w:szCs w:val="22"/>
        </w:rPr>
        <w:t>weblinks to the documents mentioned in paras 3 and 4</w:t>
      </w:r>
    </w:p>
    <w:p w:rsidR="009C3F05" w:rsidRPr="008C55D4" w:rsidRDefault="009C3F05" w:rsidP="00AB2082">
      <w:pPr>
        <w:pStyle w:val="ListParagraph"/>
        <w:tabs>
          <w:tab w:val="left" w:pos="1020"/>
        </w:tabs>
        <w:ind w:left="420"/>
        <w:rPr>
          <w:rFonts w:cs="Arial"/>
          <w:sz w:val="22"/>
          <w:szCs w:val="22"/>
        </w:rPr>
      </w:pPr>
    </w:p>
    <w:p w:rsidR="008F20D3" w:rsidRPr="008C55D4" w:rsidRDefault="009C3F05" w:rsidP="009C3F05">
      <w:pPr>
        <w:pStyle w:val="ListParagraph"/>
        <w:tabs>
          <w:tab w:val="left" w:pos="1020"/>
        </w:tabs>
        <w:ind w:left="420"/>
        <w:rPr>
          <w:rFonts w:cs="Arial"/>
          <w:sz w:val="22"/>
          <w:szCs w:val="22"/>
        </w:rPr>
      </w:pPr>
      <w:r w:rsidRPr="008C55D4">
        <w:rPr>
          <w:rFonts w:cs="Arial"/>
          <w:sz w:val="22"/>
          <w:szCs w:val="22"/>
        </w:rPr>
        <w:t>Page 2, para. 5</w:t>
      </w:r>
    </w:p>
    <w:p w:rsidR="008F20D3" w:rsidRPr="008C55D4" w:rsidRDefault="009C3F05" w:rsidP="008F20D3">
      <w:pPr>
        <w:pStyle w:val="ListParagraph"/>
        <w:numPr>
          <w:ilvl w:val="0"/>
          <w:numId w:val="43"/>
        </w:numPr>
        <w:tabs>
          <w:tab w:val="left" w:pos="1020"/>
        </w:tabs>
        <w:rPr>
          <w:rFonts w:cs="Arial"/>
          <w:sz w:val="22"/>
          <w:szCs w:val="22"/>
        </w:rPr>
      </w:pPr>
      <w:r w:rsidRPr="008C55D4">
        <w:rPr>
          <w:rFonts w:cs="Arial"/>
          <w:sz w:val="22"/>
          <w:szCs w:val="22"/>
          <w:lang w:val="en-GB"/>
        </w:rPr>
        <w:t>‘proposed’ should be changed to more appropriate word</w:t>
      </w:r>
    </w:p>
    <w:p w:rsidR="009C3F05" w:rsidRPr="008C55D4" w:rsidRDefault="009C3F05" w:rsidP="009C3F05">
      <w:pPr>
        <w:pStyle w:val="ListParagraph"/>
        <w:tabs>
          <w:tab w:val="left" w:pos="1020"/>
        </w:tabs>
        <w:ind w:left="420"/>
        <w:rPr>
          <w:rFonts w:cs="Arial"/>
          <w:sz w:val="22"/>
          <w:szCs w:val="22"/>
        </w:rPr>
      </w:pPr>
    </w:p>
    <w:p w:rsidR="009C3F05" w:rsidRPr="008C55D4" w:rsidRDefault="009C3F05" w:rsidP="009C3F05">
      <w:pPr>
        <w:pStyle w:val="ListParagraph"/>
        <w:tabs>
          <w:tab w:val="left" w:pos="1020"/>
        </w:tabs>
        <w:ind w:left="420"/>
        <w:rPr>
          <w:rFonts w:cs="Arial"/>
          <w:sz w:val="22"/>
          <w:szCs w:val="22"/>
        </w:rPr>
      </w:pPr>
      <w:r w:rsidRPr="008C55D4">
        <w:rPr>
          <w:rFonts w:cs="Arial"/>
          <w:sz w:val="22"/>
          <w:szCs w:val="22"/>
        </w:rPr>
        <w:t>Page 3, para. 8</w:t>
      </w:r>
    </w:p>
    <w:p w:rsidR="008F20D3" w:rsidRPr="008C55D4" w:rsidRDefault="009C3F05" w:rsidP="008F20D3">
      <w:pPr>
        <w:pStyle w:val="ListParagraph"/>
        <w:numPr>
          <w:ilvl w:val="0"/>
          <w:numId w:val="43"/>
        </w:numPr>
        <w:tabs>
          <w:tab w:val="left" w:pos="1020"/>
        </w:tabs>
        <w:rPr>
          <w:rFonts w:cs="Arial"/>
          <w:sz w:val="22"/>
          <w:szCs w:val="22"/>
        </w:rPr>
      </w:pPr>
      <w:r w:rsidRPr="008C55D4">
        <w:rPr>
          <w:rFonts w:cs="Arial"/>
          <w:sz w:val="22"/>
          <w:szCs w:val="22"/>
          <w:lang w:val="en-GB"/>
        </w:rPr>
        <w:t>Delete ‘in’</w:t>
      </w:r>
    </w:p>
    <w:p w:rsidR="009C3F05" w:rsidRPr="008C55D4" w:rsidRDefault="009C3F05" w:rsidP="009C3F05">
      <w:pPr>
        <w:pStyle w:val="ListParagraph"/>
        <w:tabs>
          <w:tab w:val="left" w:pos="1020"/>
        </w:tabs>
        <w:ind w:left="420"/>
        <w:rPr>
          <w:rFonts w:cs="Arial"/>
          <w:sz w:val="22"/>
          <w:szCs w:val="22"/>
        </w:rPr>
      </w:pPr>
    </w:p>
    <w:p w:rsidR="009C3F05" w:rsidRPr="008C55D4" w:rsidRDefault="009C3F05" w:rsidP="009C3F05">
      <w:pPr>
        <w:pStyle w:val="ListParagraph"/>
        <w:tabs>
          <w:tab w:val="left" w:pos="1020"/>
        </w:tabs>
        <w:ind w:left="420"/>
        <w:rPr>
          <w:rFonts w:cs="Arial"/>
          <w:sz w:val="22"/>
          <w:szCs w:val="22"/>
        </w:rPr>
      </w:pPr>
      <w:r w:rsidRPr="008C55D4">
        <w:rPr>
          <w:rFonts w:cs="Arial"/>
          <w:sz w:val="22"/>
          <w:szCs w:val="22"/>
        </w:rPr>
        <w:t>Page 3, para. 13</w:t>
      </w:r>
    </w:p>
    <w:p w:rsidR="000C3595" w:rsidRPr="008C55D4" w:rsidRDefault="009C3F05" w:rsidP="00AB2082">
      <w:pPr>
        <w:pStyle w:val="ListParagraph"/>
        <w:numPr>
          <w:ilvl w:val="0"/>
          <w:numId w:val="43"/>
        </w:numPr>
        <w:tabs>
          <w:tab w:val="left" w:pos="1020"/>
        </w:tabs>
        <w:jc w:val="both"/>
        <w:rPr>
          <w:rFonts w:cs="Arial"/>
          <w:sz w:val="22"/>
          <w:szCs w:val="22"/>
        </w:rPr>
      </w:pPr>
      <w:r w:rsidRPr="008C55D4">
        <w:rPr>
          <w:rFonts w:cs="Arial"/>
          <w:sz w:val="22"/>
          <w:szCs w:val="22"/>
          <w:lang w:val="en-GB"/>
        </w:rPr>
        <w:t xml:space="preserve">Change to </w:t>
      </w:r>
      <w:r w:rsidR="000C3595" w:rsidRPr="008C55D4">
        <w:rPr>
          <w:rFonts w:cs="Arial"/>
          <w:sz w:val="22"/>
          <w:szCs w:val="22"/>
          <w:lang w:val="en-GB"/>
        </w:rPr>
        <w:t xml:space="preserve">‘UNEA 3 provides an opportunity to promote the implementation of CMS Resolution 11.15 with its Guidelines </w:t>
      </w:r>
      <w:r w:rsidR="000C3595" w:rsidRPr="008C55D4">
        <w:rPr>
          <w:rFonts w:cs="Arial"/>
          <w:sz w:val="22"/>
          <w:szCs w:val="22"/>
          <w:lang w:val="en"/>
        </w:rPr>
        <w:t xml:space="preserve">to </w:t>
      </w:r>
      <w:r w:rsidR="000C3595" w:rsidRPr="008C55D4">
        <w:rPr>
          <w:rFonts w:cs="Arial"/>
          <w:bCs/>
          <w:sz w:val="22"/>
          <w:szCs w:val="22"/>
          <w:lang w:val="en"/>
        </w:rPr>
        <w:t>Prevent the Risk of Poisoning to Migratory Birds, as appropriate,</w:t>
      </w:r>
      <w:r w:rsidR="000C3595" w:rsidRPr="008C55D4">
        <w:rPr>
          <w:rFonts w:cs="Arial"/>
          <w:sz w:val="22"/>
          <w:szCs w:val="22"/>
          <w:lang w:val="en-GB"/>
        </w:rPr>
        <w:t xml:space="preserve"> and make progress towards </w:t>
      </w:r>
      <w:r w:rsidR="001A4AE4" w:rsidRPr="008C55D4">
        <w:rPr>
          <w:rFonts w:cs="Arial"/>
          <w:sz w:val="22"/>
          <w:szCs w:val="22"/>
          <w:lang w:val="en-GB"/>
        </w:rPr>
        <w:t>the</w:t>
      </w:r>
      <w:r w:rsidR="000C3595" w:rsidRPr="008C55D4">
        <w:rPr>
          <w:rFonts w:cs="Arial"/>
          <w:sz w:val="22"/>
          <w:szCs w:val="22"/>
          <w:lang w:val="en-GB"/>
        </w:rPr>
        <w:t xml:space="preserve"> global </w:t>
      </w:r>
      <w:r w:rsidR="001A4AE4" w:rsidRPr="008C55D4">
        <w:rPr>
          <w:rFonts w:cs="Arial"/>
          <w:sz w:val="22"/>
          <w:szCs w:val="22"/>
          <w:lang w:val="en-GB"/>
        </w:rPr>
        <w:t>p</w:t>
      </w:r>
      <w:r w:rsidR="007E6AAB" w:rsidRPr="008C55D4">
        <w:rPr>
          <w:rFonts w:cs="Arial"/>
          <w:sz w:val="22"/>
          <w:szCs w:val="22"/>
          <w:lang w:val="en-GB"/>
        </w:rPr>
        <w:t>hase-out of lead ammunition and fishing weights;</w:t>
      </w:r>
    </w:p>
    <w:p w:rsidR="008F20D3" w:rsidRPr="008C55D4" w:rsidRDefault="008F20D3" w:rsidP="008F20D3">
      <w:pPr>
        <w:tabs>
          <w:tab w:val="left" w:pos="1020"/>
        </w:tabs>
        <w:rPr>
          <w:rFonts w:cs="Arial"/>
          <w:sz w:val="22"/>
          <w:szCs w:val="22"/>
        </w:rPr>
      </w:pPr>
    </w:p>
    <w:p w:rsidR="00314FB7" w:rsidRDefault="00314FB7" w:rsidP="008F20D3">
      <w:pPr>
        <w:pStyle w:val="ListParagraph"/>
        <w:tabs>
          <w:tab w:val="left" w:pos="1020"/>
        </w:tabs>
        <w:ind w:left="420"/>
        <w:rPr>
          <w:rFonts w:cs="Arial"/>
          <w:sz w:val="22"/>
          <w:szCs w:val="22"/>
        </w:rPr>
      </w:pPr>
    </w:p>
    <w:p w:rsidR="00AB2082" w:rsidRDefault="00AB2082" w:rsidP="008F20D3">
      <w:pPr>
        <w:pStyle w:val="ListParagraph"/>
        <w:tabs>
          <w:tab w:val="left" w:pos="1020"/>
        </w:tabs>
        <w:ind w:left="420"/>
        <w:rPr>
          <w:rFonts w:cs="Arial"/>
          <w:sz w:val="22"/>
          <w:szCs w:val="22"/>
        </w:rPr>
      </w:pPr>
    </w:p>
    <w:p w:rsidR="00AB2082" w:rsidRPr="008C55D4" w:rsidRDefault="00AB2082" w:rsidP="008F20D3">
      <w:pPr>
        <w:pStyle w:val="ListParagraph"/>
        <w:tabs>
          <w:tab w:val="left" w:pos="1020"/>
        </w:tabs>
        <w:ind w:left="420"/>
        <w:rPr>
          <w:rFonts w:cs="Arial"/>
          <w:sz w:val="22"/>
          <w:szCs w:val="22"/>
        </w:rPr>
      </w:pPr>
    </w:p>
    <w:p w:rsidR="000E32BE" w:rsidRPr="008C55D4" w:rsidRDefault="000E32BE" w:rsidP="008F20D3">
      <w:pPr>
        <w:pStyle w:val="ListParagraph"/>
        <w:tabs>
          <w:tab w:val="left" w:pos="1020"/>
        </w:tabs>
        <w:ind w:left="420"/>
        <w:rPr>
          <w:rFonts w:cs="Arial"/>
          <w:sz w:val="22"/>
          <w:szCs w:val="22"/>
          <w:u w:val="single"/>
          <w:lang w:val="en-GB"/>
        </w:rPr>
      </w:pPr>
      <w:r w:rsidRPr="008C55D4">
        <w:rPr>
          <w:rFonts w:cs="Arial"/>
          <w:sz w:val="22"/>
          <w:szCs w:val="22"/>
          <w:u w:val="single"/>
          <w:lang w:val="en-GB"/>
        </w:rPr>
        <w:t>Annex 1: Resolution 11.15 (Rev.COP12), Preamble</w:t>
      </w:r>
    </w:p>
    <w:p w:rsidR="00314FB7" w:rsidRPr="008C55D4" w:rsidRDefault="00314FB7" w:rsidP="008F20D3">
      <w:pPr>
        <w:pStyle w:val="ListParagraph"/>
        <w:tabs>
          <w:tab w:val="left" w:pos="1020"/>
        </w:tabs>
        <w:ind w:left="420"/>
        <w:rPr>
          <w:rFonts w:cs="Arial"/>
          <w:sz w:val="22"/>
          <w:szCs w:val="22"/>
          <w:lang w:val="en-GB"/>
        </w:rPr>
      </w:pPr>
      <w:r w:rsidRPr="008C55D4">
        <w:rPr>
          <w:rFonts w:cs="Arial"/>
          <w:sz w:val="22"/>
          <w:szCs w:val="22"/>
          <w:lang w:val="en-GB"/>
        </w:rPr>
        <w:t>Page 5, para. 5</w:t>
      </w:r>
    </w:p>
    <w:p w:rsidR="00314FB7" w:rsidRPr="008C55D4" w:rsidRDefault="000C3595" w:rsidP="00314FB7">
      <w:pPr>
        <w:pStyle w:val="ListParagraph"/>
        <w:numPr>
          <w:ilvl w:val="0"/>
          <w:numId w:val="43"/>
        </w:numPr>
        <w:tabs>
          <w:tab w:val="left" w:pos="1020"/>
        </w:tabs>
        <w:rPr>
          <w:rFonts w:cs="Arial"/>
          <w:sz w:val="22"/>
          <w:szCs w:val="22"/>
        </w:rPr>
      </w:pPr>
      <w:r w:rsidRPr="008C55D4">
        <w:rPr>
          <w:rFonts w:cs="Arial"/>
          <w:sz w:val="22"/>
          <w:szCs w:val="22"/>
          <w:lang w:val="en-GB"/>
        </w:rPr>
        <w:t>C</w:t>
      </w:r>
      <w:r w:rsidR="00314FB7" w:rsidRPr="008C55D4">
        <w:rPr>
          <w:rFonts w:cs="Arial"/>
          <w:sz w:val="22"/>
          <w:szCs w:val="22"/>
          <w:lang w:val="en-GB"/>
        </w:rPr>
        <w:t>hange ‘agricultural pesticides’ to ‘insecticides and rodenticides’</w:t>
      </w:r>
    </w:p>
    <w:p w:rsidR="00314FB7" w:rsidRPr="008C55D4" w:rsidRDefault="00314FB7" w:rsidP="00314FB7">
      <w:pPr>
        <w:pStyle w:val="ListParagraph"/>
        <w:tabs>
          <w:tab w:val="left" w:pos="1020"/>
        </w:tabs>
        <w:ind w:left="420"/>
        <w:rPr>
          <w:rFonts w:cs="Arial"/>
          <w:sz w:val="22"/>
          <w:szCs w:val="22"/>
          <w:lang w:val="en-GB"/>
        </w:rPr>
      </w:pPr>
    </w:p>
    <w:p w:rsidR="00B471D7" w:rsidRPr="008C55D4" w:rsidRDefault="00314FB7" w:rsidP="00244002">
      <w:pPr>
        <w:pStyle w:val="ListParagraph"/>
        <w:tabs>
          <w:tab w:val="left" w:pos="1020"/>
        </w:tabs>
        <w:ind w:left="420"/>
        <w:rPr>
          <w:rFonts w:cs="Arial"/>
          <w:sz w:val="22"/>
          <w:szCs w:val="22"/>
          <w:lang w:val="en-GB"/>
        </w:rPr>
      </w:pPr>
      <w:r w:rsidRPr="008C55D4">
        <w:rPr>
          <w:rFonts w:cs="Arial"/>
          <w:sz w:val="22"/>
          <w:szCs w:val="22"/>
          <w:lang w:val="en-GB"/>
        </w:rPr>
        <w:t>P</w:t>
      </w:r>
      <w:r w:rsidR="00244002" w:rsidRPr="008C55D4">
        <w:rPr>
          <w:rFonts w:cs="Arial"/>
          <w:sz w:val="22"/>
          <w:szCs w:val="22"/>
          <w:lang w:val="en-GB"/>
        </w:rPr>
        <w:t xml:space="preserve">age </w:t>
      </w:r>
      <w:r w:rsidRPr="008C55D4">
        <w:rPr>
          <w:rFonts w:cs="Arial"/>
          <w:sz w:val="22"/>
          <w:szCs w:val="22"/>
          <w:lang w:val="en-GB"/>
        </w:rPr>
        <w:t xml:space="preserve">5, </w:t>
      </w:r>
      <w:r w:rsidR="00B471D7" w:rsidRPr="008C55D4">
        <w:rPr>
          <w:rFonts w:cs="Arial"/>
          <w:sz w:val="22"/>
          <w:szCs w:val="22"/>
          <w:lang w:val="en-GB"/>
        </w:rPr>
        <w:t>last para</w:t>
      </w:r>
    </w:p>
    <w:p w:rsidR="00244002" w:rsidRPr="008C55D4" w:rsidRDefault="000C3595" w:rsidP="00B471D7">
      <w:pPr>
        <w:pStyle w:val="ListParagraph"/>
        <w:numPr>
          <w:ilvl w:val="0"/>
          <w:numId w:val="43"/>
        </w:numPr>
        <w:tabs>
          <w:tab w:val="left" w:pos="1020"/>
        </w:tabs>
        <w:rPr>
          <w:rFonts w:cs="Arial"/>
          <w:sz w:val="22"/>
          <w:szCs w:val="22"/>
          <w:lang w:val="en-GB"/>
        </w:rPr>
      </w:pPr>
      <w:r w:rsidRPr="008C55D4">
        <w:rPr>
          <w:rFonts w:cs="Arial"/>
          <w:sz w:val="22"/>
          <w:szCs w:val="22"/>
          <w:lang w:val="en-GB"/>
        </w:rPr>
        <w:t>A</w:t>
      </w:r>
      <w:r w:rsidR="00314FB7" w:rsidRPr="008C55D4">
        <w:rPr>
          <w:rFonts w:cs="Arial"/>
          <w:sz w:val="22"/>
          <w:szCs w:val="22"/>
          <w:lang w:val="en-GB"/>
        </w:rPr>
        <w:t xml:space="preserve">dd cross reference </w:t>
      </w:r>
      <w:r w:rsidR="00244002" w:rsidRPr="008C55D4">
        <w:rPr>
          <w:rFonts w:cs="Arial"/>
          <w:sz w:val="22"/>
          <w:szCs w:val="22"/>
          <w:lang w:val="en-GB"/>
        </w:rPr>
        <w:t>to UNEP/CMS/COP12/Doc.24.1.4</w:t>
      </w:r>
      <w:r w:rsidR="00B471D7" w:rsidRPr="008C55D4">
        <w:rPr>
          <w:rFonts w:cs="Arial"/>
          <w:sz w:val="22"/>
          <w:szCs w:val="22"/>
          <w:lang w:val="en-GB"/>
        </w:rPr>
        <w:t xml:space="preserve"> </w:t>
      </w:r>
    </w:p>
    <w:p w:rsidR="00B471D7" w:rsidRPr="008C55D4" w:rsidRDefault="00B471D7" w:rsidP="00651E43">
      <w:pPr>
        <w:pStyle w:val="ListParagraph"/>
        <w:tabs>
          <w:tab w:val="left" w:pos="1020"/>
        </w:tabs>
        <w:ind w:left="420"/>
        <w:rPr>
          <w:rFonts w:cs="Arial"/>
          <w:sz w:val="22"/>
          <w:szCs w:val="22"/>
          <w:lang w:val="en-GB"/>
        </w:rPr>
      </w:pPr>
    </w:p>
    <w:p w:rsidR="00B471D7" w:rsidRPr="008C55D4" w:rsidRDefault="00B471D7" w:rsidP="00B471D7">
      <w:pPr>
        <w:pStyle w:val="ListParagraph"/>
        <w:tabs>
          <w:tab w:val="left" w:pos="1020"/>
        </w:tabs>
        <w:ind w:left="420"/>
        <w:rPr>
          <w:rFonts w:cs="Arial"/>
          <w:sz w:val="22"/>
          <w:szCs w:val="22"/>
          <w:lang w:val="en-GB"/>
        </w:rPr>
      </w:pPr>
      <w:r w:rsidRPr="008C55D4">
        <w:rPr>
          <w:rFonts w:cs="Arial"/>
          <w:sz w:val="22"/>
          <w:szCs w:val="22"/>
          <w:lang w:val="en-GB"/>
        </w:rPr>
        <w:t>Page 6, para. 4</w:t>
      </w:r>
    </w:p>
    <w:p w:rsidR="00B471D7" w:rsidRPr="008C55D4" w:rsidRDefault="00B471D7" w:rsidP="00AB2082">
      <w:pPr>
        <w:pStyle w:val="ListParagraph"/>
        <w:numPr>
          <w:ilvl w:val="0"/>
          <w:numId w:val="43"/>
        </w:numPr>
        <w:tabs>
          <w:tab w:val="left" w:pos="1020"/>
        </w:tabs>
        <w:jc w:val="both"/>
        <w:rPr>
          <w:rFonts w:cs="Arial"/>
          <w:sz w:val="22"/>
          <w:szCs w:val="22"/>
          <w:lang w:val="en-GB"/>
        </w:rPr>
      </w:pPr>
      <w:r w:rsidRPr="008C55D4">
        <w:rPr>
          <w:rFonts w:cs="Arial"/>
          <w:sz w:val="22"/>
          <w:szCs w:val="22"/>
          <w:lang w:val="en-GB"/>
        </w:rPr>
        <w:t xml:space="preserve">Reference to the relevant UNEA resolutions should be added to the preamble after the IUCN reference as following: </w:t>
      </w:r>
    </w:p>
    <w:p w:rsidR="00B471D7" w:rsidRPr="008C55D4" w:rsidRDefault="00B471D7" w:rsidP="00AB2082">
      <w:pPr>
        <w:pStyle w:val="ListParagraph"/>
        <w:tabs>
          <w:tab w:val="left" w:pos="1020"/>
        </w:tabs>
        <w:ind w:left="420"/>
        <w:jc w:val="both"/>
        <w:rPr>
          <w:rFonts w:cs="Arial"/>
          <w:sz w:val="22"/>
          <w:szCs w:val="22"/>
          <w:lang w:val="en-GB"/>
        </w:rPr>
      </w:pPr>
      <w:r w:rsidRPr="008C55D4">
        <w:rPr>
          <w:rFonts w:cs="Arial"/>
          <w:i/>
          <w:iCs/>
          <w:sz w:val="22"/>
          <w:szCs w:val="22"/>
          <w:lang w:val="en-GB"/>
        </w:rPr>
        <w:t xml:space="preserve">Further recalling </w:t>
      </w:r>
      <w:r w:rsidRPr="008C55D4">
        <w:rPr>
          <w:rFonts w:cs="Arial"/>
          <w:sz w:val="22"/>
          <w:szCs w:val="22"/>
          <w:lang w:val="en-GB"/>
        </w:rPr>
        <w:t>the United Nations Environment Assembly (UNEA) 1 Resolution 5 which “recognises the significant risks to human health and the environment arising from releases of lead and cadmium into the environment” and UNEA 2 Resolution 7 which “requests the Executive Director to cooperate with Governments, with the private sector, including industry, and with other non-governmental organizations to continue work on lead</w:t>
      </w:r>
      <w:r w:rsidR="007D0DAB" w:rsidRPr="008C55D4">
        <w:rPr>
          <w:rFonts w:cs="Arial"/>
          <w:sz w:val="22"/>
          <w:szCs w:val="22"/>
          <w:lang w:val="en-GB"/>
        </w:rPr>
        <w:t xml:space="preserve"> and cadmium</w:t>
      </w:r>
      <w:r w:rsidRPr="008C55D4">
        <w:rPr>
          <w:rFonts w:cs="Arial"/>
          <w:sz w:val="22"/>
          <w:szCs w:val="22"/>
          <w:lang w:val="en-GB"/>
        </w:rPr>
        <w:t>”</w:t>
      </w:r>
    </w:p>
    <w:p w:rsidR="00244002" w:rsidRPr="008C55D4" w:rsidRDefault="00244002" w:rsidP="00244002">
      <w:pPr>
        <w:pStyle w:val="ListParagraph"/>
        <w:tabs>
          <w:tab w:val="left" w:pos="1020"/>
        </w:tabs>
        <w:ind w:left="420"/>
        <w:rPr>
          <w:rFonts w:cs="Arial"/>
          <w:sz w:val="22"/>
          <w:szCs w:val="22"/>
          <w:lang w:val="en-GB"/>
        </w:rPr>
      </w:pPr>
    </w:p>
    <w:p w:rsidR="00B471D7" w:rsidRPr="008C55D4" w:rsidRDefault="00314FB7" w:rsidP="00244002">
      <w:pPr>
        <w:pStyle w:val="ListParagraph"/>
        <w:tabs>
          <w:tab w:val="left" w:pos="1020"/>
        </w:tabs>
        <w:ind w:left="420"/>
        <w:rPr>
          <w:rFonts w:cs="Arial"/>
          <w:sz w:val="22"/>
          <w:szCs w:val="22"/>
          <w:lang w:val="en-GB"/>
        </w:rPr>
      </w:pPr>
      <w:r w:rsidRPr="008C55D4">
        <w:rPr>
          <w:rFonts w:cs="Arial"/>
          <w:sz w:val="22"/>
          <w:szCs w:val="22"/>
          <w:lang w:val="en-GB"/>
        </w:rPr>
        <w:t>P</w:t>
      </w:r>
      <w:r w:rsidR="00244002" w:rsidRPr="008C55D4">
        <w:rPr>
          <w:rFonts w:cs="Arial"/>
          <w:sz w:val="22"/>
          <w:szCs w:val="22"/>
          <w:lang w:val="en-GB"/>
        </w:rPr>
        <w:t xml:space="preserve">age </w:t>
      </w:r>
      <w:r w:rsidRPr="008C55D4">
        <w:rPr>
          <w:rFonts w:cs="Arial"/>
          <w:sz w:val="22"/>
          <w:szCs w:val="22"/>
          <w:lang w:val="en-GB"/>
        </w:rPr>
        <w:t>6</w:t>
      </w:r>
      <w:r w:rsidR="00B471D7" w:rsidRPr="008C55D4">
        <w:rPr>
          <w:rFonts w:cs="Arial"/>
          <w:sz w:val="22"/>
          <w:szCs w:val="22"/>
          <w:lang w:val="en-GB"/>
        </w:rPr>
        <w:t>, para. 5</w:t>
      </w:r>
    </w:p>
    <w:p w:rsidR="007554A2" w:rsidRPr="008C55D4" w:rsidRDefault="000C3595" w:rsidP="00AB2082">
      <w:pPr>
        <w:pStyle w:val="ListParagraph"/>
        <w:numPr>
          <w:ilvl w:val="0"/>
          <w:numId w:val="43"/>
        </w:numPr>
        <w:tabs>
          <w:tab w:val="left" w:pos="1020"/>
        </w:tabs>
        <w:jc w:val="both"/>
        <w:rPr>
          <w:rFonts w:cs="Arial"/>
          <w:sz w:val="22"/>
          <w:szCs w:val="22"/>
        </w:rPr>
      </w:pPr>
      <w:r w:rsidRPr="008C55D4">
        <w:rPr>
          <w:rFonts w:cs="Arial"/>
          <w:sz w:val="22"/>
          <w:szCs w:val="22"/>
          <w:lang w:val="en-GB"/>
        </w:rPr>
        <w:t>R</w:t>
      </w:r>
      <w:r w:rsidR="00314FB7" w:rsidRPr="008C55D4">
        <w:rPr>
          <w:rFonts w:cs="Arial"/>
          <w:sz w:val="22"/>
          <w:szCs w:val="22"/>
          <w:lang w:val="en-GB"/>
        </w:rPr>
        <w:t>eword as ‘</w:t>
      </w:r>
      <w:r w:rsidR="00314FB7" w:rsidRPr="008C55D4">
        <w:rPr>
          <w:rFonts w:cs="Arial"/>
          <w:i/>
          <w:iCs/>
          <w:sz w:val="22"/>
          <w:szCs w:val="22"/>
          <w:lang w:val="en-GB"/>
        </w:rPr>
        <w:t xml:space="preserve">Noting </w:t>
      </w:r>
      <w:r w:rsidR="00314FB7" w:rsidRPr="008C55D4">
        <w:rPr>
          <w:rFonts w:cs="Arial"/>
          <w:sz w:val="22"/>
          <w:szCs w:val="22"/>
          <w:lang w:val="en-GB"/>
        </w:rPr>
        <w:t xml:space="preserve">that poisoning is a problem that affects other taxa besides birds, and </w:t>
      </w:r>
      <w:r w:rsidR="00314FB7" w:rsidRPr="008C55D4">
        <w:rPr>
          <w:rFonts w:cs="Arial"/>
          <w:i/>
          <w:iCs/>
          <w:sz w:val="22"/>
          <w:szCs w:val="22"/>
          <w:lang w:val="en-GB"/>
        </w:rPr>
        <w:t xml:space="preserve">highlighting </w:t>
      </w:r>
      <w:r w:rsidR="00314FB7" w:rsidRPr="008C55D4">
        <w:rPr>
          <w:rFonts w:cs="Arial"/>
          <w:sz w:val="22"/>
          <w:szCs w:val="22"/>
          <w:lang w:val="en-GB"/>
        </w:rPr>
        <w:t>the urgent need for a global analysis of the impact of this cause of mortality for non-avian wildlife to that already undertaken for migratory birds by the PPWG;</w:t>
      </w:r>
    </w:p>
    <w:p w:rsidR="000E32BE" w:rsidRPr="00AB2082" w:rsidRDefault="000E32BE" w:rsidP="00AB2082">
      <w:pPr>
        <w:tabs>
          <w:tab w:val="left" w:pos="1020"/>
        </w:tabs>
        <w:rPr>
          <w:rFonts w:cs="Arial"/>
          <w:sz w:val="22"/>
          <w:szCs w:val="22"/>
          <w:u w:val="single"/>
          <w:lang w:val="en-GB"/>
        </w:rPr>
      </w:pPr>
    </w:p>
    <w:p w:rsidR="000E32BE" w:rsidRPr="008C55D4" w:rsidRDefault="000E32BE" w:rsidP="000E32BE">
      <w:pPr>
        <w:pStyle w:val="ListParagraph"/>
        <w:tabs>
          <w:tab w:val="left" w:pos="1020"/>
        </w:tabs>
        <w:ind w:left="420"/>
        <w:rPr>
          <w:rFonts w:cs="Arial"/>
          <w:sz w:val="22"/>
          <w:szCs w:val="22"/>
          <w:u w:val="single"/>
          <w:lang w:val="en-GB"/>
        </w:rPr>
      </w:pPr>
      <w:r w:rsidRPr="008C55D4">
        <w:rPr>
          <w:rFonts w:cs="Arial"/>
          <w:sz w:val="22"/>
          <w:szCs w:val="22"/>
          <w:u w:val="single"/>
          <w:lang w:val="en-GB"/>
        </w:rPr>
        <w:t>Annex 1: Resolution 11.15 (Rev.COP12), Operational part</w:t>
      </w:r>
    </w:p>
    <w:p w:rsidR="000E32BE" w:rsidRPr="008C55D4" w:rsidRDefault="000E32BE" w:rsidP="000E32BE">
      <w:pPr>
        <w:pStyle w:val="ListParagraph"/>
        <w:tabs>
          <w:tab w:val="left" w:pos="1020"/>
        </w:tabs>
        <w:ind w:left="420"/>
        <w:rPr>
          <w:rFonts w:cs="Arial"/>
          <w:sz w:val="22"/>
          <w:szCs w:val="22"/>
          <w:lang w:val="en-GB"/>
        </w:rPr>
      </w:pPr>
      <w:r w:rsidRPr="008C55D4">
        <w:rPr>
          <w:rFonts w:cs="Arial"/>
          <w:sz w:val="22"/>
          <w:szCs w:val="22"/>
          <w:lang w:val="en-GB"/>
        </w:rPr>
        <w:t xml:space="preserve">Page 7, para </w:t>
      </w:r>
      <w:r w:rsidR="00314FB7" w:rsidRPr="008C55D4">
        <w:rPr>
          <w:rFonts w:cs="Arial"/>
          <w:sz w:val="22"/>
          <w:szCs w:val="22"/>
          <w:lang w:val="en-GB"/>
        </w:rPr>
        <w:t>1bis</w:t>
      </w:r>
    </w:p>
    <w:p w:rsidR="00D31BF6" w:rsidRPr="008C55D4" w:rsidRDefault="00D31BF6" w:rsidP="000E32BE">
      <w:pPr>
        <w:pStyle w:val="ListParagraph"/>
        <w:numPr>
          <w:ilvl w:val="0"/>
          <w:numId w:val="43"/>
        </w:numPr>
        <w:tabs>
          <w:tab w:val="left" w:pos="1020"/>
        </w:tabs>
        <w:rPr>
          <w:rFonts w:cs="Arial"/>
          <w:sz w:val="22"/>
          <w:szCs w:val="22"/>
          <w:u w:val="single"/>
          <w:lang w:val="en-GB"/>
        </w:rPr>
      </w:pPr>
      <w:r w:rsidRPr="008C55D4">
        <w:rPr>
          <w:rFonts w:cs="Arial"/>
          <w:sz w:val="22"/>
          <w:szCs w:val="22"/>
          <w:lang w:val="en-GB"/>
        </w:rPr>
        <w:t xml:space="preserve">Move further as </w:t>
      </w:r>
      <w:r w:rsidR="00596840" w:rsidRPr="008C55D4">
        <w:rPr>
          <w:rFonts w:cs="Arial"/>
          <w:sz w:val="22"/>
          <w:szCs w:val="22"/>
          <w:lang w:val="en-GB"/>
        </w:rPr>
        <w:t>‘</w:t>
      </w:r>
      <w:r w:rsidR="00314FB7" w:rsidRPr="008C55D4">
        <w:rPr>
          <w:rFonts w:cs="Arial"/>
          <w:sz w:val="22"/>
          <w:szCs w:val="22"/>
          <w:lang w:val="en-GB"/>
        </w:rPr>
        <w:t>2bis</w:t>
      </w:r>
      <w:r w:rsidR="00596840" w:rsidRPr="008C55D4">
        <w:rPr>
          <w:rFonts w:cs="Arial"/>
          <w:sz w:val="22"/>
          <w:szCs w:val="22"/>
          <w:lang w:val="en-GB"/>
        </w:rPr>
        <w:t>’.</w:t>
      </w:r>
    </w:p>
    <w:p w:rsidR="00D31BF6" w:rsidRPr="008C55D4" w:rsidRDefault="00D31BF6" w:rsidP="00D31BF6">
      <w:pPr>
        <w:pStyle w:val="ListParagraph"/>
        <w:numPr>
          <w:ilvl w:val="0"/>
          <w:numId w:val="43"/>
        </w:numPr>
        <w:tabs>
          <w:tab w:val="left" w:pos="1020"/>
        </w:tabs>
        <w:rPr>
          <w:rFonts w:cs="Arial"/>
          <w:sz w:val="22"/>
          <w:szCs w:val="22"/>
          <w:u w:val="single"/>
          <w:lang w:val="en-GB"/>
        </w:rPr>
      </w:pPr>
      <w:r w:rsidRPr="008C55D4">
        <w:rPr>
          <w:rFonts w:cs="Arial"/>
          <w:sz w:val="22"/>
          <w:szCs w:val="22"/>
          <w:lang w:val="en-GB"/>
        </w:rPr>
        <w:t>Rephrase ‘take note’ of the PO</w:t>
      </w:r>
      <w:r w:rsidR="00314FB7" w:rsidRPr="008C55D4">
        <w:rPr>
          <w:rFonts w:cs="Arial"/>
          <w:sz w:val="22"/>
          <w:szCs w:val="22"/>
          <w:lang w:val="en-GB"/>
        </w:rPr>
        <w:t>W</w:t>
      </w:r>
      <w:r w:rsidR="00596840" w:rsidRPr="008C55D4">
        <w:rPr>
          <w:rFonts w:cs="Arial"/>
          <w:sz w:val="22"/>
          <w:szCs w:val="22"/>
          <w:lang w:val="en-GB"/>
        </w:rPr>
        <w:t>.</w:t>
      </w:r>
    </w:p>
    <w:p w:rsidR="00D31BF6" w:rsidRPr="008C55D4" w:rsidRDefault="00D31BF6" w:rsidP="00D31BF6">
      <w:pPr>
        <w:pStyle w:val="ListParagraph"/>
        <w:tabs>
          <w:tab w:val="left" w:pos="1020"/>
        </w:tabs>
        <w:ind w:left="420"/>
        <w:rPr>
          <w:rFonts w:cs="Arial"/>
          <w:sz w:val="22"/>
          <w:szCs w:val="22"/>
          <w:lang w:val="en-GB"/>
        </w:rPr>
      </w:pPr>
    </w:p>
    <w:p w:rsidR="00D31BF6" w:rsidRPr="008C55D4" w:rsidRDefault="00D31BF6" w:rsidP="00D31BF6">
      <w:pPr>
        <w:pStyle w:val="ListParagraph"/>
        <w:tabs>
          <w:tab w:val="left" w:pos="1020"/>
        </w:tabs>
        <w:ind w:left="420"/>
        <w:rPr>
          <w:rFonts w:cs="Arial"/>
          <w:sz w:val="22"/>
          <w:szCs w:val="22"/>
          <w:u w:val="single"/>
          <w:lang w:val="en-GB"/>
        </w:rPr>
      </w:pPr>
      <w:r w:rsidRPr="008C55D4">
        <w:rPr>
          <w:rFonts w:cs="Arial"/>
          <w:sz w:val="22"/>
          <w:szCs w:val="22"/>
          <w:lang w:val="en-GB"/>
        </w:rPr>
        <w:t>Page 8, para. 7bis</w:t>
      </w:r>
    </w:p>
    <w:p w:rsidR="007E6AAB" w:rsidRPr="00AB2082" w:rsidRDefault="00314FB7" w:rsidP="00D31BF6">
      <w:pPr>
        <w:pStyle w:val="ListParagraph"/>
        <w:numPr>
          <w:ilvl w:val="0"/>
          <w:numId w:val="43"/>
        </w:numPr>
        <w:tabs>
          <w:tab w:val="left" w:pos="1020"/>
        </w:tabs>
        <w:rPr>
          <w:rFonts w:cs="Arial"/>
          <w:sz w:val="22"/>
          <w:szCs w:val="22"/>
          <w:u w:val="single"/>
          <w:lang w:val="en-GB"/>
        </w:rPr>
      </w:pPr>
      <w:r w:rsidRPr="008C55D4">
        <w:rPr>
          <w:rFonts w:cs="Arial"/>
          <w:sz w:val="22"/>
          <w:szCs w:val="22"/>
          <w:lang w:val="en-GB"/>
        </w:rPr>
        <w:t xml:space="preserve">Suggest add after PPWG ‘on its POW including….’ (i.e. to ensure added collaboration of IUCN </w:t>
      </w:r>
      <w:r w:rsidR="00D31BF6" w:rsidRPr="008C55D4">
        <w:rPr>
          <w:rFonts w:cs="Arial"/>
          <w:sz w:val="22"/>
          <w:szCs w:val="22"/>
          <w:lang w:val="en-GB"/>
        </w:rPr>
        <w:t>on implementation of the PO</w:t>
      </w:r>
      <w:r w:rsidRPr="008C55D4">
        <w:rPr>
          <w:rFonts w:cs="Arial"/>
          <w:sz w:val="22"/>
          <w:szCs w:val="22"/>
          <w:lang w:val="en-GB"/>
        </w:rPr>
        <w:t>W in line with their 2016 Resolutions)</w:t>
      </w:r>
    </w:p>
    <w:p w:rsidR="00AB2082" w:rsidRPr="008C55D4" w:rsidRDefault="00AB2082" w:rsidP="00AB2082">
      <w:pPr>
        <w:pStyle w:val="ListParagraph"/>
        <w:tabs>
          <w:tab w:val="left" w:pos="1020"/>
        </w:tabs>
        <w:ind w:left="420"/>
        <w:rPr>
          <w:rFonts w:cs="Arial"/>
          <w:sz w:val="22"/>
          <w:szCs w:val="22"/>
          <w:u w:val="single"/>
          <w:lang w:val="en-GB"/>
        </w:rPr>
      </w:pPr>
    </w:p>
    <w:p w:rsidR="007E6AAB" w:rsidRPr="008C55D4" w:rsidRDefault="007E6AAB" w:rsidP="007E6AAB">
      <w:pPr>
        <w:pStyle w:val="ListParagraph"/>
        <w:tabs>
          <w:tab w:val="left" w:pos="1020"/>
        </w:tabs>
        <w:ind w:left="420"/>
        <w:rPr>
          <w:rFonts w:cs="Arial"/>
          <w:sz w:val="22"/>
          <w:szCs w:val="22"/>
          <w:u w:val="single"/>
          <w:lang w:val="fr-FR"/>
        </w:rPr>
      </w:pPr>
      <w:proofErr w:type="spellStart"/>
      <w:r w:rsidRPr="008C55D4">
        <w:rPr>
          <w:rFonts w:cs="Arial"/>
          <w:sz w:val="22"/>
          <w:szCs w:val="22"/>
          <w:u w:val="single"/>
          <w:lang w:val="fr-FR"/>
        </w:rPr>
        <w:t>Annex</w:t>
      </w:r>
      <w:proofErr w:type="spellEnd"/>
      <w:r w:rsidRPr="008C55D4">
        <w:rPr>
          <w:rFonts w:cs="Arial"/>
          <w:sz w:val="22"/>
          <w:szCs w:val="22"/>
          <w:u w:val="single"/>
          <w:lang w:val="fr-FR"/>
        </w:rPr>
        <w:t xml:space="preserve"> </w:t>
      </w:r>
      <w:proofErr w:type="gramStart"/>
      <w:r w:rsidRPr="008C55D4">
        <w:rPr>
          <w:rFonts w:cs="Arial"/>
          <w:sz w:val="22"/>
          <w:szCs w:val="22"/>
          <w:u w:val="single"/>
          <w:lang w:val="fr-FR"/>
        </w:rPr>
        <w:t>2:</w:t>
      </w:r>
      <w:proofErr w:type="gramEnd"/>
      <w:r w:rsidRPr="008C55D4">
        <w:rPr>
          <w:rFonts w:cs="Arial"/>
          <w:sz w:val="22"/>
          <w:szCs w:val="22"/>
          <w:u w:val="single"/>
          <w:lang w:val="fr-FR"/>
        </w:rPr>
        <w:t xml:space="preserve"> </w:t>
      </w:r>
      <w:proofErr w:type="spellStart"/>
      <w:r w:rsidRPr="008C55D4">
        <w:rPr>
          <w:rFonts w:cs="Arial"/>
          <w:sz w:val="22"/>
          <w:szCs w:val="22"/>
          <w:u w:val="single"/>
          <w:lang w:val="fr-FR"/>
        </w:rPr>
        <w:t>Draft</w:t>
      </w:r>
      <w:proofErr w:type="spellEnd"/>
      <w:r w:rsidRPr="008C55D4">
        <w:rPr>
          <w:rFonts w:cs="Arial"/>
          <w:sz w:val="22"/>
          <w:szCs w:val="22"/>
          <w:u w:val="single"/>
          <w:lang w:val="fr-FR"/>
        </w:rPr>
        <w:t xml:space="preserve"> </w:t>
      </w:r>
      <w:proofErr w:type="spellStart"/>
      <w:r w:rsidRPr="008C55D4">
        <w:rPr>
          <w:rFonts w:cs="Arial"/>
          <w:sz w:val="22"/>
          <w:szCs w:val="22"/>
          <w:u w:val="single"/>
          <w:lang w:val="fr-FR"/>
        </w:rPr>
        <w:t>Decisions</w:t>
      </w:r>
      <w:proofErr w:type="spellEnd"/>
    </w:p>
    <w:p w:rsidR="007E6AAB" w:rsidRPr="008C55D4" w:rsidRDefault="007E6AAB" w:rsidP="007E6AAB">
      <w:pPr>
        <w:pStyle w:val="ListParagraph"/>
        <w:tabs>
          <w:tab w:val="left" w:pos="1020"/>
        </w:tabs>
        <w:ind w:left="420"/>
        <w:rPr>
          <w:rFonts w:cs="Arial"/>
          <w:sz w:val="22"/>
          <w:szCs w:val="22"/>
          <w:lang w:val="en-GB"/>
        </w:rPr>
      </w:pPr>
      <w:r w:rsidRPr="008C55D4">
        <w:rPr>
          <w:rFonts w:cs="Arial"/>
          <w:sz w:val="22"/>
          <w:szCs w:val="22"/>
          <w:lang w:val="fr-FR"/>
        </w:rPr>
        <w:t xml:space="preserve">Page 12, para. </w:t>
      </w:r>
      <w:r w:rsidRPr="008C55D4">
        <w:rPr>
          <w:rFonts w:cs="Arial"/>
          <w:sz w:val="22"/>
          <w:szCs w:val="22"/>
          <w:lang w:val="en-GB"/>
        </w:rPr>
        <w:t>12.BB c)</w:t>
      </w:r>
    </w:p>
    <w:p w:rsidR="00314FB7" w:rsidRPr="008C55D4" w:rsidRDefault="007E6AAB" w:rsidP="007E6AAB">
      <w:pPr>
        <w:pStyle w:val="ListParagraph"/>
        <w:numPr>
          <w:ilvl w:val="0"/>
          <w:numId w:val="43"/>
        </w:numPr>
        <w:tabs>
          <w:tab w:val="left" w:pos="1020"/>
        </w:tabs>
        <w:rPr>
          <w:rFonts w:cs="Arial"/>
          <w:sz w:val="22"/>
          <w:szCs w:val="22"/>
          <w:u w:val="single"/>
          <w:lang w:val="en-GB"/>
        </w:rPr>
      </w:pPr>
      <w:r w:rsidRPr="008C55D4">
        <w:rPr>
          <w:rFonts w:cs="Arial"/>
          <w:sz w:val="22"/>
          <w:szCs w:val="22"/>
        </w:rPr>
        <w:t>Change to ‘…to promote the implementation of the Guidelines, as appropriate, and to…’</w:t>
      </w:r>
      <w:r w:rsidR="00314FB7" w:rsidRPr="008C55D4">
        <w:rPr>
          <w:rFonts w:cs="Arial"/>
          <w:sz w:val="22"/>
          <w:szCs w:val="22"/>
          <w:lang w:val="en-GB"/>
        </w:rPr>
        <w:br/>
      </w:r>
    </w:p>
    <w:p w:rsidR="000C3595" w:rsidRPr="008C55D4" w:rsidRDefault="00D31BF6" w:rsidP="000C3595">
      <w:pPr>
        <w:pStyle w:val="ListParagraph"/>
        <w:tabs>
          <w:tab w:val="left" w:pos="1020"/>
        </w:tabs>
        <w:ind w:left="420"/>
        <w:rPr>
          <w:rFonts w:cs="Arial"/>
          <w:sz w:val="22"/>
          <w:szCs w:val="22"/>
          <w:u w:val="single"/>
          <w:lang w:val="en-GB"/>
        </w:rPr>
      </w:pPr>
      <w:r w:rsidRPr="008C55D4">
        <w:rPr>
          <w:rFonts w:cs="Arial"/>
          <w:sz w:val="22"/>
          <w:szCs w:val="22"/>
          <w:u w:val="single"/>
          <w:lang w:val="en-GB"/>
        </w:rPr>
        <w:t>Annex 3: Draft Terms of Reference of the Lead Task Force</w:t>
      </w:r>
    </w:p>
    <w:p w:rsidR="000C3595" w:rsidRPr="008C55D4" w:rsidRDefault="00314FB7" w:rsidP="000C3595">
      <w:pPr>
        <w:pStyle w:val="ListParagraph"/>
        <w:tabs>
          <w:tab w:val="left" w:pos="1020"/>
        </w:tabs>
        <w:ind w:left="420"/>
        <w:rPr>
          <w:rFonts w:cs="Arial"/>
          <w:sz w:val="22"/>
          <w:szCs w:val="22"/>
          <w:lang w:val="en-GB"/>
        </w:rPr>
      </w:pPr>
      <w:r w:rsidRPr="008C55D4">
        <w:rPr>
          <w:rFonts w:cs="Arial"/>
          <w:sz w:val="22"/>
          <w:szCs w:val="22"/>
          <w:lang w:val="en-GB"/>
        </w:rPr>
        <w:t>P</w:t>
      </w:r>
      <w:r w:rsidR="000C3595" w:rsidRPr="008C55D4">
        <w:rPr>
          <w:rFonts w:cs="Arial"/>
          <w:sz w:val="22"/>
          <w:szCs w:val="22"/>
          <w:lang w:val="en-GB"/>
        </w:rPr>
        <w:t xml:space="preserve">age </w:t>
      </w:r>
      <w:r w:rsidRPr="008C55D4">
        <w:rPr>
          <w:rFonts w:cs="Arial"/>
          <w:sz w:val="22"/>
          <w:szCs w:val="22"/>
          <w:lang w:val="en-GB"/>
        </w:rPr>
        <w:t>13</w:t>
      </w:r>
      <w:r w:rsidR="000C3595" w:rsidRPr="008C55D4">
        <w:rPr>
          <w:rFonts w:cs="Arial"/>
          <w:sz w:val="22"/>
          <w:szCs w:val="22"/>
          <w:lang w:val="en-GB"/>
        </w:rPr>
        <w:t>,</w:t>
      </w:r>
      <w:r w:rsidRPr="008C55D4">
        <w:rPr>
          <w:rFonts w:cs="Arial"/>
          <w:sz w:val="22"/>
          <w:szCs w:val="22"/>
          <w:lang w:val="en-GB"/>
        </w:rPr>
        <w:t xml:space="preserve"> para</w:t>
      </w:r>
      <w:r w:rsidR="000C3595" w:rsidRPr="008C55D4">
        <w:rPr>
          <w:rFonts w:cs="Arial"/>
          <w:sz w:val="22"/>
          <w:szCs w:val="22"/>
          <w:lang w:val="en-GB"/>
        </w:rPr>
        <w:t>. 2</w:t>
      </w:r>
    </w:p>
    <w:p w:rsidR="000C3595" w:rsidRPr="008C55D4" w:rsidRDefault="00314FB7" w:rsidP="000C3595">
      <w:pPr>
        <w:pStyle w:val="ListParagraph"/>
        <w:numPr>
          <w:ilvl w:val="0"/>
          <w:numId w:val="43"/>
        </w:numPr>
        <w:tabs>
          <w:tab w:val="left" w:pos="1020"/>
        </w:tabs>
        <w:rPr>
          <w:rFonts w:cs="Arial"/>
          <w:sz w:val="22"/>
          <w:szCs w:val="22"/>
          <w:u w:val="single"/>
          <w:lang w:val="en-GB"/>
        </w:rPr>
      </w:pPr>
      <w:r w:rsidRPr="008C55D4">
        <w:rPr>
          <w:rFonts w:cs="Arial"/>
          <w:sz w:val="22"/>
          <w:szCs w:val="22"/>
          <w:lang w:val="en-GB"/>
        </w:rPr>
        <w:t>add date of MOP6 i.e. November 2015.</w:t>
      </w:r>
    </w:p>
    <w:p w:rsidR="000C3595" w:rsidRPr="008C55D4" w:rsidRDefault="000C3595" w:rsidP="000C3595">
      <w:pPr>
        <w:pStyle w:val="ListParagraph"/>
        <w:tabs>
          <w:tab w:val="left" w:pos="1020"/>
        </w:tabs>
        <w:ind w:left="420"/>
        <w:rPr>
          <w:rFonts w:cs="Arial"/>
          <w:sz w:val="22"/>
          <w:szCs w:val="22"/>
          <w:u w:val="single"/>
          <w:lang w:val="en-GB"/>
        </w:rPr>
      </w:pPr>
    </w:p>
    <w:p w:rsidR="000C3595" w:rsidRPr="008C55D4" w:rsidRDefault="00314FB7" w:rsidP="000C3595">
      <w:pPr>
        <w:pStyle w:val="ListParagraph"/>
        <w:tabs>
          <w:tab w:val="left" w:pos="1020"/>
        </w:tabs>
        <w:ind w:left="420"/>
        <w:rPr>
          <w:rFonts w:cs="Arial"/>
          <w:sz w:val="22"/>
          <w:szCs w:val="22"/>
          <w:lang w:val="en-GB"/>
        </w:rPr>
      </w:pPr>
      <w:r w:rsidRPr="008C55D4">
        <w:rPr>
          <w:rFonts w:cs="Arial"/>
          <w:sz w:val="22"/>
          <w:szCs w:val="22"/>
          <w:lang w:val="en-GB"/>
        </w:rPr>
        <w:t>P</w:t>
      </w:r>
      <w:r w:rsidR="000C3595" w:rsidRPr="008C55D4">
        <w:rPr>
          <w:rFonts w:cs="Arial"/>
          <w:sz w:val="22"/>
          <w:szCs w:val="22"/>
          <w:lang w:val="en-GB"/>
        </w:rPr>
        <w:t>age 14, para e)</w:t>
      </w:r>
    </w:p>
    <w:p w:rsidR="000C3595" w:rsidRPr="008C55D4" w:rsidRDefault="00314FB7" w:rsidP="000C3595">
      <w:pPr>
        <w:pStyle w:val="ListParagraph"/>
        <w:numPr>
          <w:ilvl w:val="0"/>
          <w:numId w:val="43"/>
        </w:numPr>
        <w:tabs>
          <w:tab w:val="left" w:pos="1020"/>
        </w:tabs>
        <w:rPr>
          <w:rFonts w:cs="Arial"/>
          <w:sz w:val="22"/>
          <w:szCs w:val="22"/>
          <w:u w:val="single"/>
          <w:lang w:val="en-GB"/>
        </w:rPr>
      </w:pPr>
      <w:r w:rsidRPr="008C55D4">
        <w:rPr>
          <w:rFonts w:cs="Arial"/>
          <w:sz w:val="22"/>
          <w:szCs w:val="22"/>
          <w:lang w:val="en-GB"/>
        </w:rPr>
        <w:t xml:space="preserve">add ‘selling’ as well as manufacturing lead. </w:t>
      </w:r>
    </w:p>
    <w:p w:rsidR="000C3595" w:rsidRPr="008C55D4" w:rsidRDefault="000C3595" w:rsidP="000C3595">
      <w:pPr>
        <w:pStyle w:val="ListParagraph"/>
        <w:tabs>
          <w:tab w:val="left" w:pos="1020"/>
        </w:tabs>
        <w:ind w:left="420"/>
        <w:rPr>
          <w:rFonts w:cs="Arial"/>
          <w:sz w:val="22"/>
          <w:szCs w:val="22"/>
          <w:u w:val="single"/>
          <w:lang w:val="en-GB"/>
        </w:rPr>
      </w:pPr>
    </w:p>
    <w:p w:rsidR="000C3595" w:rsidRPr="008C55D4" w:rsidRDefault="00314FB7" w:rsidP="000C3595">
      <w:pPr>
        <w:pStyle w:val="ListParagraph"/>
        <w:tabs>
          <w:tab w:val="left" w:pos="1020"/>
        </w:tabs>
        <w:ind w:left="420"/>
        <w:rPr>
          <w:rFonts w:cs="Arial"/>
          <w:sz w:val="22"/>
          <w:szCs w:val="22"/>
          <w:lang w:val="en-GB"/>
        </w:rPr>
      </w:pPr>
      <w:r w:rsidRPr="008C55D4">
        <w:rPr>
          <w:rFonts w:cs="Arial"/>
          <w:sz w:val="22"/>
          <w:szCs w:val="22"/>
          <w:lang w:val="en-GB"/>
        </w:rPr>
        <w:t>P</w:t>
      </w:r>
      <w:r w:rsidR="000C3595" w:rsidRPr="008C55D4">
        <w:rPr>
          <w:rFonts w:cs="Arial"/>
          <w:sz w:val="22"/>
          <w:szCs w:val="22"/>
          <w:lang w:val="en-GB"/>
        </w:rPr>
        <w:t xml:space="preserve">age </w:t>
      </w:r>
      <w:r w:rsidRPr="008C55D4">
        <w:rPr>
          <w:rFonts w:cs="Arial"/>
          <w:sz w:val="22"/>
          <w:szCs w:val="22"/>
          <w:lang w:val="en-GB"/>
        </w:rPr>
        <w:t>14</w:t>
      </w:r>
      <w:r w:rsidR="000C3595" w:rsidRPr="008C55D4">
        <w:rPr>
          <w:rFonts w:cs="Arial"/>
          <w:sz w:val="22"/>
          <w:szCs w:val="22"/>
          <w:lang w:val="en-GB"/>
        </w:rPr>
        <w:t>, section 4, para 1</w:t>
      </w:r>
    </w:p>
    <w:p w:rsidR="00314FB7" w:rsidRPr="008C55D4" w:rsidRDefault="000C3595" w:rsidP="000C3595">
      <w:pPr>
        <w:pStyle w:val="ListParagraph"/>
        <w:numPr>
          <w:ilvl w:val="0"/>
          <w:numId w:val="43"/>
        </w:numPr>
        <w:tabs>
          <w:tab w:val="left" w:pos="1020"/>
        </w:tabs>
        <w:rPr>
          <w:rFonts w:cs="Arial"/>
          <w:sz w:val="22"/>
          <w:szCs w:val="22"/>
          <w:u w:val="single"/>
          <w:lang w:val="en-GB"/>
        </w:rPr>
      </w:pPr>
      <w:r w:rsidRPr="008C55D4">
        <w:rPr>
          <w:rFonts w:cs="Arial"/>
          <w:sz w:val="22"/>
          <w:szCs w:val="22"/>
          <w:lang w:val="en-GB"/>
        </w:rPr>
        <w:t>‘</w:t>
      </w:r>
      <w:r w:rsidR="00314FB7" w:rsidRPr="008C55D4">
        <w:rPr>
          <w:rFonts w:cs="Arial"/>
          <w:sz w:val="22"/>
          <w:szCs w:val="22"/>
          <w:lang w:val="en-GB"/>
        </w:rPr>
        <w:t>interface</w:t>
      </w:r>
      <w:r w:rsidRPr="008C55D4">
        <w:rPr>
          <w:rFonts w:cs="Arial"/>
          <w:sz w:val="22"/>
          <w:szCs w:val="22"/>
          <w:lang w:val="en-GB"/>
        </w:rPr>
        <w:t>’,</w:t>
      </w:r>
      <w:r w:rsidR="009A7F89" w:rsidRPr="008C55D4">
        <w:rPr>
          <w:rFonts w:cs="Arial"/>
          <w:sz w:val="22"/>
          <w:szCs w:val="22"/>
          <w:lang w:val="en-GB"/>
        </w:rPr>
        <w:t xml:space="preserve"> instead of</w:t>
      </w:r>
      <w:r w:rsidR="00314FB7" w:rsidRPr="008C55D4">
        <w:rPr>
          <w:rFonts w:cs="Arial"/>
          <w:sz w:val="22"/>
          <w:szCs w:val="22"/>
          <w:lang w:val="en-GB"/>
        </w:rPr>
        <w:t xml:space="preserve"> </w:t>
      </w:r>
      <w:r w:rsidRPr="008C55D4">
        <w:rPr>
          <w:rFonts w:cs="Arial"/>
          <w:sz w:val="22"/>
          <w:szCs w:val="22"/>
          <w:lang w:val="en-GB"/>
        </w:rPr>
        <w:t>‘</w:t>
      </w:r>
      <w:r w:rsidR="00314FB7" w:rsidRPr="008C55D4">
        <w:rPr>
          <w:rFonts w:cs="Arial"/>
          <w:sz w:val="22"/>
          <w:szCs w:val="22"/>
          <w:lang w:val="en-GB"/>
        </w:rPr>
        <w:t>interphase</w:t>
      </w:r>
      <w:r w:rsidRPr="008C55D4">
        <w:rPr>
          <w:rFonts w:cs="Arial"/>
          <w:sz w:val="22"/>
          <w:szCs w:val="22"/>
          <w:lang w:val="en-GB"/>
        </w:rPr>
        <w:t>’</w:t>
      </w:r>
    </w:p>
    <w:p w:rsidR="00314FB7" w:rsidRPr="008C55D4" w:rsidRDefault="00314FB7" w:rsidP="00314FB7">
      <w:pPr>
        <w:pStyle w:val="ListParagraph"/>
        <w:tabs>
          <w:tab w:val="left" w:pos="1020"/>
        </w:tabs>
        <w:ind w:left="420"/>
        <w:rPr>
          <w:rFonts w:cs="Arial"/>
          <w:sz w:val="22"/>
          <w:szCs w:val="22"/>
          <w:lang w:val="en-GB"/>
        </w:rPr>
      </w:pPr>
    </w:p>
    <w:p w:rsidR="00314FB7" w:rsidRPr="008C55D4" w:rsidRDefault="00314FB7" w:rsidP="008F20D3">
      <w:pPr>
        <w:pStyle w:val="ListParagraph"/>
        <w:tabs>
          <w:tab w:val="left" w:pos="1020"/>
        </w:tabs>
        <w:ind w:left="420"/>
        <w:rPr>
          <w:rFonts w:cs="Arial"/>
          <w:sz w:val="22"/>
          <w:szCs w:val="22"/>
        </w:rPr>
      </w:pPr>
    </w:p>
    <w:p w:rsidR="00DF4423" w:rsidRPr="008C55D4" w:rsidRDefault="00DF4423" w:rsidP="00DF4423">
      <w:pPr>
        <w:tabs>
          <w:tab w:val="left" w:pos="1020"/>
        </w:tabs>
        <w:rPr>
          <w:rFonts w:cs="Arial"/>
          <w:b/>
          <w:sz w:val="22"/>
          <w:szCs w:val="22"/>
        </w:rPr>
      </w:pPr>
      <w:r w:rsidRPr="008C55D4">
        <w:rPr>
          <w:rFonts w:cs="Arial"/>
          <w:b/>
          <w:sz w:val="22"/>
          <w:szCs w:val="22"/>
        </w:rPr>
        <w:t>RECOMMENDATIONS TO COP12</w:t>
      </w:r>
    </w:p>
    <w:p w:rsidR="002C221F" w:rsidRPr="008C55D4" w:rsidRDefault="002C221F" w:rsidP="00B327F5">
      <w:pPr>
        <w:tabs>
          <w:tab w:val="left" w:pos="1020"/>
        </w:tabs>
        <w:rPr>
          <w:rFonts w:cs="Arial"/>
          <w:sz w:val="22"/>
          <w:szCs w:val="22"/>
        </w:rPr>
      </w:pPr>
    </w:p>
    <w:p w:rsidR="00397D2C" w:rsidRPr="00397D2C" w:rsidRDefault="002C221F" w:rsidP="008C55D4">
      <w:pPr>
        <w:tabs>
          <w:tab w:val="left" w:pos="1020"/>
        </w:tabs>
        <w:rPr>
          <w:rFonts w:cs="Arial"/>
          <w:sz w:val="22"/>
          <w:szCs w:val="22"/>
        </w:rPr>
      </w:pPr>
      <w:r w:rsidRPr="008C55D4">
        <w:rPr>
          <w:rFonts w:cs="Arial"/>
          <w:sz w:val="22"/>
          <w:szCs w:val="22"/>
        </w:rPr>
        <w:t>The Resolution is recommended for adoption by the Conference of Parties</w:t>
      </w:r>
    </w:p>
    <w:sectPr w:rsidR="00397D2C" w:rsidRPr="00397D2C" w:rsidSect="0052082F">
      <w:headerReference w:type="even" r:id="rId8"/>
      <w:footerReference w:type="even" r:id="rId9"/>
      <w:headerReference w:type="first" r:id="rId1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0B" w:rsidRDefault="00A4660B">
      <w:r>
        <w:separator/>
      </w:r>
    </w:p>
  </w:endnote>
  <w:endnote w:type="continuationSeparator" w:id="0">
    <w:p w:rsidR="00A4660B" w:rsidRDefault="00A4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91847"/>
      <w:docPartObj>
        <w:docPartGallery w:val="Page Numbers (Bottom of Page)"/>
        <w:docPartUnique/>
      </w:docPartObj>
    </w:sdtPr>
    <w:sdtEndPr>
      <w:rPr>
        <w:noProof/>
      </w:rPr>
    </w:sdtEndPr>
    <w:sdtContent>
      <w:p w:rsidR="00AB2082" w:rsidRDefault="00AB2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2082" w:rsidRDefault="00AB2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0B" w:rsidRDefault="00A4660B">
      <w:r>
        <w:separator/>
      </w:r>
    </w:p>
  </w:footnote>
  <w:footnote w:type="continuationSeparator" w:id="0">
    <w:p w:rsidR="00A4660B" w:rsidRDefault="00A4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82" w:rsidRPr="008648EB" w:rsidRDefault="00AB2082" w:rsidP="00AB2082">
    <w:pPr>
      <w:pStyle w:val="Header"/>
      <w:pBdr>
        <w:bottom w:val="single" w:sz="4" w:space="1" w:color="auto"/>
      </w:pBdr>
      <w:jc w:val="right"/>
      <w:rPr>
        <w:rFonts w:cs="Arial"/>
        <w:i/>
        <w:szCs w:val="18"/>
      </w:rPr>
    </w:pPr>
    <w:r w:rsidRPr="008648EB">
      <w:rPr>
        <w:rFonts w:cs="Arial"/>
        <w:i/>
        <w:szCs w:val="18"/>
      </w:rPr>
      <w:t>UNEP/CMS/COP12/Doc</w:t>
    </w:r>
    <w:r w:rsidRPr="007E6AAB">
      <w:rPr>
        <w:rFonts w:cs="Arial"/>
        <w:i/>
        <w:szCs w:val="18"/>
      </w:rPr>
      <w:t>.24.1.3/</w:t>
    </w:r>
    <w:r>
      <w:rPr>
        <w:rFonts w:cs="Arial"/>
        <w:i/>
        <w:szCs w:val="18"/>
      </w:rPr>
      <w:t>Rev.2/</w:t>
    </w:r>
    <w:r w:rsidRPr="007E6AAB">
      <w:rPr>
        <w:rFonts w:cs="Arial"/>
        <w:i/>
        <w:szCs w:val="18"/>
      </w:rPr>
      <w:t>Add</w:t>
    </w:r>
    <w:r>
      <w:rPr>
        <w:rFonts w:cs="Arial"/>
        <w:i/>
        <w:szCs w:val="18"/>
      </w:rPr>
      <w:t>.In-S.1/B</w:t>
    </w:r>
  </w:p>
  <w:p w:rsidR="00AB2082" w:rsidRDefault="00AB2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8C55D4">
    <w:pPr>
      <w:pStyle w:val="Header"/>
      <w:pBdr>
        <w:bottom w:val="single" w:sz="4" w:space="1" w:color="auto"/>
      </w:pBdr>
      <w:rPr>
        <w:rFonts w:cs="Arial"/>
        <w:i/>
        <w:szCs w:val="18"/>
      </w:rPr>
    </w:pPr>
    <w:r w:rsidRPr="008648EB">
      <w:rPr>
        <w:rFonts w:cs="Arial"/>
        <w:i/>
        <w:szCs w:val="18"/>
      </w:rPr>
      <w:t>UNEP/CMS/COP12/Doc</w:t>
    </w:r>
    <w:r w:rsidRPr="007E6AAB">
      <w:rPr>
        <w:rFonts w:cs="Arial"/>
        <w:i/>
        <w:szCs w:val="18"/>
      </w:rPr>
      <w:t>.</w:t>
    </w:r>
    <w:r w:rsidR="00812142" w:rsidRPr="007E6AAB">
      <w:rPr>
        <w:rFonts w:cs="Arial"/>
        <w:i/>
        <w:szCs w:val="18"/>
      </w:rPr>
      <w:t>24.1.3</w:t>
    </w:r>
    <w:r w:rsidRPr="007E6AAB">
      <w:rPr>
        <w:rFonts w:cs="Arial"/>
        <w:i/>
        <w:szCs w:val="18"/>
      </w:rPr>
      <w:t>/</w:t>
    </w:r>
    <w:r w:rsidR="008C55D4">
      <w:rPr>
        <w:rFonts w:cs="Arial"/>
        <w:i/>
        <w:szCs w:val="18"/>
      </w:rPr>
      <w:t>Rev.2/</w:t>
    </w:r>
    <w:r w:rsidRPr="007E6AAB">
      <w:rPr>
        <w:rFonts w:cs="Arial"/>
        <w:i/>
        <w:szCs w:val="18"/>
      </w:rPr>
      <w:t>Add</w:t>
    </w:r>
    <w:r>
      <w:rPr>
        <w:rFonts w:cs="Arial"/>
        <w:i/>
        <w:szCs w:val="18"/>
      </w:rPr>
      <w:t>.In-S.1</w:t>
    </w:r>
    <w:r w:rsidR="008C55D4">
      <w:rPr>
        <w:rFonts w:cs="Arial"/>
        <w:i/>
        <w:szCs w:val="18"/>
      </w:rPr>
      <w:t>/B</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015CFA"/>
    <w:multiLevelType w:val="hybridMultilevel"/>
    <w:tmpl w:val="60203EF6"/>
    <w:lvl w:ilvl="0" w:tplc="6452F51A">
      <w:start w:val="1"/>
      <w:numFmt w:val="lowerLetter"/>
      <w:lvlText w:val="%1)"/>
      <w:lvlJc w:val="left"/>
      <w:pPr>
        <w:ind w:left="1080" w:hanging="360"/>
      </w:pPr>
    </w:lvl>
    <w:lvl w:ilvl="1" w:tplc="08090001">
      <w:start w:val="1"/>
      <w:numFmt w:val="bullet"/>
      <w:lvlText w:val=""/>
      <w:lvlJc w:val="left"/>
      <w:pPr>
        <w:ind w:left="1778"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150217"/>
    <w:multiLevelType w:val="hybridMultilevel"/>
    <w:tmpl w:val="9246F7B4"/>
    <w:lvl w:ilvl="0" w:tplc="6452F51A">
      <w:start w:val="1"/>
      <w:numFmt w:val="lowerLetter"/>
      <w:lvlText w:val="%1)"/>
      <w:lvlJc w:val="left"/>
      <w:pPr>
        <w:ind w:left="1080" w:hanging="360"/>
      </w:pPr>
    </w:lvl>
    <w:lvl w:ilvl="1" w:tplc="08090019">
      <w:start w:val="1"/>
      <w:numFmt w:val="lowerLetter"/>
      <w:lvlText w:val="%2."/>
      <w:lvlJc w:val="left"/>
      <w:pPr>
        <w:ind w:left="177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1"/>
  </w:num>
  <w:num w:numId="4">
    <w:abstractNumId w:val="24"/>
  </w:num>
  <w:num w:numId="5">
    <w:abstractNumId w:val="12"/>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7"/>
  </w:num>
  <w:num w:numId="10">
    <w:abstractNumId w:val="23"/>
  </w:num>
  <w:num w:numId="11">
    <w:abstractNumId w:val="38"/>
  </w:num>
  <w:num w:numId="12">
    <w:abstractNumId w:val="3"/>
  </w:num>
  <w:num w:numId="13">
    <w:abstractNumId w:val="20"/>
  </w:num>
  <w:num w:numId="14">
    <w:abstractNumId w:val="36"/>
  </w:num>
  <w:num w:numId="15">
    <w:abstractNumId w:val="2"/>
  </w:num>
  <w:num w:numId="16">
    <w:abstractNumId w:val="10"/>
  </w:num>
  <w:num w:numId="17">
    <w:abstractNumId w:val="39"/>
  </w:num>
  <w:num w:numId="18">
    <w:abstractNumId w:val="22"/>
  </w:num>
  <w:num w:numId="19">
    <w:abstractNumId w:val="37"/>
  </w:num>
  <w:num w:numId="20">
    <w:abstractNumId w:val="43"/>
  </w:num>
  <w:num w:numId="21">
    <w:abstractNumId w:val="4"/>
  </w:num>
  <w:num w:numId="22">
    <w:abstractNumId w:val="17"/>
  </w:num>
  <w:num w:numId="23">
    <w:abstractNumId w:val="27"/>
  </w:num>
  <w:num w:numId="24">
    <w:abstractNumId w:val="16"/>
  </w:num>
  <w:num w:numId="25">
    <w:abstractNumId w:val="31"/>
  </w:num>
  <w:num w:numId="26">
    <w:abstractNumId w:val="0"/>
  </w:num>
  <w:num w:numId="27">
    <w:abstractNumId w:val="40"/>
  </w:num>
  <w:num w:numId="28">
    <w:abstractNumId w:val="6"/>
  </w:num>
  <w:num w:numId="29">
    <w:abstractNumId w:val="21"/>
  </w:num>
  <w:num w:numId="30">
    <w:abstractNumId w:val="13"/>
  </w:num>
  <w:num w:numId="31">
    <w:abstractNumId w:val="29"/>
  </w:num>
  <w:num w:numId="32">
    <w:abstractNumId w:val="28"/>
  </w:num>
  <w:num w:numId="33">
    <w:abstractNumId w:val="5"/>
  </w:num>
  <w:num w:numId="34">
    <w:abstractNumId w:val="19"/>
  </w:num>
  <w:num w:numId="35">
    <w:abstractNumId w:val="15"/>
  </w:num>
  <w:num w:numId="36">
    <w:abstractNumId w:val="32"/>
  </w:num>
  <w:num w:numId="37">
    <w:abstractNumId w:val="35"/>
  </w:num>
  <w:num w:numId="38">
    <w:abstractNumId w:val="9"/>
  </w:num>
  <w:num w:numId="39">
    <w:abstractNumId w:val="30"/>
  </w:num>
  <w:num w:numId="40">
    <w:abstractNumId w:val="41"/>
  </w:num>
  <w:num w:numId="41">
    <w:abstractNumId w:val="26"/>
  </w:num>
  <w:num w:numId="42">
    <w:abstractNumId w:val="8"/>
  </w:num>
  <w:num w:numId="43">
    <w:abstractNumId w:val="1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46E44"/>
    <w:rsid w:val="000518C2"/>
    <w:rsid w:val="00056DC1"/>
    <w:rsid w:val="00060156"/>
    <w:rsid w:val="00070BBC"/>
    <w:rsid w:val="00073C92"/>
    <w:rsid w:val="00080F03"/>
    <w:rsid w:val="000900E1"/>
    <w:rsid w:val="0009076A"/>
    <w:rsid w:val="000A10ED"/>
    <w:rsid w:val="000B3F78"/>
    <w:rsid w:val="000B6220"/>
    <w:rsid w:val="000C21B1"/>
    <w:rsid w:val="000C3595"/>
    <w:rsid w:val="000C3C87"/>
    <w:rsid w:val="000C7460"/>
    <w:rsid w:val="000E01C1"/>
    <w:rsid w:val="000E32BE"/>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A4AE4"/>
    <w:rsid w:val="001B24A9"/>
    <w:rsid w:val="001C6038"/>
    <w:rsid w:val="001F60A1"/>
    <w:rsid w:val="00200A67"/>
    <w:rsid w:val="00201F88"/>
    <w:rsid w:val="00202332"/>
    <w:rsid w:val="002210F4"/>
    <w:rsid w:val="00234857"/>
    <w:rsid w:val="00244002"/>
    <w:rsid w:val="00254721"/>
    <w:rsid w:val="00260772"/>
    <w:rsid w:val="00263159"/>
    <w:rsid w:val="002779F7"/>
    <w:rsid w:val="002C187A"/>
    <w:rsid w:val="002C20F1"/>
    <w:rsid w:val="002C221F"/>
    <w:rsid w:val="002D2863"/>
    <w:rsid w:val="002D5EC0"/>
    <w:rsid w:val="002E3DEA"/>
    <w:rsid w:val="002E7CC2"/>
    <w:rsid w:val="002F6F9B"/>
    <w:rsid w:val="00305783"/>
    <w:rsid w:val="00314FB7"/>
    <w:rsid w:val="003211D9"/>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56D0"/>
    <w:rsid w:val="00473ABD"/>
    <w:rsid w:val="00474F4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8306B"/>
    <w:rsid w:val="00593736"/>
    <w:rsid w:val="00596840"/>
    <w:rsid w:val="005B0F06"/>
    <w:rsid w:val="005B6141"/>
    <w:rsid w:val="005C3F15"/>
    <w:rsid w:val="005F3989"/>
    <w:rsid w:val="005F4303"/>
    <w:rsid w:val="00601B52"/>
    <w:rsid w:val="0060280B"/>
    <w:rsid w:val="00604422"/>
    <w:rsid w:val="00606359"/>
    <w:rsid w:val="00616938"/>
    <w:rsid w:val="006356C5"/>
    <w:rsid w:val="00644060"/>
    <w:rsid w:val="00651341"/>
    <w:rsid w:val="00651E43"/>
    <w:rsid w:val="0066287C"/>
    <w:rsid w:val="00667726"/>
    <w:rsid w:val="006815B2"/>
    <w:rsid w:val="00682B31"/>
    <w:rsid w:val="006864E1"/>
    <w:rsid w:val="006B1037"/>
    <w:rsid w:val="006C0FC6"/>
    <w:rsid w:val="006E56AD"/>
    <w:rsid w:val="006E5763"/>
    <w:rsid w:val="006F450A"/>
    <w:rsid w:val="006F6A33"/>
    <w:rsid w:val="007101BB"/>
    <w:rsid w:val="00713308"/>
    <w:rsid w:val="00727E01"/>
    <w:rsid w:val="007554A2"/>
    <w:rsid w:val="00755C2A"/>
    <w:rsid w:val="00757614"/>
    <w:rsid w:val="007728B4"/>
    <w:rsid w:val="0077622E"/>
    <w:rsid w:val="00777913"/>
    <w:rsid w:val="00777FE4"/>
    <w:rsid w:val="0079075D"/>
    <w:rsid w:val="007C1468"/>
    <w:rsid w:val="007C41D7"/>
    <w:rsid w:val="007D0DAB"/>
    <w:rsid w:val="007E6AAB"/>
    <w:rsid w:val="007F16FB"/>
    <w:rsid w:val="007F1BBA"/>
    <w:rsid w:val="00812142"/>
    <w:rsid w:val="0081600F"/>
    <w:rsid w:val="0082722D"/>
    <w:rsid w:val="008274F7"/>
    <w:rsid w:val="008441F9"/>
    <w:rsid w:val="00846A99"/>
    <w:rsid w:val="008641D1"/>
    <w:rsid w:val="008648EB"/>
    <w:rsid w:val="00872F67"/>
    <w:rsid w:val="00881468"/>
    <w:rsid w:val="00893346"/>
    <w:rsid w:val="008A0D8D"/>
    <w:rsid w:val="008B1A69"/>
    <w:rsid w:val="008C1A39"/>
    <w:rsid w:val="008C55D4"/>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A7F89"/>
    <w:rsid w:val="009C3F0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4660B"/>
    <w:rsid w:val="00A568DF"/>
    <w:rsid w:val="00A73A79"/>
    <w:rsid w:val="00A854E8"/>
    <w:rsid w:val="00A91596"/>
    <w:rsid w:val="00A93C52"/>
    <w:rsid w:val="00AA7368"/>
    <w:rsid w:val="00AA7A90"/>
    <w:rsid w:val="00AB2082"/>
    <w:rsid w:val="00AB4FF9"/>
    <w:rsid w:val="00AE45FB"/>
    <w:rsid w:val="00AE7B21"/>
    <w:rsid w:val="00AF1980"/>
    <w:rsid w:val="00AF2021"/>
    <w:rsid w:val="00B327F5"/>
    <w:rsid w:val="00B471BD"/>
    <w:rsid w:val="00B471D7"/>
    <w:rsid w:val="00B50C2D"/>
    <w:rsid w:val="00B64904"/>
    <w:rsid w:val="00BA60CE"/>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A3DE9"/>
    <w:rsid w:val="00CB1D26"/>
    <w:rsid w:val="00CC4C21"/>
    <w:rsid w:val="00CC57AD"/>
    <w:rsid w:val="00CE5B83"/>
    <w:rsid w:val="00CF6EDD"/>
    <w:rsid w:val="00D05922"/>
    <w:rsid w:val="00D1399E"/>
    <w:rsid w:val="00D24EF1"/>
    <w:rsid w:val="00D31BF6"/>
    <w:rsid w:val="00D42AE1"/>
    <w:rsid w:val="00D605A4"/>
    <w:rsid w:val="00D61B13"/>
    <w:rsid w:val="00D7746A"/>
    <w:rsid w:val="00D838FE"/>
    <w:rsid w:val="00D8406F"/>
    <w:rsid w:val="00D859C7"/>
    <w:rsid w:val="00D9021F"/>
    <w:rsid w:val="00DA1080"/>
    <w:rsid w:val="00DA12C2"/>
    <w:rsid w:val="00DB30A6"/>
    <w:rsid w:val="00DD6A9E"/>
    <w:rsid w:val="00DF38F9"/>
    <w:rsid w:val="00DF4423"/>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063B6"/>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B6ED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BA266D"/>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6034-975D-4568-BA05-C3D67D5E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2</Pages>
  <Words>579</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2017-07-12T12:49:00Z</dcterms:created>
  <dcterms:modified xsi:type="dcterms:W3CDTF">2017-07-12T12:49:00Z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