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0D3ACD4B" w14:textId="77777777" w:rsidR="00D931F9" w:rsidRPr="00992727" w:rsidRDefault="00D931F9" w:rsidP="00D931F9">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23E25F75" w14:textId="77777777" w:rsidR="00D931F9" w:rsidRPr="00420040" w:rsidRDefault="00D931F9" w:rsidP="00D931F9">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418181A6" w:rsidR="0081600F" w:rsidRPr="00420040" w:rsidRDefault="00D931F9" w:rsidP="00D931F9">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E11F73">
        <w:rPr>
          <w:rFonts w:ascii="Arial" w:hAnsi="Arial" w:cs="Arial"/>
          <w:iCs/>
          <w:sz w:val="22"/>
          <w:szCs w:val="22"/>
          <w:lang w:val="pt-PT"/>
        </w:rPr>
        <w:t>21.1.9</w:t>
      </w:r>
      <w:r w:rsidRPr="009F0FA2">
        <w:rPr>
          <w:rFonts w:ascii="Arial" w:hAnsi="Arial" w:cs="Arial"/>
          <w:iCs/>
          <w:sz w:val="22"/>
          <w:szCs w:val="22"/>
          <w:lang w:val="pt-PT"/>
        </w:rPr>
        <w:t xml:space="preserve"> del orden del dí</w:t>
      </w:r>
      <w:r>
        <w:rPr>
          <w:rFonts w:ascii="Arial" w:hAnsi="Arial" w:cs="Arial"/>
          <w:iCs/>
          <w:sz w:val="22"/>
          <w:szCs w:val="22"/>
          <w:lang w:val="pt-PT"/>
        </w:rPr>
        <w:t>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D931F9" w:rsidRPr="002F6F9B" w14:paraId="06D3C052" w14:textId="77777777" w:rsidTr="005503DF">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B7716A9" w14:textId="77777777" w:rsidR="00D931F9" w:rsidRPr="00FA61AF" w:rsidRDefault="00D931F9" w:rsidP="00D931F9">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42AD20E5" w14:textId="77777777" w:rsidR="00D931F9" w:rsidRPr="002F6F9B" w:rsidRDefault="00D931F9" w:rsidP="00D931F9">
            <w:pPr>
              <w:tabs>
                <w:tab w:val="left" w:pos="-1057"/>
                <w:tab w:val="left" w:pos="-720"/>
                <w:tab w:val="left" w:pos="0"/>
                <w:tab w:val="left" w:pos="141"/>
                <w:tab w:val="left" w:pos="720"/>
                <w:tab w:val="right" w:pos="9072"/>
              </w:tabs>
              <w:rPr>
                <w:rFonts w:ascii="Arial" w:hAnsi="Arial" w:cs="Arial"/>
                <w:sz w:val="22"/>
                <w:szCs w:val="22"/>
                <w:lang w:val="en-GB"/>
              </w:rPr>
            </w:pPr>
          </w:p>
        </w:tc>
      </w:tr>
      <w:tr w:rsidR="00D931F9" w:rsidRPr="00992727" w14:paraId="56247AD9" w14:textId="77777777" w:rsidTr="005503DF">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485B613" w14:textId="77777777" w:rsidR="00D931F9" w:rsidRPr="00682B31" w:rsidRDefault="00D931F9" w:rsidP="00D931F9">
            <w:pPr>
              <w:rPr>
                <w:rFonts w:ascii="Arial" w:hAnsi="Arial" w:cs="Arial"/>
                <w:sz w:val="22"/>
                <w:szCs w:val="22"/>
                <w:lang w:val="en-GB"/>
              </w:rPr>
            </w:pPr>
            <w:r w:rsidRPr="00682B31">
              <w:rPr>
                <w:rFonts w:ascii="Arial" w:hAnsi="Arial" w:cs="Arial"/>
                <w:noProof/>
                <w:sz w:val="22"/>
                <w:szCs w:val="22"/>
              </w:rPr>
              <w:drawing>
                <wp:inline distT="0" distB="0" distL="0" distR="0" wp14:anchorId="386681F5" wp14:editId="4F94628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8A6B7CB" w14:textId="77777777" w:rsidR="00D931F9" w:rsidRPr="00682B31" w:rsidRDefault="00D931F9" w:rsidP="00D931F9">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EE5A5C3" w14:textId="77777777" w:rsidR="00D931F9" w:rsidRPr="00682B31" w:rsidRDefault="00D931F9" w:rsidP="00D931F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5B14FA76" w14:textId="77777777" w:rsidR="00D931F9" w:rsidRPr="009550BF" w:rsidRDefault="00D931F9" w:rsidP="00D931F9">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9550BF">
              <w:rPr>
                <w:rFonts w:ascii="Arial" w:hAnsi="Arial" w:cs="Arial"/>
                <w:bCs w:val="0"/>
                <w:sz w:val="28"/>
                <w:szCs w:val="28"/>
                <w:lang w:val="es-ES"/>
              </w:rPr>
              <w:t>CONVENCIÓN SOBRE</w:t>
            </w:r>
          </w:p>
          <w:p w14:paraId="4ED96BCA" w14:textId="77777777" w:rsidR="00D931F9" w:rsidRPr="009550BF" w:rsidRDefault="00D931F9" w:rsidP="00D931F9">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9550BF">
              <w:rPr>
                <w:rFonts w:ascii="Arial" w:hAnsi="Arial" w:cs="Arial"/>
                <w:bCs w:val="0"/>
                <w:sz w:val="28"/>
                <w:szCs w:val="28"/>
                <w:lang w:val="es-ES"/>
              </w:rPr>
              <w:t>LAS ESPECIES</w:t>
            </w:r>
          </w:p>
          <w:p w14:paraId="060905F1" w14:textId="77777777" w:rsidR="00D931F9" w:rsidRPr="009550BF" w:rsidRDefault="00D931F9" w:rsidP="00D931F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9550BF">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335B50F" w14:textId="77777777" w:rsidR="00D931F9" w:rsidRPr="009550BF" w:rsidRDefault="00D931F9" w:rsidP="00D931F9">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E6FD75D" w14:textId="77777777" w:rsidR="00D931F9" w:rsidRPr="00992727" w:rsidRDefault="00D931F9" w:rsidP="00D931F9">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03A5FF9A" w14:textId="77777777" w:rsidR="00D931F9" w:rsidRPr="00992727" w:rsidRDefault="00D931F9" w:rsidP="00D931F9">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124B713E" w14:textId="5C792AA9" w:rsidR="00D931F9" w:rsidRPr="00992727" w:rsidRDefault="00D931F9" w:rsidP="00D931F9">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E11F73">
              <w:rPr>
                <w:rFonts w:ascii="Arial" w:hAnsi="Arial" w:cs="Arial"/>
                <w:sz w:val="22"/>
                <w:szCs w:val="22"/>
                <w:lang w:val="es-ES"/>
              </w:rPr>
              <w:t>21.1.9</w:t>
            </w:r>
          </w:p>
          <w:p w14:paraId="73441722" w14:textId="59EBF058" w:rsidR="00D931F9" w:rsidRPr="00992727" w:rsidRDefault="009550BF" w:rsidP="00D931F9">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18 de mayo</w:t>
            </w:r>
            <w:r w:rsidR="00D931F9">
              <w:rPr>
                <w:rFonts w:ascii="Arial" w:hAnsi="Arial" w:cs="Arial"/>
                <w:sz w:val="22"/>
                <w:szCs w:val="22"/>
                <w:lang w:val="es-ES"/>
              </w:rPr>
              <w:t xml:space="preserve"> de 2017</w:t>
            </w:r>
          </w:p>
          <w:p w14:paraId="16387BB9" w14:textId="77777777" w:rsidR="00D931F9" w:rsidRPr="00992727" w:rsidRDefault="00D931F9" w:rsidP="00D931F9">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FEF322A" w14:textId="77777777" w:rsidR="00D931F9" w:rsidRPr="009F0FA2" w:rsidRDefault="00D931F9" w:rsidP="00D931F9">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66643372" w14:textId="77777777" w:rsidR="00D931F9" w:rsidRPr="009F0FA2" w:rsidRDefault="00D931F9" w:rsidP="00D931F9">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2D16937A" w14:textId="77777777" w:rsidR="00D931F9" w:rsidRPr="00992727" w:rsidRDefault="00D931F9" w:rsidP="00D931F9">
            <w:pPr>
              <w:rPr>
                <w:rFonts w:ascii="Arial" w:hAnsi="Arial" w:cs="Arial"/>
                <w:sz w:val="12"/>
                <w:szCs w:val="12"/>
                <w:lang w:val="es-ES"/>
              </w:rPr>
            </w:pPr>
          </w:p>
        </w:tc>
      </w:tr>
    </w:tbl>
    <w:p w14:paraId="5089B444" w14:textId="77777777" w:rsidR="00D931F9" w:rsidRPr="00682B31" w:rsidRDefault="00D931F9" w:rsidP="00D931F9">
      <w:pPr>
        <w:tabs>
          <w:tab w:val="left" w:pos="7020"/>
        </w:tabs>
        <w:rPr>
          <w:rFonts w:ascii="Arial" w:hAnsi="Arial" w:cs="Arial"/>
          <w:sz w:val="22"/>
          <w:szCs w:val="22"/>
        </w:rPr>
      </w:pPr>
    </w:p>
    <w:p w14:paraId="4DD581F3" w14:textId="1651D18D" w:rsidR="00D931F9" w:rsidRDefault="00D931F9" w:rsidP="00D931F9">
      <w:pPr>
        <w:tabs>
          <w:tab w:val="left" w:pos="7020"/>
        </w:tabs>
        <w:rPr>
          <w:rFonts w:ascii="Arial" w:hAnsi="Arial" w:cs="Arial"/>
          <w:sz w:val="22"/>
          <w:szCs w:val="22"/>
        </w:rPr>
      </w:pPr>
    </w:p>
    <w:p w14:paraId="5BE0C4D8" w14:textId="77777777" w:rsidR="009550BF" w:rsidRPr="000160CA" w:rsidRDefault="009550BF" w:rsidP="00D931F9">
      <w:pPr>
        <w:tabs>
          <w:tab w:val="left" w:pos="7020"/>
        </w:tabs>
        <w:rPr>
          <w:rFonts w:ascii="Arial" w:hAnsi="Arial" w:cs="Arial"/>
          <w:sz w:val="22"/>
          <w:szCs w:val="22"/>
        </w:rPr>
      </w:pPr>
    </w:p>
    <w:p w14:paraId="12E71AAD" w14:textId="77777777" w:rsidR="00D931F9" w:rsidRPr="00DE60EC" w:rsidRDefault="00D931F9" w:rsidP="00D931F9">
      <w:pPr>
        <w:rPr>
          <w:rFonts w:ascii="Arial" w:hAnsi="Arial" w:cs="Arial"/>
          <w:sz w:val="22"/>
          <w:szCs w:val="22"/>
        </w:rPr>
      </w:pPr>
    </w:p>
    <w:p w14:paraId="46F718B1" w14:textId="56AE45EB" w:rsidR="00D931F9" w:rsidRPr="009550BF" w:rsidRDefault="009550BF" w:rsidP="00D931F9">
      <w:pPr>
        <w:widowControl/>
        <w:autoSpaceDE/>
        <w:autoSpaceDN/>
        <w:adjustRightInd/>
        <w:jc w:val="center"/>
        <w:rPr>
          <w:rFonts w:ascii="Arial" w:hAnsi="Arial" w:cs="Arial"/>
          <w:caps/>
          <w:sz w:val="22"/>
          <w:szCs w:val="22"/>
          <w:lang w:val="es-ES"/>
        </w:rPr>
      </w:pPr>
      <w:r>
        <w:rPr>
          <w:rFonts w:ascii="Arial" w:hAnsi="Arial" w:cs="Arial"/>
          <w:b/>
          <w:bCs/>
          <w:caps/>
          <w:sz w:val="22"/>
          <w:szCs w:val="22"/>
          <w:lang w:val="es-ES"/>
        </w:rPr>
        <w:t>Resoluciones que han de REVOCARSE</w:t>
      </w:r>
      <w:r w:rsidR="00D931F9" w:rsidRPr="009550BF">
        <w:rPr>
          <w:rFonts w:ascii="Arial" w:hAnsi="Arial" w:cs="Arial"/>
          <w:b/>
          <w:bCs/>
          <w:caps/>
          <w:sz w:val="22"/>
          <w:szCs w:val="22"/>
          <w:lang w:val="es-ES"/>
        </w:rPr>
        <w:t xml:space="preserve"> en parte</w:t>
      </w:r>
    </w:p>
    <w:p w14:paraId="56111075" w14:textId="77777777" w:rsidR="00D931F9" w:rsidRPr="009550BF" w:rsidRDefault="00D931F9" w:rsidP="00D931F9">
      <w:pPr>
        <w:widowControl/>
        <w:autoSpaceDE/>
        <w:autoSpaceDN/>
        <w:adjustRightInd/>
        <w:rPr>
          <w:rFonts w:ascii="Arial" w:hAnsi="Arial" w:cs="Arial"/>
          <w:sz w:val="22"/>
          <w:szCs w:val="22"/>
          <w:lang w:val="es-ES"/>
        </w:rPr>
      </w:pPr>
    </w:p>
    <w:p w14:paraId="1CC87DE4" w14:textId="77777777" w:rsidR="008038C7" w:rsidRPr="009550BF" w:rsidRDefault="00D931F9" w:rsidP="008038C7">
      <w:pPr>
        <w:pStyle w:val="p1"/>
        <w:jc w:val="center"/>
        <w:rPr>
          <w:rFonts w:ascii="Arial" w:eastAsia="Times New Roman" w:hAnsi="Arial" w:cs="Arial"/>
          <w:b/>
          <w:sz w:val="22"/>
          <w:szCs w:val="22"/>
          <w:lang w:val="es-ES"/>
        </w:rPr>
      </w:pPr>
      <w:r w:rsidRPr="009550BF">
        <w:rPr>
          <w:rFonts w:ascii="Arial" w:hAnsi="Arial" w:cs="Arial"/>
          <w:b/>
          <w:caps/>
          <w:sz w:val="22"/>
          <w:szCs w:val="22"/>
          <w:lang w:val="es-ES"/>
        </w:rPr>
        <w:t xml:space="preserve">Resolución 7.3, </w:t>
      </w:r>
      <w:r w:rsidR="008038C7" w:rsidRPr="009550BF">
        <w:rPr>
          <w:rFonts w:ascii="Arial" w:eastAsia="Times New Roman" w:hAnsi="Arial" w:cs="Arial"/>
          <w:b/>
          <w:sz w:val="22"/>
          <w:szCs w:val="22"/>
          <w:lang w:val="es-ES"/>
        </w:rPr>
        <w:t>LA CONTAMINACIÓN POR HIDROCARBUROS Y LAS ESPECIES</w:t>
      </w:r>
    </w:p>
    <w:p w14:paraId="52924B6D" w14:textId="77777777" w:rsidR="008038C7" w:rsidRPr="009550BF" w:rsidRDefault="008038C7" w:rsidP="008038C7">
      <w:pPr>
        <w:widowControl/>
        <w:autoSpaceDE/>
        <w:autoSpaceDN/>
        <w:adjustRightInd/>
        <w:jc w:val="center"/>
        <w:rPr>
          <w:rFonts w:ascii="Arial" w:hAnsi="Arial" w:cs="Arial"/>
          <w:b/>
          <w:sz w:val="22"/>
          <w:szCs w:val="22"/>
          <w:lang w:val="es-ES"/>
        </w:rPr>
      </w:pPr>
      <w:r w:rsidRPr="009550BF">
        <w:rPr>
          <w:rFonts w:ascii="Arial" w:hAnsi="Arial" w:cs="Arial"/>
          <w:b/>
          <w:sz w:val="22"/>
          <w:szCs w:val="22"/>
          <w:lang w:val="es-ES"/>
        </w:rPr>
        <w:t>MIGRATORIAS</w:t>
      </w:r>
    </w:p>
    <w:p w14:paraId="4B90B5AE" w14:textId="4C46832B" w:rsidR="00D931F9" w:rsidRPr="009550BF" w:rsidRDefault="00D931F9" w:rsidP="00E11F73">
      <w:pPr>
        <w:spacing w:before="100" w:beforeAutospacing="1" w:after="240"/>
        <w:jc w:val="center"/>
        <w:rPr>
          <w:rFonts w:ascii="Arial" w:hAnsi="Arial" w:cs="Arial"/>
          <w:sz w:val="22"/>
          <w:szCs w:val="22"/>
          <w:lang w:val="es-ES"/>
        </w:rPr>
      </w:pPr>
      <w:r w:rsidRPr="009550BF">
        <w:rPr>
          <w:rFonts w:ascii="Arial" w:hAnsi="Arial" w:cs="Arial"/>
          <w:i/>
          <w:sz w:val="22"/>
          <w:szCs w:val="22"/>
          <w:lang w:val="es-ES"/>
        </w:rPr>
        <w:t>(</w:t>
      </w:r>
      <w:r w:rsidR="00E11F73" w:rsidRPr="009550BF">
        <w:rPr>
          <w:rFonts w:ascii="Arial" w:hAnsi="Arial" w:cs="Arial"/>
          <w:i/>
          <w:iCs/>
          <w:sz w:val="22"/>
          <w:szCs w:val="22"/>
          <w:lang w:val="es-ES"/>
        </w:rPr>
        <w:t>Preparado por la Se</w:t>
      </w:r>
      <w:bookmarkStart w:id="0" w:name="_GoBack"/>
      <w:bookmarkEnd w:id="0"/>
      <w:r w:rsidR="00E11F73" w:rsidRPr="009550BF">
        <w:rPr>
          <w:rFonts w:ascii="Arial" w:hAnsi="Arial" w:cs="Arial"/>
          <w:i/>
          <w:iCs/>
          <w:sz w:val="22"/>
          <w:szCs w:val="22"/>
          <w:lang w:val="es-ES"/>
        </w:rPr>
        <w:t xml:space="preserve">cretaría </w:t>
      </w:r>
      <w:r w:rsidR="00E11F73" w:rsidRPr="009550BF">
        <w:rPr>
          <w:rFonts w:ascii="Arial" w:hAnsi="Arial" w:cs="Arial"/>
          <w:bCs/>
          <w:i/>
          <w:sz w:val="22"/>
          <w:szCs w:val="22"/>
          <w:lang w:val="es-ES"/>
        </w:rPr>
        <w:t>en nombre del Comité Permanente</w:t>
      </w:r>
      <w:r w:rsidRPr="009550BF">
        <w:rPr>
          <w:rFonts w:ascii="Arial" w:hAnsi="Arial" w:cs="Arial"/>
          <w:i/>
          <w:sz w:val="22"/>
          <w:szCs w:val="22"/>
          <w:lang w:val="es-ES"/>
        </w:rPr>
        <w:t>)</w:t>
      </w:r>
    </w:p>
    <w:p w14:paraId="09969F71" w14:textId="77777777" w:rsidR="00D931F9" w:rsidRPr="009550BF" w:rsidRDefault="00D931F9" w:rsidP="00D931F9">
      <w:pPr>
        <w:jc w:val="both"/>
        <w:rPr>
          <w:rFonts w:ascii="Arial" w:hAnsi="Arial" w:cs="Arial"/>
          <w:sz w:val="22"/>
          <w:szCs w:val="22"/>
          <w:lang w:val="es-ES"/>
        </w:rPr>
      </w:pPr>
    </w:p>
    <w:p w14:paraId="726F739C" w14:textId="77777777" w:rsidR="00D931F9" w:rsidRPr="009550BF" w:rsidRDefault="00D931F9" w:rsidP="00D931F9">
      <w:pPr>
        <w:tabs>
          <w:tab w:val="left" w:pos="8295"/>
        </w:tabs>
        <w:jc w:val="both"/>
        <w:rPr>
          <w:rFonts w:ascii="Arial" w:hAnsi="Arial" w:cs="Arial"/>
          <w:sz w:val="22"/>
          <w:szCs w:val="22"/>
          <w:lang w:val="es-ES"/>
        </w:rPr>
      </w:pPr>
    </w:p>
    <w:p w14:paraId="1E4F9568" w14:textId="77777777" w:rsidR="00D931F9" w:rsidRPr="009550BF" w:rsidRDefault="00D931F9" w:rsidP="00D931F9">
      <w:pPr>
        <w:jc w:val="both"/>
        <w:rPr>
          <w:rFonts w:ascii="Arial" w:hAnsi="Arial" w:cs="Arial"/>
          <w:sz w:val="22"/>
          <w:szCs w:val="22"/>
          <w:lang w:val="es-ES"/>
        </w:rPr>
      </w:pPr>
    </w:p>
    <w:p w14:paraId="6E236BAE" w14:textId="77777777" w:rsidR="00D931F9" w:rsidRPr="009550BF" w:rsidRDefault="00D931F9" w:rsidP="00D931F9">
      <w:pPr>
        <w:rPr>
          <w:rFonts w:ascii="Arial" w:hAnsi="Arial" w:cs="Arial"/>
          <w:sz w:val="22"/>
          <w:szCs w:val="22"/>
          <w:lang w:val="es-ES"/>
        </w:rPr>
      </w:pPr>
    </w:p>
    <w:p w14:paraId="5FE6D531" w14:textId="77777777" w:rsidR="00D931F9" w:rsidRPr="009550BF" w:rsidRDefault="00D931F9" w:rsidP="00D931F9">
      <w:pPr>
        <w:rPr>
          <w:rFonts w:ascii="Arial" w:hAnsi="Arial" w:cs="Arial"/>
          <w:sz w:val="22"/>
          <w:szCs w:val="22"/>
          <w:lang w:val="es-ES"/>
        </w:rPr>
      </w:pPr>
      <w:r w:rsidRPr="00DE60EC">
        <w:rPr>
          <w:rFonts w:ascii="Arial" w:hAnsi="Arial" w:cs="Arial"/>
          <w:noProof/>
          <w:sz w:val="22"/>
          <w:szCs w:val="22"/>
        </w:rPr>
        <mc:AlternateContent>
          <mc:Choice Requires="wps">
            <w:drawing>
              <wp:anchor distT="0" distB="0" distL="114300" distR="114300" simplePos="0" relativeHeight="251659264" behindDoc="0" locked="0" layoutInCell="1" allowOverlap="1" wp14:anchorId="080F11F2" wp14:editId="45302ECE">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79D0DDDE" w14:textId="45679DBD" w:rsidR="00D931F9" w:rsidRPr="009550BF" w:rsidRDefault="00D931F9" w:rsidP="00D931F9">
                            <w:pPr>
                              <w:rPr>
                                <w:rFonts w:ascii="Arial" w:hAnsi="Arial" w:cs="Arial"/>
                                <w:sz w:val="22"/>
                                <w:szCs w:val="22"/>
                                <w:lang w:val="es-ES"/>
                              </w:rPr>
                            </w:pPr>
                            <w:r w:rsidRPr="009550BF">
                              <w:rPr>
                                <w:rFonts w:ascii="Arial" w:hAnsi="Arial" w:cs="Arial"/>
                                <w:sz w:val="22"/>
                                <w:szCs w:val="22"/>
                                <w:lang w:val="es-ES"/>
                              </w:rPr>
                              <w:t>Resumen:</w:t>
                            </w:r>
                          </w:p>
                          <w:p w14:paraId="5CDC7439" w14:textId="77777777" w:rsidR="00D931F9" w:rsidRPr="009550BF" w:rsidRDefault="00D931F9" w:rsidP="00D931F9">
                            <w:pPr>
                              <w:rPr>
                                <w:rFonts w:ascii="Arial" w:hAnsi="Arial" w:cs="Arial"/>
                                <w:sz w:val="22"/>
                                <w:szCs w:val="22"/>
                                <w:lang w:val="es-ES"/>
                              </w:rPr>
                            </w:pPr>
                          </w:p>
                          <w:p w14:paraId="1063A22D" w14:textId="68745F5B" w:rsidR="00D931F9" w:rsidRPr="009550BF" w:rsidRDefault="00E11F73" w:rsidP="009550BF">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Este document</w:t>
                            </w:r>
                            <w:r w:rsidR="009550BF">
                              <w:rPr>
                                <w:rFonts w:ascii="Arial" w:hAnsi="Arial" w:cs="Arial"/>
                                <w:color w:val="000000" w:themeColor="text1"/>
                                <w:sz w:val="22"/>
                                <w:szCs w:val="22"/>
                                <w:lang w:val="es-ES"/>
                              </w:rPr>
                              <w:t>o revoca en parte la</w:t>
                            </w:r>
                            <w:r w:rsidRPr="009550BF">
                              <w:rPr>
                                <w:rFonts w:ascii="Arial" w:hAnsi="Arial" w:cs="Arial"/>
                                <w:sz w:val="22"/>
                                <w:szCs w:val="22"/>
                                <w:lang w:val="es-ES"/>
                              </w:rPr>
                              <w:t xml:space="preserve"> </w:t>
                            </w:r>
                            <w:r w:rsidR="00D931F9">
                              <w:rPr>
                                <w:rFonts w:ascii="Arial" w:hAnsi="Arial" w:cs="Arial"/>
                                <w:sz w:val="22"/>
                                <w:szCs w:val="22"/>
                              </w:rPr>
                              <w:fldChar w:fldCharType="begin"/>
                            </w:r>
                            <w:r w:rsidR="009550BF" w:rsidRPr="009550BF">
                              <w:rPr>
                                <w:rFonts w:ascii="Arial" w:hAnsi="Arial" w:cs="Arial"/>
                                <w:sz w:val="22"/>
                                <w:szCs w:val="22"/>
                                <w:lang w:val="es-ES"/>
                              </w:rPr>
                              <w:instrText>HYPERLINK "http://www.cms.int/sites/default/files/document/Res_7_03_CONTAMINACION_POR_HIDROCARBUROS_sp_0_0.pdf"</w:instrText>
                            </w:r>
                            <w:r w:rsidR="009550BF">
                              <w:rPr>
                                <w:rFonts w:ascii="Arial" w:hAnsi="Arial" w:cs="Arial"/>
                                <w:sz w:val="22"/>
                                <w:szCs w:val="22"/>
                              </w:rPr>
                            </w:r>
                            <w:r w:rsidR="00D931F9">
                              <w:rPr>
                                <w:rFonts w:ascii="Arial" w:hAnsi="Arial" w:cs="Arial"/>
                                <w:sz w:val="22"/>
                                <w:szCs w:val="22"/>
                              </w:rPr>
                              <w:fldChar w:fldCharType="separate"/>
                            </w:r>
                            <w:proofErr w:type="spellStart"/>
                            <w:r w:rsidR="009550BF">
                              <w:rPr>
                                <w:rStyle w:val="Hyperlink"/>
                                <w:rFonts w:ascii="Arial" w:hAnsi="Arial" w:cs="Arial"/>
                                <w:sz w:val="22"/>
                                <w:szCs w:val="22"/>
                                <w:lang w:val="es-ES"/>
                              </w:rPr>
                              <w:t>Resolución</w:t>
                            </w:r>
                            <w:proofErr w:type="spellEnd"/>
                            <w:r w:rsidR="00D931F9" w:rsidRPr="009550BF">
                              <w:rPr>
                                <w:rStyle w:val="Hyperlink"/>
                                <w:rFonts w:ascii="Arial" w:hAnsi="Arial" w:cs="Arial"/>
                                <w:sz w:val="22"/>
                                <w:szCs w:val="22"/>
                                <w:lang w:val="es-ES"/>
                              </w:rPr>
                              <w:t xml:space="preserve"> 7.3, </w:t>
                            </w:r>
                            <w:r w:rsidR="009550BF" w:rsidRPr="009550BF">
                              <w:rPr>
                                <w:rStyle w:val="Hyperlink"/>
                                <w:rFonts w:ascii="Arial" w:hAnsi="Arial" w:cs="Arial"/>
                                <w:i/>
                                <w:sz w:val="22"/>
                                <w:szCs w:val="22"/>
                                <w:lang w:val="es-ES"/>
                              </w:rPr>
                              <w:t>Contaminación por hidrocarburos y las especies migratorias</w:t>
                            </w:r>
                            <w:r w:rsidR="00D931F9" w:rsidRPr="009550BF">
                              <w:rPr>
                                <w:rStyle w:val="Hyperlink"/>
                                <w:rFonts w:ascii="Arial" w:hAnsi="Arial" w:cs="Arial"/>
                                <w:sz w:val="22"/>
                                <w:szCs w:val="22"/>
                                <w:lang w:val="es-ES"/>
                              </w:rPr>
                              <w:t>.</w:t>
                            </w:r>
                          </w:p>
                          <w:p w14:paraId="5951484D" w14:textId="77777777" w:rsidR="00D931F9" w:rsidRPr="00C169ED" w:rsidRDefault="00D931F9" w:rsidP="009550BF">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11F2"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79D0DDDE" w14:textId="45679DBD" w:rsidR="00D931F9" w:rsidRPr="009550BF" w:rsidRDefault="00D931F9" w:rsidP="00D931F9">
                      <w:pPr>
                        <w:rPr>
                          <w:rFonts w:ascii="Arial" w:hAnsi="Arial" w:cs="Arial"/>
                          <w:sz w:val="22"/>
                          <w:szCs w:val="22"/>
                          <w:lang w:val="es-ES"/>
                        </w:rPr>
                      </w:pPr>
                      <w:r w:rsidRPr="009550BF">
                        <w:rPr>
                          <w:rFonts w:ascii="Arial" w:hAnsi="Arial" w:cs="Arial"/>
                          <w:sz w:val="22"/>
                          <w:szCs w:val="22"/>
                          <w:lang w:val="es-ES"/>
                        </w:rPr>
                        <w:t>Resumen:</w:t>
                      </w:r>
                    </w:p>
                    <w:p w14:paraId="5CDC7439" w14:textId="77777777" w:rsidR="00D931F9" w:rsidRPr="009550BF" w:rsidRDefault="00D931F9" w:rsidP="00D931F9">
                      <w:pPr>
                        <w:rPr>
                          <w:rFonts w:ascii="Arial" w:hAnsi="Arial" w:cs="Arial"/>
                          <w:sz w:val="22"/>
                          <w:szCs w:val="22"/>
                          <w:lang w:val="es-ES"/>
                        </w:rPr>
                      </w:pPr>
                    </w:p>
                    <w:p w14:paraId="1063A22D" w14:textId="68745F5B" w:rsidR="00D931F9" w:rsidRPr="009550BF" w:rsidRDefault="00E11F73" w:rsidP="009550BF">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Este document</w:t>
                      </w:r>
                      <w:r w:rsidR="009550BF">
                        <w:rPr>
                          <w:rFonts w:ascii="Arial" w:hAnsi="Arial" w:cs="Arial"/>
                          <w:color w:val="000000" w:themeColor="text1"/>
                          <w:sz w:val="22"/>
                          <w:szCs w:val="22"/>
                          <w:lang w:val="es-ES"/>
                        </w:rPr>
                        <w:t>o revoca en parte la</w:t>
                      </w:r>
                      <w:r w:rsidRPr="009550BF">
                        <w:rPr>
                          <w:rFonts w:ascii="Arial" w:hAnsi="Arial" w:cs="Arial"/>
                          <w:sz w:val="22"/>
                          <w:szCs w:val="22"/>
                          <w:lang w:val="es-ES"/>
                        </w:rPr>
                        <w:t xml:space="preserve"> </w:t>
                      </w:r>
                      <w:r w:rsidR="00D931F9">
                        <w:rPr>
                          <w:rFonts w:ascii="Arial" w:hAnsi="Arial" w:cs="Arial"/>
                          <w:sz w:val="22"/>
                          <w:szCs w:val="22"/>
                        </w:rPr>
                        <w:fldChar w:fldCharType="begin"/>
                      </w:r>
                      <w:r w:rsidR="009550BF" w:rsidRPr="009550BF">
                        <w:rPr>
                          <w:rFonts w:ascii="Arial" w:hAnsi="Arial" w:cs="Arial"/>
                          <w:sz w:val="22"/>
                          <w:szCs w:val="22"/>
                          <w:lang w:val="es-ES"/>
                        </w:rPr>
                        <w:instrText>HYPERLINK "http://www.cms.int/sites/default/files/document/Res_7_03_CONTAMINACION_POR_HIDROCARBUROS_sp_0_0.pdf"</w:instrText>
                      </w:r>
                      <w:r w:rsidR="009550BF">
                        <w:rPr>
                          <w:rFonts w:ascii="Arial" w:hAnsi="Arial" w:cs="Arial"/>
                          <w:sz w:val="22"/>
                          <w:szCs w:val="22"/>
                        </w:rPr>
                      </w:r>
                      <w:r w:rsidR="00D931F9">
                        <w:rPr>
                          <w:rFonts w:ascii="Arial" w:hAnsi="Arial" w:cs="Arial"/>
                          <w:sz w:val="22"/>
                          <w:szCs w:val="22"/>
                        </w:rPr>
                        <w:fldChar w:fldCharType="separate"/>
                      </w:r>
                      <w:proofErr w:type="spellStart"/>
                      <w:r w:rsidR="009550BF">
                        <w:rPr>
                          <w:rStyle w:val="Hyperlink"/>
                          <w:rFonts w:ascii="Arial" w:hAnsi="Arial" w:cs="Arial"/>
                          <w:sz w:val="22"/>
                          <w:szCs w:val="22"/>
                          <w:lang w:val="es-ES"/>
                        </w:rPr>
                        <w:t>Resolución</w:t>
                      </w:r>
                      <w:proofErr w:type="spellEnd"/>
                      <w:r w:rsidR="00D931F9" w:rsidRPr="009550BF">
                        <w:rPr>
                          <w:rStyle w:val="Hyperlink"/>
                          <w:rFonts w:ascii="Arial" w:hAnsi="Arial" w:cs="Arial"/>
                          <w:sz w:val="22"/>
                          <w:szCs w:val="22"/>
                          <w:lang w:val="es-ES"/>
                        </w:rPr>
                        <w:t xml:space="preserve"> 7.3, </w:t>
                      </w:r>
                      <w:r w:rsidR="009550BF" w:rsidRPr="009550BF">
                        <w:rPr>
                          <w:rStyle w:val="Hyperlink"/>
                          <w:rFonts w:ascii="Arial" w:hAnsi="Arial" w:cs="Arial"/>
                          <w:i/>
                          <w:sz w:val="22"/>
                          <w:szCs w:val="22"/>
                          <w:lang w:val="es-ES"/>
                        </w:rPr>
                        <w:t>Contaminación por hidrocarburos y las especies migratorias</w:t>
                      </w:r>
                      <w:r w:rsidR="00D931F9" w:rsidRPr="009550BF">
                        <w:rPr>
                          <w:rStyle w:val="Hyperlink"/>
                          <w:rFonts w:ascii="Arial" w:hAnsi="Arial" w:cs="Arial"/>
                          <w:sz w:val="22"/>
                          <w:szCs w:val="22"/>
                          <w:lang w:val="es-ES"/>
                        </w:rPr>
                        <w:t>.</w:t>
                      </w:r>
                    </w:p>
                    <w:p w14:paraId="5951484D" w14:textId="77777777" w:rsidR="00D931F9" w:rsidRPr="00C169ED" w:rsidRDefault="00D931F9" w:rsidP="009550BF">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358D90B1" w14:textId="77777777" w:rsidR="00D931F9" w:rsidRPr="009550BF" w:rsidRDefault="00D931F9" w:rsidP="00D931F9">
      <w:pPr>
        <w:rPr>
          <w:rFonts w:ascii="Arial" w:hAnsi="Arial" w:cs="Arial"/>
          <w:sz w:val="22"/>
          <w:szCs w:val="22"/>
          <w:lang w:val="es-ES"/>
        </w:rPr>
      </w:pPr>
    </w:p>
    <w:p w14:paraId="12F4B29E" w14:textId="77777777" w:rsidR="00D931F9" w:rsidRPr="009550BF" w:rsidRDefault="00D931F9" w:rsidP="00D931F9">
      <w:pPr>
        <w:rPr>
          <w:rFonts w:ascii="Arial" w:hAnsi="Arial" w:cs="Arial"/>
          <w:sz w:val="22"/>
          <w:szCs w:val="22"/>
          <w:lang w:val="es-ES"/>
        </w:rPr>
      </w:pPr>
    </w:p>
    <w:p w14:paraId="5075027B" w14:textId="77777777" w:rsidR="00D931F9" w:rsidRPr="009550BF" w:rsidRDefault="00D931F9" w:rsidP="00D931F9">
      <w:pPr>
        <w:rPr>
          <w:rFonts w:ascii="Arial" w:hAnsi="Arial" w:cs="Arial"/>
          <w:sz w:val="22"/>
          <w:szCs w:val="22"/>
          <w:lang w:val="es-ES"/>
        </w:rPr>
      </w:pPr>
    </w:p>
    <w:p w14:paraId="33ED1388" w14:textId="77777777" w:rsidR="00D931F9" w:rsidRPr="009550BF" w:rsidRDefault="00D931F9" w:rsidP="00D931F9">
      <w:pPr>
        <w:rPr>
          <w:rFonts w:ascii="Arial" w:hAnsi="Arial" w:cs="Arial"/>
          <w:sz w:val="22"/>
          <w:szCs w:val="22"/>
          <w:lang w:val="es-ES"/>
        </w:rPr>
      </w:pPr>
    </w:p>
    <w:p w14:paraId="291322FF" w14:textId="77777777" w:rsidR="00D931F9" w:rsidRPr="009550BF" w:rsidRDefault="00D931F9" w:rsidP="00D931F9">
      <w:pPr>
        <w:rPr>
          <w:rFonts w:ascii="Arial" w:hAnsi="Arial" w:cs="Arial"/>
          <w:sz w:val="22"/>
          <w:szCs w:val="22"/>
          <w:lang w:val="es-ES"/>
        </w:rPr>
      </w:pPr>
    </w:p>
    <w:p w14:paraId="5E325B44" w14:textId="77777777" w:rsidR="00D931F9" w:rsidRPr="009550BF" w:rsidRDefault="00D931F9" w:rsidP="00D931F9">
      <w:pPr>
        <w:rPr>
          <w:rFonts w:ascii="Arial" w:hAnsi="Arial" w:cs="Arial"/>
          <w:sz w:val="22"/>
          <w:szCs w:val="22"/>
          <w:lang w:val="es-ES"/>
        </w:rPr>
      </w:pPr>
    </w:p>
    <w:p w14:paraId="4CE4163F" w14:textId="77777777" w:rsidR="00D931F9" w:rsidRPr="009550BF" w:rsidRDefault="00D931F9" w:rsidP="00D931F9">
      <w:pPr>
        <w:rPr>
          <w:rFonts w:ascii="Arial" w:hAnsi="Arial" w:cs="Arial"/>
          <w:sz w:val="22"/>
          <w:szCs w:val="22"/>
          <w:lang w:val="es-ES"/>
        </w:rPr>
      </w:pPr>
    </w:p>
    <w:p w14:paraId="653640DB" w14:textId="77777777" w:rsidR="00D931F9" w:rsidRPr="009550BF" w:rsidRDefault="00D931F9" w:rsidP="00D931F9">
      <w:pPr>
        <w:rPr>
          <w:rFonts w:ascii="Arial" w:hAnsi="Arial" w:cs="Arial"/>
          <w:sz w:val="22"/>
          <w:szCs w:val="22"/>
          <w:lang w:val="es-ES"/>
        </w:rPr>
      </w:pPr>
    </w:p>
    <w:p w14:paraId="6D6306D2" w14:textId="77777777" w:rsidR="00D931F9" w:rsidRPr="009550BF" w:rsidRDefault="00D931F9" w:rsidP="00D931F9">
      <w:pPr>
        <w:rPr>
          <w:rFonts w:ascii="Arial" w:hAnsi="Arial" w:cs="Arial"/>
          <w:sz w:val="22"/>
          <w:szCs w:val="22"/>
          <w:lang w:val="es-ES"/>
        </w:rPr>
      </w:pPr>
    </w:p>
    <w:p w14:paraId="0B098A66" w14:textId="77777777" w:rsidR="00D931F9" w:rsidRPr="009550BF" w:rsidRDefault="00D931F9" w:rsidP="00D931F9">
      <w:pPr>
        <w:rPr>
          <w:rFonts w:ascii="Arial" w:hAnsi="Arial" w:cs="Arial"/>
          <w:sz w:val="22"/>
          <w:szCs w:val="22"/>
          <w:lang w:val="es-ES"/>
        </w:rPr>
      </w:pPr>
    </w:p>
    <w:p w14:paraId="0C5CD324" w14:textId="77777777" w:rsidR="00D931F9" w:rsidRPr="009550BF" w:rsidRDefault="00D931F9" w:rsidP="00D931F9">
      <w:pPr>
        <w:rPr>
          <w:rFonts w:ascii="Arial" w:hAnsi="Arial" w:cs="Arial"/>
          <w:sz w:val="22"/>
          <w:szCs w:val="22"/>
          <w:lang w:val="es-ES"/>
        </w:rPr>
      </w:pPr>
    </w:p>
    <w:p w14:paraId="601CC279" w14:textId="77777777" w:rsidR="00D931F9" w:rsidRPr="009550BF" w:rsidRDefault="00D931F9" w:rsidP="00D931F9">
      <w:pPr>
        <w:rPr>
          <w:rFonts w:ascii="Arial" w:hAnsi="Arial" w:cs="Arial"/>
          <w:sz w:val="22"/>
          <w:szCs w:val="22"/>
          <w:lang w:val="es-ES"/>
        </w:rPr>
      </w:pPr>
    </w:p>
    <w:p w14:paraId="4A5D9737" w14:textId="77777777" w:rsidR="00D931F9" w:rsidRPr="009550BF" w:rsidRDefault="00D931F9" w:rsidP="00D931F9">
      <w:pPr>
        <w:rPr>
          <w:rFonts w:ascii="Arial" w:hAnsi="Arial" w:cs="Arial"/>
          <w:sz w:val="22"/>
          <w:szCs w:val="22"/>
          <w:lang w:val="es-ES"/>
        </w:rPr>
      </w:pPr>
    </w:p>
    <w:p w14:paraId="037EEB1B" w14:textId="77777777" w:rsidR="00D931F9" w:rsidRPr="009550BF" w:rsidRDefault="00D931F9" w:rsidP="00D931F9">
      <w:pPr>
        <w:rPr>
          <w:rFonts w:ascii="Arial" w:hAnsi="Arial" w:cs="Arial"/>
          <w:sz w:val="22"/>
          <w:szCs w:val="22"/>
          <w:lang w:val="es-ES"/>
        </w:rPr>
      </w:pPr>
    </w:p>
    <w:p w14:paraId="370E2148" w14:textId="77777777" w:rsidR="00D931F9" w:rsidRPr="009550BF" w:rsidRDefault="00D931F9" w:rsidP="00D931F9">
      <w:pPr>
        <w:rPr>
          <w:rFonts w:ascii="Arial" w:hAnsi="Arial" w:cs="Arial"/>
          <w:sz w:val="22"/>
          <w:szCs w:val="22"/>
          <w:lang w:val="es-ES"/>
        </w:rPr>
      </w:pPr>
    </w:p>
    <w:p w14:paraId="341FA305" w14:textId="77777777" w:rsidR="00D931F9" w:rsidRPr="009550BF" w:rsidRDefault="00D931F9" w:rsidP="00D931F9">
      <w:pPr>
        <w:rPr>
          <w:rFonts w:ascii="Arial" w:hAnsi="Arial" w:cs="Arial"/>
          <w:sz w:val="22"/>
          <w:szCs w:val="22"/>
          <w:lang w:val="es-ES"/>
        </w:rPr>
      </w:pPr>
    </w:p>
    <w:p w14:paraId="3CBDC4D1" w14:textId="77777777" w:rsidR="00D931F9" w:rsidRPr="009550BF" w:rsidRDefault="00D931F9" w:rsidP="00D931F9">
      <w:pPr>
        <w:rPr>
          <w:rFonts w:ascii="Arial" w:hAnsi="Arial" w:cs="Arial"/>
          <w:sz w:val="22"/>
          <w:szCs w:val="22"/>
          <w:lang w:val="es-ES"/>
        </w:rPr>
      </w:pPr>
    </w:p>
    <w:p w14:paraId="57346323" w14:textId="77777777" w:rsidR="00D931F9" w:rsidRPr="009550BF" w:rsidRDefault="00D931F9" w:rsidP="00D931F9">
      <w:pPr>
        <w:rPr>
          <w:rFonts w:ascii="Arial" w:hAnsi="Arial" w:cs="Arial"/>
          <w:sz w:val="22"/>
          <w:szCs w:val="22"/>
          <w:lang w:val="es-ES"/>
        </w:rPr>
      </w:pPr>
    </w:p>
    <w:p w14:paraId="0FCC0E0F" w14:textId="77777777" w:rsidR="00D931F9" w:rsidRPr="009550BF" w:rsidRDefault="00D931F9" w:rsidP="00D931F9">
      <w:pPr>
        <w:rPr>
          <w:rFonts w:ascii="Arial" w:hAnsi="Arial" w:cs="Arial"/>
          <w:sz w:val="22"/>
          <w:szCs w:val="22"/>
          <w:lang w:val="es-ES"/>
        </w:rPr>
      </w:pPr>
    </w:p>
    <w:p w14:paraId="22440ED9" w14:textId="77777777" w:rsidR="00D931F9" w:rsidRPr="009550BF" w:rsidRDefault="00D931F9" w:rsidP="00D931F9">
      <w:pPr>
        <w:rPr>
          <w:rFonts w:ascii="Arial" w:hAnsi="Arial" w:cs="Arial"/>
          <w:sz w:val="22"/>
          <w:szCs w:val="22"/>
          <w:lang w:val="es-ES"/>
        </w:rPr>
      </w:pPr>
    </w:p>
    <w:p w14:paraId="27FA538E" w14:textId="77777777" w:rsidR="00D931F9" w:rsidRPr="009550BF" w:rsidRDefault="00D931F9" w:rsidP="00D931F9">
      <w:pPr>
        <w:tabs>
          <w:tab w:val="left" w:pos="1020"/>
        </w:tabs>
        <w:rPr>
          <w:rFonts w:ascii="Arial" w:hAnsi="Arial" w:cs="Arial"/>
          <w:sz w:val="22"/>
          <w:szCs w:val="22"/>
          <w:lang w:val="es-ES"/>
        </w:rPr>
        <w:sectPr w:rsidR="00D931F9" w:rsidRPr="009550BF"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9643551" w14:textId="77777777" w:rsidR="00D931F9" w:rsidRPr="009550BF" w:rsidRDefault="00D931F9" w:rsidP="00D931F9">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9550BF">
        <w:rPr>
          <w:rFonts w:ascii="Arial" w:hAnsi="Arial" w:cs="Arial"/>
          <w:b/>
          <w:caps/>
          <w:sz w:val="22"/>
          <w:szCs w:val="22"/>
          <w:lang w:val="es-ES"/>
        </w:rPr>
        <w:lastRenderedPageBreak/>
        <w:t>AnexO 1</w:t>
      </w:r>
    </w:p>
    <w:p w14:paraId="245E5040" w14:textId="77777777" w:rsidR="00D931F9" w:rsidRPr="009550BF" w:rsidRDefault="00D931F9" w:rsidP="00D931F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51396956" w14:textId="77777777" w:rsidR="00D931F9" w:rsidRPr="009550BF" w:rsidRDefault="00D931F9" w:rsidP="00D931F9">
      <w:pPr>
        <w:jc w:val="center"/>
        <w:rPr>
          <w:rFonts w:ascii="Arial" w:hAnsi="Arial" w:cs="Arial"/>
          <w:sz w:val="22"/>
          <w:szCs w:val="22"/>
          <w:lang w:val="es-ES"/>
        </w:rPr>
      </w:pPr>
      <w:r w:rsidRPr="009550BF">
        <w:rPr>
          <w:rFonts w:ascii="Arial" w:hAnsi="Arial" w:cs="Arial"/>
          <w:sz w:val="22"/>
          <w:szCs w:val="22"/>
          <w:lang w:val="es-ES"/>
        </w:rPr>
        <w:t>PROYECTO DE RESOLUCIÓN</w:t>
      </w:r>
    </w:p>
    <w:p w14:paraId="228AEA07" w14:textId="77777777" w:rsidR="00D931F9" w:rsidRPr="009550BF" w:rsidRDefault="00D931F9" w:rsidP="00D931F9">
      <w:pPr>
        <w:contextualSpacing/>
        <w:jc w:val="both"/>
        <w:outlineLvl w:val="0"/>
        <w:rPr>
          <w:rFonts w:ascii="Arial" w:hAnsi="Arial" w:cs="Arial"/>
          <w:b/>
          <w:sz w:val="22"/>
          <w:szCs w:val="22"/>
          <w:lang w:val="es-ES"/>
        </w:rPr>
      </w:pPr>
    </w:p>
    <w:p w14:paraId="2A6580FF" w14:textId="0C03D09E" w:rsidR="0048197A" w:rsidRPr="009550BF" w:rsidRDefault="00D931F9" w:rsidP="009550BF">
      <w:pPr>
        <w:jc w:val="center"/>
        <w:rPr>
          <w:rFonts w:ascii="Arial" w:hAnsi="Arial" w:cs="Arial"/>
          <w:b/>
          <w:sz w:val="22"/>
          <w:szCs w:val="22"/>
          <w:lang w:val="es-ES"/>
        </w:rPr>
      </w:pPr>
      <w:r w:rsidRPr="00DE60EC">
        <w:rPr>
          <w:rFonts w:ascii="Arial" w:hAnsi="Arial" w:cs="Arial"/>
          <w:b/>
          <w:sz w:val="22"/>
          <w:szCs w:val="22"/>
          <w:lang w:val="es-ES"/>
        </w:rPr>
        <w:t>RESOLUCIÓN</w:t>
      </w:r>
      <w:r w:rsidRPr="009550BF">
        <w:rPr>
          <w:rFonts w:ascii="Arial" w:hAnsi="Arial" w:cs="Arial"/>
          <w:b/>
          <w:sz w:val="22"/>
          <w:szCs w:val="22"/>
          <w:lang w:val="es-ES"/>
        </w:rPr>
        <w:t xml:space="preserve"> </w:t>
      </w:r>
      <w:r w:rsidRPr="009550BF">
        <w:rPr>
          <w:rFonts w:ascii="Arial" w:hAnsi="Arial" w:cs="Arial"/>
          <w:b/>
          <w:caps/>
          <w:sz w:val="22"/>
          <w:szCs w:val="22"/>
          <w:lang w:val="es-ES"/>
        </w:rPr>
        <w:t>7.3</w:t>
      </w:r>
      <w:r w:rsidRPr="009550BF">
        <w:rPr>
          <w:rFonts w:ascii="Arial" w:hAnsi="Arial" w:cs="Arial"/>
          <w:caps/>
          <w:sz w:val="22"/>
          <w:szCs w:val="22"/>
          <w:lang w:val="es-ES"/>
        </w:rPr>
        <w:t xml:space="preserve"> </w:t>
      </w:r>
      <w:r w:rsidR="00E06293" w:rsidRPr="009550BF">
        <w:rPr>
          <w:rStyle w:val="FootnoteReference"/>
          <w:rFonts w:ascii="Arial" w:hAnsi="Arial" w:cs="Arial"/>
          <w:b/>
          <w:caps/>
          <w:sz w:val="22"/>
          <w:szCs w:val="22"/>
          <w:lang w:val="es-ES"/>
        </w:rPr>
        <w:footnoteReference w:customMarkFollows="1" w:id="1"/>
        <w:t>*</w:t>
      </w:r>
      <w:r w:rsidR="009550BF">
        <w:rPr>
          <w:rFonts w:ascii="Arial" w:hAnsi="Arial" w:cs="Arial"/>
          <w:b/>
          <w:caps/>
          <w:sz w:val="22"/>
          <w:szCs w:val="22"/>
          <w:lang w:val="es-ES"/>
        </w:rPr>
        <w:t xml:space="preserve">, </w:t>
      </w:r>
      <w:r w:rsidR="008038C7" w:rsidRPr="009550BF">
        <w:rPr>
          <w:rFonts w:ascii="Arial" w:hAnsi="Arial" w:cs="Arial"/>
          <w:b/>
          <w:sz w:val="22"/>
          <w:szCs w:val="22"/>
          <w:lang w:val="es-ES"/>
        </w:rPr>
        <w:t>LA CONTAMINACIÓN POR HIDROCARBUROS Y LAS ESPECIES MIGRATORIAS</w:t>
      </w:r>
    </w:p>
    <w:p w14:paraId="4046CB5C" w14:textId="77777777" w:rsidR="008038C7" w:rsidRPr="009550BF" w:rsidRDefault="008038C7" w:rsidP="008038C7">
      <w:pPr>
        <w:pStyle w:val="p1"/>
        <w:jc w:val="center"/>
        <w:rPr>
          <w:rFonts w:ascii="Arial" w:hAnsi="Arial" w:cs="Arial"/>
          <w:b/>
          <w:sz w:val="22"/>
          <w:szCs w:val="22"/>
          <w:lang w:val="es-ES"/>
        </w:rPr>
      </w:pPr>
    </w:p>
    <w:p w14:paraId="64A1FEE3" w14:textId="12BAC4E9" w:rsidR="0048197A" w:rsidRDefault="00B948DD" w:rsidP="0048197A">
      <w:pPr>
        <w:rPr>
          <w:rFonts w:ascii="Arial" w:hAnsi="Arial" w:cs="Arial"/>
          <w:i/>
          <w:iCs/>
          <w:strike/>
          <w:color w:val="000000" w:themeColor="text1"/>
          <w:sz w:val="22"/>
          <w:szCs w:val="22"/>
          <w:lang w:val="es-ES"/>
        </w:rPr>
      </w:pPr>
      <w:r>
        <w:rPr>
          <w:rFonts w:ascii="Arial" w:hAnsi="Arial" w:cs="Arial"/>
          <w:i/>
          <w:iCs/>
          <w:color w:val="000000" w:themeColor="text1"/>
          <w:sz w:val="22"/>
          <w:szCs w:val="22"/>
          <w:lang w:val="es-ES"/>
        </w:rPr>
        <w:t xml:space="preserve">NB: </w:t>
      </w:r>
      <w:r w:rsidR="00702E36" w:rsidRPr="00C079EF">
        <w:rPr>
          <w:rFonts w:ascii="Arial" w:hAnsi="Arial" w:cs="Arial"/>
          <w:i/>
          <w:iCs/>
          <w:color w:val="000000" w:themeColor="text1"/>
          <w:sz w:val="22"/>
          <w:szCs w:val="22"/>
          <w:lang w:val="es-ES"/>
        </w:rPr>
        <w:t xml:space="preserve">El texto nuevo está </w:t>
      </w:r>
      <w:r w:rsidR="00702E36" w:rsidRPr="00C079EF">
        <w:rPr>
          <w:rFonts w:ascii="Arial" w:hAnsi="Arial" w:cs="Arial"/>
          <w:i/>
          <w:iCs/>
          <w:color w:val="000000" w:themeColor="text1"/>
          <w:sz w:val="22"/>
          <w:szCs w:val="22"/>
          <w:u w:val="single"/>
          <w:lang w:val="es-ES"/>
        </w:rPr>
        <w:t>subrayado</w:t>
      </w:r>
      <w:r w:rsidR="00702E36" w:rsidRPr="00C079EF">
        <w:rPr>
          <w:rFonts w:ascii="Arial" w:hAnsi="Arial" w:cs="Arial"/>
          <w:i/>
          <w:iCs/>
          <w:color w:val="000000" w:themeColor="text1"/>
          <w:sz w:val="22"/>
          <w:szCs w:val="22"/>
          <w:lang w:val="es-ES"/>
        </w:rPr>
        <w:t xml:space="preserve">. El texto a eliminar aparece </w:t>
      </w:r>
      <w:r w:rsidR="00702E36" w:rsidRPr="00C079EF">
        <w:rPr>
          <w:rFonts w:ascii="Arial" w:hAnsi="Arial" w:cs="Arial"/>
          <w:i/>
          <w:iCs/>
          <w:strike/>
          <w:color w:val="000000" w:themeColor="text1"/>
          <w:sz w:val="22"/>
          <w:szCs w:val="22"/>
          <w:lang w:val="es-ES"/>
        </w:rPr>
        <w:t>tachado</w:t>
      </w:r>
      <w:r w:rsidR="00702E36">
        <w:rPr>
          <w:rFonts w:ascii="Arial" w:hAnsi="Arial" w:cs="Arial"/>
          <w:i/>
          <w:iCs/>
          <w:strike/>
          <w:color w:val="000000" w:themeColor="text1"/>
          <w:sz w:val="22"/>
          <w:szCs w:val="22"/>
          <w:lang w:val="es-ES"/>
        </w:rPr>
        <w:t>.</w:t>
      </w:r>
    </w:p>
    <w:p w14:paraId="73986BD2" w14:textId="77777777" w:rsidR="00702E36" w:rsidRPr="009550BF" w:rsidRDefault="00702E36"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61"/>
      </w:tblGrid>
      <w:tr w:rsidR="00702E36" w:rsidRPr="00DE60EC" w14:paraId="070A2E85" w14:textId="77777777" w:rsidTr="00E60016">
        <w:trPr>
          <w:tblHeader/>
        </w:trPr>
        <w:tc>
          <w:tcPr>
            <w:tcW w:w="7308" w:type="dxa"/>
            <w:shd w:val="clear" w:color="auto" w:fill="D9D9D9" w:themeFill="background1" w:themeFillShade="D9"/>
          </w:tcPr>
          <w:p w14:paraId="35BC39F6" w14:textId="0755AD34" w:rsidR="00702E36" w:rsidRPr="00DE60EC" w:rsidRDefault="00702E36" w:rsidP="005F734A">
            <w:pPr>
              <w:rPr>
                <w:rFonts w:ascii="Arial" w:hAnsi="Arial" w:cs="Arial"/>
                <w:b/>
                <w:sz w:val="22"/>
                <w:szCs w:val="22"/>
              </w:rPr>
            </w:pPr>
            <w:proofErr w:type="spellStart"/>
            <w:r w:rsidRPr="00207424">
              <w:rPr>
                <w:rFonts w:ascii="Arial" w:hAnsi="Arial" w:cs="Arial"/>
                <w:b/>
                <w:sz w:val="22"/>
                <w:szCs w:val="22"/>
              </w:rPr>
              <w:t>P</w:t>
            </w:r>
            <w:r>
              <w:rPr>
                <w:rFonts w:ascii="Arial" w:hAnsi="Arial" w:cs="Arial"/>
                <w:b/>
                <w:sz w:val="22"/>
                <w:szCs w:val="22"/>
              </w:rPr>
              <w:t>árrafo</w:t>
            </w:r>
            <w:proofErr w:type="spellEnd"/>
          </w:p>
        </w:tc>
        <w:tc>
          <w:tcPr>
            <w:tcW w:w="1548" w:type="dxa"/>
            <w:shd w:val="clear" w:color="auto" w:fill="D9D9D9" w:themeFill="background1" w:themeFillShade="D9"/>
          </w:tcPr>
          <w:p w14:paraId="110850A3" w14:textId="14FBE345" w:rsidR="00702E36" w:rsidRPr="00DE60EC" w:rsidRDefault="00702E36" w:rsidP="005F734A">
            <w:pPr>
              <w:rPr>
                <w:rFonts w:ascii="Arial" w:hAnsi="Arial" w:cs="Arial"/>
                <w:b/>
                <w:sz w:val="22"/>
                <w:szCs w:val="22"/>
              </w:rPr>
            </w:pPr>
            <w:proofErr w:type="spellStart"/>
            <w:r w:rsidRPr="00207424">
              <w:rPr>
                <w:rFonts w:ascii="Arial" w:hAnsi="Arial" w:cs="Arial"/>
                <w:b/>
                <w:sz w:val="22"/>
                <w:szCs w:val="22"/>
              </w:rPr>
              <w:t>Com</w:t>
            </w:r>
            <w:r>
              <w:rPr>
                <w:rFonts w:ascii="Arial" w:hAnsi="Arial" w:cs="Arial"/>
                <w:b/>
                <w:sz w:val="22"/>
                <w:szCs w:val="22"/>
              </w:rPr>
              <w:t>entarios</w:t>
            </w:r>
            <w:proofErr w:type="spellEnd"/>
          </w:p>
        </w:tc>
      </w:tr>
      <w:tr w:rsidR="00D54E33" w:rsidRPr="00DE60EC" w14:paraId="1E9F84B6" w14:textId="77777777" w:rsidTr="005F734A">
        <w:tc>
          <w:tcPr>
            <w:tcW w:w="7308" w:type="dxa"/>
            <w:shd w:val="clear" w:color="auto" w:fill="auto"/>
          </w:tcPr>
          <w:p w14:paraId="4D004FA3" w14:textId="3A028904" w:rsidR="00D54E33" w:rsidRPr="009550BF" w:rsidRDefault="000D09B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 xml:space="preserve">Recordando que en el artículo II de la Convención se reconoce la necesidad de </w:t>
            </w:r>
            <w:r w:rsidR="009C6723" w:rsidRPr="009550BF">
              <w:rPr>
                <w:rFonts w:ascii="Arial" w:hAnsi="Arial" w:cs="Arial"/>
                <w:sz w:val="22"/>
                <w:szCs w:val="22"/>
                <w:lang w:val="es-ES"/>
              </w:rPr>
              <w:t>adopt</w:t>
            </w:r>
            <w:r w:rsidR="009550BF">
              <w:rPr>
                <w:rFonts w:ascii="Arial" w:hAnsi="Arial" w:cs="Arial"/>
                <w:sz w:val="22"/>
                <w:szCs w:val="22"/>
                <w:lang w:val="es-ES"/>
              </w:rPr>
              <w:t>a</w:t>
            </w:r>
            <w:r w:rsidR="009C6723" w:rsidRPr="009550BF">
              <w:rPr>
                <w:rFonts w:ascii="Arial" w:hAnsi="Arial" w:cs="Arial"/>
                <w:sz w:val="22"/>
                <w:szCs w:val="22"/>
                <w:lang w:val="es-ES"/>
              </w:rPr>
              <w:t xml:space="preserve">r </w:t>
            </w:r>
            <w:r w:rsidRPr="009550BF">
              <w:rPr>
                <w:rFonts w:ascii="Arial" w:hAnsi="Arial" w:cs="Arial"/>
                <w:sz w:val="22"/>
                <w:szCs w:val="22"/>
                <w:lang w:val="es-ES"/>
              </w:rPr>
              <w:t>medidas para evitar que las especies migratorias pasen a ser especies amenazadas;</w:t>
            </w:r>
          </w:p>
        </w:tc>
        <w:tc>
          <w:tcPr>
            <w:tcW w:w="1548" w:type="dxa"/>
            <w:shd w:val="clear" w:color="auto" w:fill="auto"/>
          </w:tcPr>
          <w:p w14:paraId="1FFBEC28" w14:textId="5C7215E9"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6491C34D" w14:textId="77777777" w:rsidTr="005F734A">
        <w:tc>
          <w:tcPr>
            <w:tcW w:w="7308" w:type="dxa"/>
            <w:shd w:val="clear" w:color="auto" w:fill="auto"/>
          </w:tcPr>
          <w:p w14:paraId="36C88F7C" w14:textId="45294BBA"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 xml:space="preserve">Recordando también la necesidad de preservar la flora y la fauna silvestres en el medio marino conforme se estipula en la Convención para la protección del medio marino del Atlántico Norte (Convención OSPAR) así como en la Convención para la protección y el desarrollo del medio ambiente marino y costero de la región centroafricana y en los protocolos que le están vinculados (Convención de </w:t>
            </w:r>
            <w:proofErr w:type="spellStart"/>
            <w:r w:rsidRPr="009550BF">
              <w:rPr>
                <w:rFonts w:ascii="Arial" w:hAnsi="Arial" w:cs="Arial"/>
                <w:sz w:val="22"/>
                <w:szCs w:val="22"/>
                <w:lang w:val="es-ES"/>
              </w:rPr>
              <w:t>Abidján</w:t>
            </w:r>
            <w:proofErr w:type="spellEnd"/>
            <w:r w:rsidRPr="009550BF">
              <w:rPr>
                <w:rFonts w:ascii="Arial" w:hAnsi="Arial" w:cs="Arial"/>
                <w:sz w:val="22"/>
                <w:szCs w:val="22"/>
                <w:lang w:val="es-ES"/>
              </w:rPr>
              <w:t>) y en la Convención sobre la protección del medio marino de la zona del Mar Báltico (Convención de Helsinki);</w:t>
            </w:r>
          </w:p>
        </w:tc>
        <w:tc>
          <w:tcPr>
            <w:tcW w:w="1548" w:type="dxa"/>
            <w:shd w:val="clear" w:color="auto" w:fill="auto"/>
          </w:tcPr>
          <w:p w14:paraId="47355885" w14:textId="1153C1CB"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255F342F" w14:textId="77777777" w:rsidTr="005F734A">
        <w:tc>
          <w:tcPr>
            <w:tcW w:w="7308" w:type="dxa"/>
            <w:shd w:val="clear" w:color="auto" w:fill="auto"/>
          </w:tcPr>
          <w:p w14:paraId="76A264E5" w14:textId="3E1551F2"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Recordando asimismo las disposiciones para la protección del medio marino de la Convención de las Naciones Unidas sobre el Derecho del Mar (CLOS) y de numerosas convenciones y convenios aprobados bajo el patrocinio de la Organización Marítima Internacional (OMI), la Organización de las Naciones Unidas para la Agricultura y la Alimentación (FAO), el Programa de las Naciones Unidas, para el Medio Ambiente (PNUMA) y diversos acuerdos de mares regionales;</w:t>
            </w:r>
          </w:p>
        </w:tc>
        <w:tc>
          <w:tcPr>
            <w:tcW w:w="1548" w:type="dxa"/>
            <w:shd w:val="clear" w:color="auto" w:fill="auto"/>
          </w:tcPr>
          <w:p w14:paraId="4F059CDA" w14:textId="50B5BB93"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5C63F068" w14:textId="77777777" w:rsidTr="005F734A">
        <w:tc>
          <w:tcPr>
            <w:tcW w:w="7308" w:type="dxa"/>
            <w:shd w:val="clear" w:color="auto" w:fill="auto"/>
          </w:tcPr>
          <w:p w14:paraId="5048614B" w14:textId="6E9BCD97"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Recordando además los convenios y convenciones sobre especies acuáticas no marinas y especies terrestres aplicables a escala internacional, regional y nacional, en los que se trata el problema de la contaminación por hidrocarburos;</w:t>
            </w:r>
          </w:p>
        </w:tc>
        <w:tc>
          <w:tcPr>
            <w:tcW w:w="1548" w:type="dxa"/>
            <w:shd w:val="clear" w:color="auto" w:fill="auto"/>
          </w:tcPr>
          <w:p w14:paraId="03C94B8C" w14:textId="34EEF4CA"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08B7C8E7" w14:textId="77777777" w:rsidTr="005F734A">
        <w:tc>
          <w:tcPr>
            <w:tcW w:w="7308" w:type="dxa"/>
            <w:shd w:val="clear" w:color="auto" w:fill="auto"/>
          </w:tcPr>
          <w:p w14:paraId="62A6E698" w14:textId="688F678D"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Reconociendo el artículo VII de la Convención sobre las especies migratorias, en el que se dispone que la Conferencia de las Partes puede formular recomendaciones a las Partes con miras a mejorar la eficacia de la Convención;</w:t>
            </w:r>
          </w:p>
        </w:tc>
        <w:tc>
          <w:tcPr>
            <w:tcW w:w="1548" w:type="dxa"/>
            <w:shd w:val="clear" w:color="auto" w:fill="auto"/>
          </w:tcPr>
          <w:p w14:paraId="37E9358A" w14:textId="637D7183"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70EF9C9D" w14:textId="77777777" w:rsidTr="005F734A">
        <w:tc>
          <w:tcPr>
            <w:tcW w:w="7308" w:type="dxa"/>
            <w:shd w:val="clear" w:color="auto" w:fill="auto"/>
          </w:tcPr>
          <w:p w14:paraId="64B56042" w14:textId="6F9BF24D"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Considerando que en el Plan Estratégico para 2000-2005, aprobado mediante la resolución 6.4, se estipula que las Partes examinen los problemas especiales que afrontan los animal</w:t>
            </w:r>
            <w:r w:rsidR="007F1BC6">
              <w:rPr>
                <w:rFonts w:ascii="Arial" w:hAnsi="Arial" w:cs="Arial"/>
                <w:sz w:val="22"/>
                <w:szCs w:val="22"/>
                <w:lang w:val="es-ES"/>
              </w:rPr>
              <w:t>e</w:t>
            </w:r>
            <w:r w:rsidRPr="009550BF">
              <w:rPr>
                <w:rFonts w:ascii="Arial" w:hAnsi="Arial" w:cs="Arial"/>
                <w:sz w:val="22"/>
                <w:szCs w:val="22"/>
                <w:lang w:val="es-ES"/>
              </w:rPr>
              <w:t>s migratorios en relación con varios obstáculos a la migración y que propongan medidas correctivas que se puedan aplicar ampliamente;</w:t>
            </w:r>
          </w:p>
        </w:tc>
        <w:tc>
          <w:tcPr>
            <w:tcW w:w="1548" w:type="dxa"/>
            <w:shd w:val="clear" w:color="auto" w:fill="auto"/>
          </w:tcPr>
          <w:p w14:paraId="1D3AB99E" w14:textId="51309478"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0F6DBAF6" w14:textId="77777777" w:rsidTr="005F734A">
        <w:tc>
          <w:tcPr>
            <w:tcW w:w="7308" w:type="dxa"/>
            <w:shd w:val="clear" w:color="auto" w:fill="auto"/>
          </w:tcPr>
          <w:p w14:paraId="68665B39" w14:textId="3C4315C3"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Reconociendo que en la resolución 4.5 se instruye al Consejo Científico para que, entre otras cosas, recomiende soluciones a la Conferencia de las Partes respecto de problemas relacionados con los aspectos científicos de la aplicación de la Convención, en particular respecto del hábitat de las especies migratorias;</w:t>
            </w:r>
          </w:p>
        </w:tc>
        <w:tc>
          <w:tcPr>
            <w:tcW w:w="1548" w:type="dxa"/>
            <w:shd w:val="clear" w:color="auto" w:fill="auto"/>
          </w:tcPr>
          <w:p w14:paraId="39C681C8" w14:textId="1176A794"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5BC5820B" w14:textId="77777777" w:rsidTr="005F734A">
        <w:tc>
          <w:tcPr>
            <w:tcW w:w="7308" w:type="dxa"/>
            <w:shd w:val="clear" w:color="auto" w:fill="auto"/>
          </w:tcPr>
          <w:p w14:paraId="66B5D040" w14:textId="2174662F"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Tomando nota de que los derrames accidentales y otras descargas de hidrocarburos crudos y refinados y de sus desechos representan un peligro importante con efectos nocivos bien conocidos en la naturaleza y en diferentes componentes de la diversidad biológica;</w:t>
            </w:r>
          </w:p>
        </w:tc>
        <w:tc>
          <w:tcPr>
            <w:tcW w:w="1548" w:type="dxa"/>
            <w:shd w:val="clear" w:color="auto" w:fill="auto"/>
          </w:tcPr>
          <w:p w14:paraId="68032594" w14:textId="0B7F6501"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4E731E74" w14:textId="77777777" w:rsidTr="005F734A">
        <w:tc>
          <w:tcPr>
            <w:tcW w:w="7308" w:type="dxa"/>
            <w:shd w:val="clear" w:color="auto" w:fill="auto"/>
          </w:tcPr>
          <w:p w14:paraId="3292282D" w14:textId="6070CD0D"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 xml:space="preserve">Preocupada por las constantes repercusiones negativas de esos accidentes y otras descargas en las especies migratorias de animales silvestres, así como en sus fuentes alimentarias, debido a los efectos </w:t>
            </w:r>
            <w:r w:rsidRPr="009550BF">
              <w:rPr>
                <w:rFonts w:ascii="Arial" w:hAnsi="Arial" w:cs="Arial"/>
                <w:sz w:val="22"/>
                <w:szCs w:val="22"/>
                <w:lang w:val="es-ES"/>
              </w:rPr>
              <w:lastRenderedPageBreak/>
              <w:t xml:space="preserve">sinérgicos de la toxicidad letal y crónica, los trastornos de la </w:t>
            </w:r>
            <w:proofErr w:type="spellStart"/>
            <w:r w:rsidRPr="009550BF">
              <w:rPr>
                <w:rFonts w:ascii="Arial" w:hAnsi="Arial" w:cs="Arial"/>
                <w:sz w:val="22"/>
                <w:szCs w:val="22"/>
                <w:lang w:val="es-ES"/>
              </w:rPr>
              <w:t>termoregulación</w:t>
            </w:r>
            <w:proofErr w:type="spellEnd"/>
            <w:r w:rsidRPr="009550BF">
              <w:rPr>
                <w:rFonts w:ascii="Arial" w:hAnsi="Arial" w:cs="Arial"/>
                <w:sz w:val="22"/>
                <w:szCs w:val="22"/>
                <w:lang w:val="es-ES"/>
              </w:rPr>
              <w:t xml:space="preserve"> y el ensuciamiento, así como la degradación del hábitat;</w:t>
            </w:r>
          </w:p>
        </w:tc>
        <w:tc>
          <w:tcPr>
            <w:tcW w:w="1548" w:type="dxa"/>
            <w:shd w:val="clear" w:color="auto" w:fill="auto"/>
          </w:tcPr>
          <w:p w14:paraId="2C1C22E3" w14:textId="447A64BD" w:rsidR="00D54E33" w:rsidRPr="00DE60EC" w:rsidRDefault="00194323"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D54E33" w:rsidRPr="00DE60EC" w14:paraId="1C94327F" w14:textId="77777777" w:rsidTr="005F734A">
        <w:tc>
          <w:tcPr>
            <w:tcW w:w="7308" w:type="dxa"/>
            <w:shd w:val="clear" w:color="auto" w:fill="auto"/>
          </w:tcPr>
          <w:p w14:paraId="00DC2F2C" w14:textId="012D9145"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Consciente de la necesidad de vigilar periódicamente y evaluar las consecuencias reales de la contaminación por hidrocarburos mediante el intercambio de experiencia internacional y los programas de vigilancia existentes; y</w:t>
            </w:r>
          </w:p>
        </w:tc>
        <w:tc>
          <w:tcPr>
            <w:tcW w:w="1548" w:type="dxa"/>
            <w:shd w:val="clear" w:color="auto" w:fill="auto"/>
          </w:tcPr>
          <w:p w14:paraId="1A0A6A14" w14:textId="4FEE72AA"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634F3BAF" w14:textId="77777777" w:rsidTr="005F734A">
        <w:tc>
          <w:tcPr>
            <w:tcW w:w="7308" w:type="dxa"/>
            <w:shd w:val="clear" w:color="auto" w:fill="auto"/>
          </w:tcPr>
          <w:p w14:paraId="4B27CB8F" w14:textId="2CADA092" w:rsidR="00D54E33" w:rsidRPr="009550BF" w:rsidRDefault="009C6723" w:rsidP="009C6723">
            <w:pPr>
              <w:widowControl/>
              <w:autoSpaceDE/>
              <w:autoSpaceDN/>
              <w:adjustRightInd/>
              <w:jc w:val="both"/>
              <w:rPr>
                <w:rFonts w:ascii="Arial" w:hAnsi="Arial" w:cs="Arial"/>
                <w:sz w:val="22"/>
                <w:szCs w:val="22"/>
                <w:lang w:val="es-ES"/>
              </w:rPr>
            </w:pPr>
            <w:r w:rsidRPr="009550BF">
              <w:rPr>
                <w:rFonts w:ascii="Arial" w:hAnsi="Arial" w:cs="Arial"/>
                <w:sz w:val="22"/>
                <w:szCs w:val="22"/>
                <w:lang w:val="es-ES"/>
              </w:rPr>
              <w:t>Tomando nota del posible peligro que representa el hecho de que números importantes de animales silvestres se puedan matar inadvertidamente todos los años en los medios acuático y terrestre, y deseosa de reducir al mínimo los efectos negativos en esos medios mediante medidas dirigidas a prevenir las emisiones accidentales y reglamentar las emisiones intencionales de hidrocarburos crudos y refinados y los desechos de los mismos;</w:t>
            </w:r>
          </w:p>
        </w:tc>
        <w:tc>
          <w:tcPr>
            <w:tcW w:w="1548" w:type="dxa"/>
            <w:shd w:val="clear" w:color="auto" w:fill="auto"/>
          </w:tcPr>
          <w:p w14:paraId="50B8F9AD" w14:textId="04C5F11C" w:rsidR="00D54E33" w:rsidRPr="00DE60EC" w:rsidRDefault="00194323"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9550BF" w14:paraId="5DED66A7" w14:textId="77777777" w:rsidTr="005A1C56">
        <w:tc>
          <w:tcPr>
            <w:tcW w:w="8856" w:type="dxa"/>
            <w:gridSpan w:val="2"/>
            <w:shd w:val="clear" w:color="auto" w:fill="D9D9D9" w:themeFill="background1" w:themeFillShade="D9"/>
          </w:tcPr>
          <w:p w14:paraId="17A13F33" w14:textId="77777777" w:rsidR="00D931F9" w:rsidRPr="009550BF" w:rsidRDefault="00D931F9" w:rsidP="00D931F9">
            <w:pPr>
              <w:widowControl/>
              <w:autoSpaceDE/>
              <w:autoSpaceDN/>
              <w:adjustRightInd/>
              <w:jc w:val="center"/>
              <w:rPr>
                <w:rFonts w:ascii="Arial" w:hAnsi="Arial" w:cs="Arial"/>
                <w:i/>
                <w:sz w:val="22"/>
                <w:szCs w:val="22"/>
                <w:lang w:val="es-ES"/>
              </w:rPr>
            </w:pPr>
            <w:r w:rsidRPr="009550BF">
              <w:rPr>
                <w:rFonts w:ascii="Arial" w:hAnsi="Arial" w:cs="Arial"/>
                <w:i/>
                <w:sz w:val="22"/>
                <w:szCs w:val="22"/>
                <w:lang w:val="es-ES"/>
              </w:rPr>
              <w:t>La Conferencia de las Partes en la</w:t>
            </w:r>
          </w:p>
          <w:p w14:paraId="30D7B2A6" w14:textId="12BACEBA" w:rsidR="00D54E33" w:rsidRPr="009550BF" w:rsidRDefault="00D931F9" w:rsidP="00D931F9">
            <w:pPr>
              <w:widowControl/>
              <w:autoSpaceDE/>
              <w:autoSpaceDN/>
              <w:adjustRightInd/>
              <w:jc w:val="center"/>
              <w:rPr>
                <w:rFonts w:ascii="Arial" w:hAnsi="Arial" w:cs="Arial"/>
                <w:sz w:val="22"/>
                <w:szCs w:val="22"/>
                <w:lang w:val="es-ES"/>
              </w:rPr>
            </w:pPr>
            <w:r w:rsidRPr="009550BF">
              <w:rPr>
                <w:rFonts w:ascii="Arial" w:hAnsi="Arial" w:cs="Arial"/>
                <w:i/>
                <w:sz w:val="22"/>
                <w:szCs w:val="22"/>
                <w:lang w:val="es-ES"/>
              </w:rPr>
              <w:t>Convención sobre la conservación de las especies migratorias de animales silvestres</w:t>
            </w:r>
          </w:p>
        </w:tc>
      </w:tr>
      <w:tr w:rsidR="00D54E33" w:rsidRPr="00DE60EC" w14:paraId="0A0294CC" w14:textId="77777777" w:rsidTr="005F734A">
        <w:tc>
          <w:tcPr>
            <w:tcW w:w="7308" w:type="dxa"/>
            <w:shd w:val="clear" w:color="auto" w:fill="auto"/>
          </w:tcPr>
          <w:p w14:paraId="5DD35092" w14:textId="77777777" w:rsidR="00DE60EC" w:rsidRPr="009550BF" w:rsidRDefault="00D54E33" w:rsidP="00DE60EC">
            <w:pPr>
              <w:pStyle w:val="p1"/>
              <w:jc w:val="both"/>
              <w:rPr>
                <w:rFonts w:ascii="Arial" w:eastAsia="Times New Roman" w:hAnsi="Arial" w:cs="Arial"/>
                <w:sz w:val="22"/>
                <w:szCs w:val="22"/>
                <w:lang w:val="es-ES"/>
              </w:rPr>
            </w:pPr>
            <w:r w:rsidRPr="009550BF">
              <w:rPr>
                <w:rFonts w:ascii="Arial" w:hAnsi="Arial" w:cs="Arial"/>
                <w:sz w:val="22"/>
                <w:szCs w:val="22"/>
                <w:lang w:val="es-ES"/>
              </w:rPr>
              <w:t xml:space="preserve">1. </w:t>
            </w:r>
            <w:r w:rsidR="00DE60EC" w:rsidRPr="009550BF">
              <w:rPr>
                <w:rFonts w:ascii="Arial" w:eastAsia="Times New Roman" w:hAnsi="Arial" w:cs="Arial"/>
                <w:sz w:val="22"/>
                <w:szCs w:val="22"/>
                <w:lang w:val="es-ES"/>
              </w:rPr>
              <w:t>Hace un llamamiento a las Partes para que:</w:t>
            </w:r>
          </w:p>
          <w:p w14:paraId="2AFB4987" w14:textId="77777777" w:rsidR="00DE60EC" w:rsidRPr="009550BF" w:rsidRDefault="00DE60EC" w:rsidP="00DE60EC">
            <w:pPr>
              <w:pStyle w:val="p1"/>
              <w:jc w:val="both"/>
              <w:rPr>
                <w:rFonts w:ascii="Arial" w:eastAsia="Times New Roman" w:hAnsi="Arial" w:cs="Arial"/>
                <w:sz w:val="22"/>
                <w:szCs w:val="22"/>
                <w:lang w:val="es-ES"/>
              </w:rPr>
            </w:pPr>
          </w:p>
          <w:p w14:paraId="73D044B8" w14:textId="630350EF" w:rsidR="00DE60EC" w:rsidRPr="009550BF" w:rsidRDefault="00DE60EC" w:rsidP="00DE60EC">
            <w:pPr>
              <w:widowControl/>
              <w:autoSpaceDE/>
              <w:autoSpaceDN/>
              <w:adjustRightInd/>
              <w:ind w:left="420"/>
              <w:jc w:val="both"/>
              <w:rPr>
                <w:rFonts w:ascii="Arial" w:hAnsi="Arial" w:cs="Arial"/>
                <w:sz w:val="22"/>
                <w:szCs w:val="22"/>
                <w:lang w:val="es-ES"/>
              </w:rPr>
            </w:pPr>
            <w:r w:rsidRPr="009550BF">
              <w:rPr>
                <w:rFonts w:ascii="Arial" w:hAnsi="Arial" w:cs="Arial"/>
                <w:sz w:val="22"/>
                <w:szCs w:val="22"/>
                <w:lang w:val="es-ES"/>
              </w:rPr>
              <w:t>(a) En los casos en que sea viable y proceda, apliquen un proceso de vigilancia con el fin de evaluar las consecuencias ambientales acumulativas de la contaminación por hidrocarburos en las especies migratorias;</w:t>
            </w:r>
          </w:p>
          <w:p w14:paraId="6A2104B5" w14:textId="18F2ACCE" w:rsidR="00DE60EC" w:rsidRPr="009550BF" w:rsidRDefault="00DE60EC" w:rsidP="00DE60EC">
            <w:pPr>
              <w:widowControl/>
              <w:autoSpaceDE/>
              <w:autoSpaceDN/>
              <w:adjustRightInd/>
              <w:ind w:left="420"/>
              <w:jc w:val="both"/>
              <w:rPr>
                <w:rFonts w:ascii="Arial" w:hAnsi="Arial" w:cs="Arial"/>
                <w:sz w:val="22"/>
                <w:szCs w:val="22"/>
                <w:lang w:val="es-ES"/>
              </w:rPr>
            </w:pPr>
            <w:r w:rsidRPr="009550BF">
              <w:rPr>
                <w:rFonts w:ascii="Arial" w:hAnsi="Arial" w:cs="Arial"/>
                <w:sz w:val="22"/>
                <w:szCs w:val="22"/>
                <w:lang w:val="es-ES"/>
              </w:rPr>
              <w:t>(b) elaboren, apliquen y, en los casos en que sea necesario, refuercen la legislación en materia de protección ambiental de amplio alcance;</w:t>
            </w:r>
          </w:p>
          <w:p w14:paraId="1C44DAEE" w14:textId="088D7D2A" w:rsidR="00DE60EC" w:rsidRPr="009550BF" w:rsidRDefault="00DE60EC" w:rsidP="00DE60EC">
            <w:pPr>
              <w:widowControl/>
              <w:autoSpaceDE/>
              <w:autoSpaceDN/>
              <w:adjustRightInd/>
              <w:ind w:left="420"/>
              <w:jc w:val="both"/>
              <w:rPr>
                <w:rFonts w:ascii="Arial" w:hAnsi="Arial" w:cs="Arial"/>
                <w:sz w:val="22"/>
                <w:szCs w:val="22"/>
                <w:lang w:val="es-ES"/>
              </w:rPr>
            </w:pPr>
            <w:r w:rsidRPr="009550BF">
              <w:rPr>
                <w:rFonts w:ascii="Arial" w:hAnsi="Arial" w:cs="Arial"/>
                <w:sz w:val="22"/>
                <w:szCs w:val="22"/>
                <w:lang w:val="es-ES"/>
              </w:rPr>
              <w:t>(c) elaboren, apliquen, y en los casos en que sea necesario, refuercen medidas dirigidas a ejecutar esas leyes en el mar, en los sistemas de agua dulce y en tierra;</w:t>
            </w:r>
          </w:p>
          <w:p w14:paraId="58E97B9D" w14:textId="4833EE70" w:rsidR="00DE60EC" w:rsidRPr="009550BF" w:rsidRDefault="00DE60EC" w:rsidP="00DE60EC">
            <w:pPr>
              <w:widowControl/>
              <w:autoSpaceDE/>
              <w:autoSpaceDN/>
              <w:adjustRightInd/>
              <w:ind w:left="420"/>
              <w:jc w:val="both"/>
              <w:rPr>
                <w:rFonts w:ascii="Arial" w:hAnsi="Arial" w:cs="Arial"/>
                <w:sz w:val="22"/>
                <w:szCs w:val="22"/>
                <w:lang w:val="es-ES"/>
              </w:rPr>
            </w:pPr>
            <w:r w:rsidRPr="009550BF">
              <w:rPr>
                <w:rFonts w:ascii="Arial" w:hAnsi="Arial" w:cs="Arial"/>
                <w:sz w:val="22"/>
                <w:szCs w:val="22"/>
                <w:lang w:val="es-ES"/>
              </w:rPr>
              <w:t>(d) elaboren, apliquen y refuercen, cuando proceda, las medidas de preparación para responder ante los derrames de hidrocarburos, tales como instalaciones y personal capacitado;</w:t>
            </w:r>
          </w:p>
          <w:p w14:paraId="29672732" w14:textId="383B3B4A" w:rsidR="00DE60EC" w:rsidRPr="009550BF" w:rsidRDefault="00DE60EC" w:rsidP="00DE60EC">
            <w:pPr>
              <w:widowControl/>
              <w:autoSpaceDE/>
              <w:autoSpaceDN/>
              <w:adjustRightInd/>
              <w:ind w:left="420"/>
              <w:jc w:val="both"/>
              <w:rPr>
                <w:rFonts w:ascii="Arial" w:hAnsi="Arial" w:cs="Arial"/>
                <w:sz w:val="22"/>
                <w:szCs w:val="22"/>
                <w:lang w:val="es-ES"/>
              </w:rPr>
            </w:pPr>
            <w:r w:rsidRPr="009550BF">
              <w:rPr>
                <w:rFonts w:ascii="Arial" w:hAnsi="Arial" w:cs="Arial"/>
                <w:sz w:val="22"/>
                <w:szCs w:val="22"/>
                <w:lang w:val="es-ES"/>
              </w:rPr>
              <w:t>(e) en los casos en que proceda, apliquen directrices existentes y sigan elaborando otras directrices para el tratamiento de los animales silvestres afectados por los hidrocarburos con el fin de rehabilitar a los animales contaminados;</w:t>
            </w:r>
          </w:p>
          <w:p w14:paraId="624449DD" w14:textId="5D0AEBED" w:rsidR="00DE60EC" w:rsidRPr="009550BF" w:rsidRDefault="00DE60EC" w:rsidP="00DE60EC">
            <w:pPr>
              <w:widowControl/>
              <w:autoSpaceDE/>
              <w:autoSpaceDN/>
              <w:adjustRightInd/>
              <w:ind w:left="420"/>
              <w:jc w:val="both"/>
              <w:rPr>
                <w:rFonts w:ascii="Arial" w:hAnsi="Arial" w:cs="Arial"/>
                <w:sz w:val="22"/>
                <w:szCs w:val="22"/>
                <w:lang w:val="es-ES"/>
              </w:rPr>
            </w:pPr>
            <w:r w:rsidRPr="009550BF">
              <w:rPr>
                <w:rFonts w:ascii="Arial" w:hAnsi="Arial" w:cs="Arial"/>
                <w:sz w:val="22"/>
                <w:szCs w:val="22"/>
                <w:lang w:val="es-ES"/>
              </w:rPr>
              <w:t>(f) procuren modalidades de asociación apropiadas con la industria para hacer frente a la contaminación por hidrocarburos, aplicando plenamente el principio de que “el contaminador paga”; y</w:t>
            </w:r>
          </w:p>
          <w:p w14:paraId="7B16D291" w14:textId="36D22DF7" w:rsidR="00DE60EC" w:rsidRPr="009550BF" w:rsidRDefault="00DE60EC" w:rsidP="00DE60EC">
            <w:pPr>
              <w:widowControl/>
              <w:autoSpaceDE/>
              <w:autoSpaceDN/>
              <w:adjustRightInd/>
              <w:ind w:left="420"/>
              <w:jc w:val="both"/>
              <w:rPr>
                <w:rFonts w:ascii="Arial" w:hAnsi="Arial" w:cs="Arial"/>
                <w:sz w:val="22"/>
                <w:szCs w:val="22"/>
                <w:u w:val="single"/>
                <w:lang w:val="es-ES"/>
              </w:rPr>
            </w:pPr>
            <w:r w:rsidRPr="009550BF">
              <w:rPr>
                <w:rFonts w:ascii="Arial" w:hAnsi="Arial" w:cs="Arial"/>
                <w:sz w:val="22"/>
                <w:szCs w:val="22"/>
                <w:lang w:val="es-ES"/>
              </w:rPr>
              <w:t xml:space="preserve">(g) tomen plenamente en cuenta el principio de precaución en la ubicación de las instalaciones para la explotación de los hidrocarburos y el movimiento de los tanques de hidrocarburos en relación con el hábitat de las especies migratorias; </w:t>
            </w:r>
            <w:r w:rsidRPr="009550BF">
              <w:rPr>
                <w:rFonts w:ascii="Arial" w:hAnsi="Arial" w:cs="Arial"/>
                <w:sz w:val="22"/>
                <w:szCs w:val="22"/>
                <w:u w:val="single"/>
                <w:lang w:val="es-ES"/>
              </w:rPr>
              <w:t>y</w:t>
            </w:r>
          </w:p>
          <w:p w14:paraId="3FA4E080" w14:textId="3E4AFCDC" w:rsidR="00D54E33" w:rsidRPr="00DE60EC" w:rsidRDefault="00977008" w:rsidP="00DE60EC">
            <w:pPr>
              <w:pStyle w:val="BodyTextIndent2"/>
              <w:tabs>
                <w:tab w:val="left" w:pos="709"/>
                <w:tab w:val="left" w:pos="1440"/>
              </w:tabs>
              <w:spacing w:after="0" w:line="240" w:lineRule="auto"/>
              <w:ind w:hanging="1440"/>
              <w:jc w:val="both"/>
              <w:rPr>
                <w:rFonts w:ascii="Arial" w:hAnsi="Arial" w:cs="Arial"/>
                <w:sz w:val="22"/>
                <w:szCs w:val="22"/>
                <w:u w:val="single"/>
              </w:rPr>
            </w:pPr>
            <w:r w:rsidRPr="009550BF">
              <w:rPr>
                <w:rFonts w:ascii="Arial" w:hAnsi="Arial" w:cs="Arial"/>
                <w:sz w:val="22"/>
                <w:szCs w:val="22"/>
                <w:lang w:val="es-ES"/>
              </w:rPr>
              <w:t xml:space="preserve"> </w:t>
            </w:r>
            <w:r w:rsidRPr="00DE60EC">
              <w:rPr>
                <w:rFonts w:ascii="Arial" w:hAnsi="Arial" w:cs="Arial"/>
                <w:sz w:val="22"/>
                <w:szCs w:val="22"/>
                <w:u w:val="single"/>
              </w:rPr>
              <w:t>and</w:t>
            </w:r>
          </w:p>
        </w:tc>
        <w:tc>
          <w:tcPr>
            <w:tcW w:w="1548" w:type="dxa"/>
            <w:shd w:val="clear" w:color="auto" w:fill="auto"/>
          </w:tcPr>
          <w:p w14:paraId="334570BB" w14:textId="223C8BE3" w:rsidR="00D54E33" w:rsidRPr="00DE60EC" w:rsidRDefault="00194323" w:rsidP="00FA0A7A">
            <w:pPr>
              <w:rPr>
                <w:rFonts w:ascii="Arial" w:hAnsi="Arial" w:cs="Arial"/>
                <w:sz w:val="22"/>
                <w:szCs w:val="22"/>
              </w:rPr>
            </w:pPr>
            <w:proofErr w:type="spellStart"/>
            <w:r>
              <w:rPr>
                <w:rFonts w:ascii="Arial" w:hAnsi="Arial" w:cs="Arial"/>
                <w:sz w:val="22"/>
                <w:szCs w:val="22"/>
              </w:rPr>
              <w:t>Mantener</w:t>
            </w:r>
            <w:proofErr w:type="spellEnd"/>
          </w:p>
        </w:tc>
      </w:tr>
      <w:tr w:rsidR="00D54E33" w:rsidRPr="00DE60EC" w14:paraId="34A13471" w14:textId="77777777" w:rsidTr="005F734A">
        <w:tc>
          <w:tcPr>
            <w:tcW w:w="7308" w:type="dxa"/>
            <w:shd w:val="clear" w:color="auto" w:fill="auto"/>
          </w:tcPr>
          <w:p w14:paraId="476BA487" w14:textId="77777777" w:rsidR="00DE60EC" w:rsidRPr="009550BF" w:rsidRDefault="000F1281" w:rsidP="00DE60EC">
            <w:pPr>
              <w:pStyle w:val="p1"/>
              <w:jc w:val="both"/>
              <w:rPr>
                <w:rFonts w:ascii="Arial" w:hAnsi="Arial" w:cs="Arial"/>
                <w:strike/>
                <w:sz w:val="22"/>
                <w:szCs w:val="22"/>
                <w:lang w:val="es-ES"/>
              </w:rPr>
            </w:pPr>
            <w:r w:rsidRPr="009550BF">
              <w:rPr>
                <w:rFonts w:ascii="Arial" w:hAnsi="Arial" w:cs="Arial"/>
                <w:i/>
                <w:iCs/>
                <w:strike/>
                <w:sz w:val="22"/>
                <w:szCs w:val="22"/>
                <w:lang w:val="es-ES"/>
              </w:rPr>
              <w:t xml:space="preserve">2. </w:t>
            </w:r>
            <w:r w:rsidR="00DE60EC" w:rsidRPr="009550BF">
              <w:rPr>
                <w:rFonts w:ascii="Arial" w:eastAsia="Times New Roman" w:hAnsi="Arial" w:cs="Arial"/>
                <w:sz w:val="22"/>
                <w:szCs w:val="22"/>
                <w:lang w:val="es-ES"/>
              </w:rPr>
              <w:t>I</w:t>
            </w:r>
            <w:r w:rsidR="00DE60EC" w:rsidRPr="009550BF">
              <w:rPr>
                <w:rFonts w:ascii="Arial" w:eastAsia="Times New Roman" w:hAnsi="Arial" w:cs="Arial"/>
                <w:strike/>
                <w:sz w:val="22"/>
                <w:szCs w:val="22"/>
                <w:lang w:val="es-ES"/>
              </w:rPr>
              <w:t xml:space="preserve">nvita al Consejo Científico a que examine la función que la CMS puede desempeñar en la </w:t>
            </w:r>
            <w:r w:rsidR="00DE60EC" w:rsidRPr="009550BF">
              <w:rPr>
                <w:rFonts w:ascii="Arial" w:hAnsi="Arial" w:cs="Arial"/>
                <w:strike/>
                <w:sz w:val="22"/>
                <w:szCs w:val="22"/>
                <w:lang w:val="es-ES"/>
              </w:rPr>
              <w:t xml:space="preserve">tarea de hacer frente a la contaminación por hidrocarburos, y que para ello: </w:t>
            </w:r>
          </w:p>
          <w:p w14:paraId="476C5025" w14:textId="77777777" w:rsidR="00DE60EC" w:rsidRPr="009550BF" w:rsidRDefault="00DE60EC" w:rsidP="00DE60EC">
            <w:pPr>
              <w:pStyle w:val="p1"/>
              <w:jc w:val="both"/>
              <w:rPr>
                <w:rFonts w:ascii="Arial" w:hAnsi="Arial" w:cs="Arial"/>
                <w:strike/>
                <w:sz w:val="22"/>
                <w:szCs w:val="22"/>
                <w:lang w:val="es-ES"/>
              </w:rPr>
            </w:pPr>
          </w:p>
          <w:p w14:paraId="7D25BFF9" w14:textId="77777777" w:rsidR="00DE60EC" w:rsidRPr="009550BF" w:rsidRDefault="00DE60EC" w:rsidP="00DE60EC">
            <w:pPr>
              <w:pStyle w:val="p1"/>
              <w:ind w:left="420"/>
              <w:jc w:val="both"/>
              <w:rPr>
                <w:rFonts w:ascii="Arial" w:hAnsi="Arial" w:cs="Arial"/>
                <w:strike/>
                <w:sz w:val="22"/>
                <w:szCs w:val="22"/>
                <w:lang w:val="es-ES"/>
              </w:rPr>
            </w:pPr>
            <w:r w:rsidRPr="009550BF">
              <w:rPr>
                <w:rFonts w:ascii="Arial" w:hAnsi="Arial" w:cs="Arial"/>
                <w:strike/>
                <w:sz w:val="22"/>
                <w:szCs w:val="22"/>
                <w:lang w:val="es-ES"/>
              </w:rPr>
              <w:t>(a) examine el estado de los conocimientos relacionados con esta amenaza;</w:t>
            </w:r>
          </w:p>
          <w:p w14:paraId="214B67DF" w14:textId="15A86F82" w:rsidR="00DE60EC" w:rsidRPr="009550BF" w:rsidRDefault="00DE60EC" w:rsidP="00DE60EC">
            <w:pPr>
              <w:pStyle w:val="p1"/>
              <w:ind w:left="420"/>
              <w:jc w:val="both"/>
              <w:rPr>
                <w:rFonts w:ascii="Arial" w:hAnsi="Arial" w:cs="Arial"/>
                <w:strike/>
                <w:sz w:val="22"/>
                <w:szCs w:val="22"/>
                <w:lang w:val="es-ES"/>
              </w:rPr>
            </w:pPr>
            <w:r w:rsidRPr="009550BF">
              <w:rPr>
                <w:rFonts w:ascii="Arial" w:hAnsi="Arial" w:cs="Arial"/>
                <w:strike/>
                <w:sz w:val="22"/>
                <w:szCs w:val="22"/>
                <w:lang w:val="es-ES"/>
              </w:rPr>
              <w:t xml:space="preserve">(b) examine los planes y disposiciones existentes para hacer frente a la contaminación por hidrocarburos; y </w:t>
            </w:r>
          </w:p>
          <w:p w14:paraId="52CAF0C7" w14:textId="64DC93FA" w:rsidR="00DE60EC" w:rsidRPr="009550BF" w:rsidRDefault="00DE60EC" w:rsidP="00DE60EC">
            <w:pPr>
              <w:pStyle w:val="p1"/>
              <w:ind w:left="420"/>
              <w:jc w:val="both"/>
              <w:rPr>
                <w:rFonts w:ascii="Arial" w:hAnsi="Arial" w:cs="Arial"/>
                <w:strike/>
                <w:sz w:val="22"/>
                <w:szCs w:val="22"/>
                <w:lang w:val="es-ES"/>
              </w:rPr>
            </w:pPr>
            <w:r w:rsidRPr="009550BF">
              <w:rPr>
                <w:rFonts w:ascii="Arial" w:hAnsi="Arial" w:cs="Arial"/>
                <w:strike/>
                <w:sz w:val="22"/>
                <w:szCs w:val="22"/>
                <w:lang w:val="es-ES"/>
              </w:rPr>
              <w:t>(c) del mismo modo, examine los programas idóneos existentes en materia de capacitación e intercambio de información; e</w:t>
            </w:r>
          </w:p>
          <w:p w14:paraId="74A7FA0A" w14:textId="3DC543FF" w:rsidR="00D54E33" w:rsidRPr="009550BF" w:rsidRDefault="00D54E33" w:rsidP="00DE60EC">
            <w:pPr>
              <w:pStyle w:val="BodyTextIndent2"/>
              <w:tabs>
                <w:tab w:val="left" w:pos="690"/>
              </w:tabs>
              <w:spacing w:after="0" w:line="240" w:lineRule="auto"/>
              <w:ind w:hanging="1440"/>
              <w:jc w:val="both"/>
              <w:rPr>
                <w:rFonts w:ascii="Arial" w:hAnsi="Arial" w:cs="Arial"/>
                <w:sz w:val="22"/>
                <w:szCs w:val="22"/>
                <w:lang w:val="es-ES"/>
              </w:rPr>
            </w:pPr>
          </w:p>
        </w:tc>
        <w:tc>
          <w:tcPr>
            <w:tcW w:w="1548" w:type="dxa"/>
            <w:shd w:val="clear" w:color="auto" w:fill="auto"/>
          </w:tcPr>
          <w:p w14:paraId="6B303D01" w14:textId="69ED973A" w:rsidR="00D54E33" w:rsidRPr="00DE60EC" w:rsidRDefault="00194323" w:rsidP="0091145D">
            <w:pPr>
              <w:rPr>
                <w:rFonts w:ascii="Arial" w:hAnsi="Arial" w:cs="Arial"/>
                <w:sz w:val="22"/>
                <w:szCs w:val="22"/>
              </w:rPr>
            </w:pPr>
            <w:r w:rsidRPr="00C079EF">
              <w:rPr>
                <w:rFonts w:ascii="Arial" w:hAnsi="Arial" w:cs="Arial"/>
                <w:color w:val="000000" w:themeColor="text1"/>
                <w:sz w:val="22"/>
                <w:szCs w:val="22"/>
                <w:lang w:val="es-ES"/>
              </w:rPr>
              <w:t>Revocar; tarea completada</w:t>
            </w:r>
            <w:r w:rsidR="00AA1CCA">
              <w:rPr>
                <w:rFonts w:ascii="Arial" w:hAnsi="Arial" w:cs="Arial"/>
                <w:color w:val="000000" w:themeColor="text1"/>
                <w:sz w:val="22"/>
                <w:szCs w:val="22"/>
                <w:lang w:val="es-ES"/>
              </w:rPr>
              <w:t xml:space="preserve"> </w:t>
            </w:r>
          </w:p>
        </w:tc>
      </w:tr>
      <w:tr w:rsidR="00D54E33" w:rsidRPr="00DE60EC" w14:paraId="085D11ED" w14:textId="77777777" w:rsidTr="005F734A">
        <w:tc>
          <w:tcPr>
            <w:tcW w:w="7308" w:type="dxa"/>
            <w:shd w:val="clear" w:color="auto" w:fill="auto"/>
          </w:tcPr>
          <w:p w14:paraId="2765AE3E" w14:textId="3F2454CD" w:rsidR="00D54E33" w:rsidRPr="009550BF" w:rsidRDefault="00D54E33" w:rsidP="00DE60EC">
            <w:pPr>
              <w:pStyle w:val="p1"/>
              <w:jc w:val="both"/>
              <w:rPr>
                <w:rFonts w:ascii="Arial" w:hAnsi="Arial" w:cs="Arial"/>
                <w:sz w:val="22"/>
                <w:szCs w:val="22"/>
                <w:lang w:val="es-ES"/>
              </w:rPr>
            </w:pPr>
            <w:r w:rsidRPr="009550BF">
              <w:rPr>
                <w:rFonts w:ascii="Arial" w:hAnsi="Arial" w:cs="Arial"/>
                <w:strike/>
                <w:sz w:val="22"/>
                <w:szCs w:val="22"/>
                <w:lang w:val="es-ES"/>
              </w:rPr>
              <w:t>3.</w:t>
            </w:r>
            <w:r w:rsidR="000F1281" w:rsidRPr="009550BF">
              <w:rPr>
                <w:rFonts w:ascii="Arial" w:hAnsi="Arial" w:cs="Arial"/>
                <w:sz w:val="22"/>
                <w:szCs w:val="22"/>
                <w:lang w:val="es-ES"/>
              </w:rPr>
              <w:t xml:space="preserve"> </w:t>
            </w:r>
            <w:r w:rsidR="00977008" w:rsidRPr="009550BF">
              <w:rPr>
                <w:rFonts w:ascii="Arial" w:hAnsi="Arial" w:cs="Arial"/>
                <w:sz w:val="22"/>
                <w:szCs w:val="22"/>
                <w:u w:val="single"/>
                <w:lang w:val="es-ES"/>
              </w:rPr>
              <w:t>2.</w:t>
            </w:r>
            <w:r w:rsidR="000F1281" w:rsidRPr="009550BF">
              <w:rPr>
                <w:rFonts w:ascii="Arial" w:hAnsi="Arial" w:cs="Arial"/>
                <w:sz w:val="22"/>
                <w:szCs w:val="22"/>
                <w:lang w:val="es-ES"/>
              </w:rPr>
              <w:t xml:space="preserve"> </w:t>
            </w:r>
            <w:r w:rsidR="00DE60EC" w:rsidRPr="009550BF">
              <w:rPr>
                <w:rFonts w:ascii="Arial" w:eastAsia="Times New Roman" w:hAnsi="Arial" w:cs="Arial"/>
                <w:i/>
                <w:sz w:val="22"/>
                <w:szCs w:val="22"/>
                <w:lang w:val="es-ES"/>
              </w:rPr>
              <w:t>Invita</w:t>
            </w:r>
            <w:r w:rsidR="00DE60EC" w:rsidRPr="009550BF">
              <w:rPr>
                <w:rFonts w:ascii="Arial" w:eastAsia="Times New Roman" w:hAnsi="Arial" w:cs="Arial"/>
                <w:sz w:val="22"/>
                <w:szCs w:val="22"/>
                <w:lang w:val="es-ES"/>
              </w:rPr>
              <w:t xml:space="preserve"> a todas las organizaciones y órganos pertinentes a escala internacional, regional y </w:t>
            </w:r>
            <w:r w:rsidR="00DE60EC" w:rsidRPr="009550BF">
              <w:rPr>
                <w:rFonts w:ascii="Arial" w:hAnsi="Arial" w:cs="Arial"/>
                <w:sz w:val="22"/>
                <w:szCs w:val="22"/>
                <w:lang w:val="es-ES"/>
              </w:rPr>
              <w:t xml:space="preserve">nacional, a que cooperen con la CMS en los </w:t>
            </w:r>
            <w:r w:rsidR="00DE60EC" w:rsidRPr="009550BF">
              <w:rPr>
                <w:rFonts w:ascii="Arial" w:hAnsi="Arial" w:cs="Arial"/>
                <w:sz w:val="22"/>
                <w:szCs w:val="22"/>
                <w:lang w:val="es-ES"/>
              </w:rPr>
              <w:lastRenderedPageBreak/>
              <w:t>esfuerzos dirigidos a prevenir la contaminación por hidrocarburos y reducir al mínimo las consecuencias negativas en las especies migratorias resultant</w:t>
            </w:r>
            <w:r w:rsidR="007F1BC6">
              <w:rPr>
                <w:rFonts w:ascii="Arial" w:hAnsi="Arial" w:cs="Arial"/>
                <w:sz w:val="22"/>
                <w:szCs w:val="22"/>
                <w:lang w:val="es-ES"/>
              </w:rPr>
              <w:t>e</w:t>
            </w:r>
            <w:r w:rsidR="00DE60EC" w:rsidRPr="009550BF">
              <w:rPr>
                <w:rFonts w:ascii="Arial" w:hAnsi="Arial" w:cs="Arial"/>
                <w:sz w:val="22"/>
                <w:szCs w:val="22"/>
                <w:lang w:val="es-ES"/>
              </w:rPr>
              <w:t>s de las emisiones de hidrocarburos crudos y refinados en el medio ambiente.</w:t>
            </w:r>
          </w:p>
        </w:tc>
        <w:tc>
          <w:tcPr>
            <w:tcW w:w="1548" w:type="dxa"/>
            <w:shd w:val="clear" w:color="auto" w:fill="auto"/>
          </w:tcPr>
          <w:p w14:paraId="546DE39C" w14:textId="34A39FE7" w:rsidR="00D54E33" w:rsidRPr="00DE60EC" w:rsidRDefault="00194323" w:rsidP="005F734A">
            <w:pPr>
              <w:rPr>
                <w:rFonts w:ascii="Arial" w:hAnsi="Arial" w:cs="Arial"/>
                <w:sz w:val="22"/>
                <w:szCs w:val="22"/>
              </w:rPr>
            </w:pPr>
            <w:proofErr w:type="spellStart"/>
            <w:r>
              <w:rPr>
                <w:rFonts w:ascii="Arial" w:hAnsi="Arial" w:cs="Arial"/>
                <w:sz w:val="22"/>
                <w:szCs w:val="22"/>
              </w:rPr>
              <w:lastRenderedPageBreak/>
              <w:t>Mantener</w:t>
            </w:r>
            <w:proofErr w:type="spellEnd"/>
          </w:p>
          <w:p w14:paraId="16C1B017" w14:textId="77777777" w:rsidR="002304BA" w:rsidRPr="00DE60EC" w:rsidRDefault="002304BA" w:rsidP="005F734A">
            <w:pPr>
              <w:rPr>
                <w:rFonts w:ascii="Arial" w:hAnsi="Arial" w:cs="Arial"/>
                <w:sz w:val="22"/>
                <w:szCs w:val="22"/>
              </w:rPr>
            </w:pPr>
          </w:p>
          <w:p w14:paraId="02DA362D" w14:textId="16D6487E" w:rsidR="002304BA" w:rsidRPr="00DE60EC" w:rsidRDefault="002304BA" w:rsidP="005F734A">
            <w:pPr>
              <w:rPr>
                <w:rFonts w:ascii="Arial" w:hAnsi="Arial" w:cs="Arial"/>
                <w:i/>
                <w:sz w:val="22"/>
                <w:szCs w:val="22"/>
              </w:rPr>
            </w:pPr>
          </w:p>
        </w:tc>
      </w:tr>
    </w:tbl>
    <w:p w14:paraId="3ADE910B" w14:textId="77777777" w:rsidR="0048197A" w:rsidRPr="00A33299" w:rsidRDefault="0048197A" w:rsidP="0048197A">
      <w:pPr>
        <w:rPr>
          <w:rFonts w:ascii="Arial" w:hAnsi="Arial" w:cs="Arial"/>
          <w:sz w:val="22"/>
          <w:szCs w:val="22"/>
        </w:rPr>
      </w:pPr>
    </w:p>
    <w:p w14:paraId="3A094AFD" w14:textId="77777777" w:rsidR="00D80EC0" w:rsidRPr="00D80EC0" w:rsidRDefault="00D80EC0" w:rsidP="00D80EC0">
      <w:pPr>
        <w:jc w:val="both"/>
        <w:rPr>
          <w:rFonts w:ascii="Arial" w:hAnsi="Arial" w:cs="Arial"/>
          <w:sz w:val="22"/>
          <w:szCs w:val="22"/>
        </w:rPr>
      </w:pPr>
    </w:p>
    <w:p w14:paraId="118E9711" w14:textId="200DE2BC"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6ED2FF86"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Anex</w:t>
      </w:r>
      <w:r w:rsidR="00D931F9">
        <w:rPr>
          <w:rFonts w:ascii="Arial" w:hAnsi="Arial" w:cs="Arial"/>
          <w:b/>
          <w:caps/>
          <w:sz w:val="22"/>
          <w:szCs w:val="22"/>
          <w:lang w:val="en-GB"/>
        </w:rPr>
        <w:t>o</w:t>
      </w:r>
      <w:r w:rsidRPr="00D80EC0">
        <w:rPr>
          <w:rFonts w:ascii="Arial" w:hAnsi="Arial" w:cs="Arial"/>
          <w:b/>
          <w:caps/>
          <w:sz w:val="22"/>
          <w:szCs w:val="22"/>
          <w:lang w:val="en-GB"/>
        </w:rPr>
        <w:t xml:space="preserve">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156ED2B1" w14:textId="03BD1A5D" w:rsidR="00CE0202" w:rsidRDefault="008038C7" w:rsidP="00CE0202">
      <w:pPr>
        <w:jc w:val="center"/>
        <w:rPr>
          <w:rFonts w:ascii="Arial" w:hAnsi="Arial" w:cs="Arial"/>
          <w:b/>
          <w:caps/>
          <w:sz w:val="22"/>
          <w:szCs w:val="22"/>
        </w:rPr>
      </w:pPr>
      <w:r>
        <w:rPr>
          <w:rFonts w:ascii="Arial" w:hAnsi="Arial" w:cs="Arial"/>
          <w:b/>
          <w:caps/>
          <w:sz w:val="22"/>
          <w:szCs w:val="22"/>
        </w:rPr>
        <w:t>Resolución</w:t>
      </w:r>
      <w:r w:rsidR="00CE0202">
        <w:rPr>
          <w:rFonts w:ascii="Arial" w:hAnsi="Arial" w:cs="Arial"/>
          <w:b/>
          <w:caps/>
          <w:sz w:val="22"/>
          <w:szCs w:val="22"/>
        </w:rPr>
        <w:t xml:space="preserve"> 7.3 (rev. cop12)</w:t>
      </w:r>
      <w:r w:rsidR="000E1475">
        <w:rPr>
          <w:rStyle w:val="FootnoteReference"/>
          <w:rFonts w:ascii="Arial" w:hAnsi="Arial"/>
          <w:b/>
          <w:caps/>
          <w:sz w:val="22"/>
          <w:szCs w:val="22"/>
        </w:rPr>
        <w:footnoteReference w:customMarkFollows="1" w:id="2"/>
        <w:t>*</w:t>
      </w:r>
    </w:p>
    <w:p w14:paraId="222BCA15" w14:textId="77777777" w:rsidR="00CE0202" w:rsidRDefault="00CE0202" w:rsidP="00CE0202">
      <w:pPr>
        <w:jc w:val="center"/>
        <w:rPr>
          <w:rFonts w:ascii="Arial" w:hAnsi="Arial" w:cs="Arial"/>
          <w:b/>
          <w:caps/>
          <w:sz w:val="22"/>
          <w:szCs w:val="22"/>
        </w:rPr>
      </w:pPr>
    </w:p>
    <w:p w14:paraId="7F7F635E" w14:textId="77777777" w:rsidR="008038C7" w:rsidRPr="009550BF" w:rsidRDefault="008038C7" w:rsidP="008038C7">
      <w:pPr>
        <w:pStyle w:val="p1"/>
        <w:jc w:val="center"/>
        <w:rPr>
          <w:rFonts w:ascii="Arial" w:hAnsi="Arial" w:cs="Arial"/>
          <w:b/>
          <w:sz w:val="22"/>
          <w:szCs w:val="22"/>
          <w:lang w:val="es-ES"/>
        </w:rPr>
      </w:pPr>
      <w:r w:rsidRPr="009550BF">
        <w:rPr>
          <w:rFonts w:ascii="Arial" w:eastAsia="Times New Roman" w:hAnsi="Arial" w:cs="Arial"/>
          <w:b/>
          <w:sz w:val="22"/>
          <w:szCs w:val="22"/>
          <w:lang w:val="es-ES"/>
        </w:rPr>
        <w:t xml:space="preserve">LA CONTAMINACIÓN POR HIDROCARBUROS Y LAS ESPECIES </w:t>
      </w:r>
      <w:r w:rsidRPr="009550BF">
        <w:rPr>
          <w:rFonts w:ascii="Arial" w:hAnsi="Arial" w:cs="Arial"/>
          <w:b/>
          <w:sz w:val="22"/>
          <w:szCs w:val="22"/>
          <w:lang w:val="es-ES"/>
        </w:rPr>
        <w:t>MIGRATORIAS</w:t>
      </w:r>
    </w:p>
    <w:p w14:paraId="2A18D34C" w14:textId="414B4413" w:rsidR="00CE0202" w:rsidRPr="009550BF" w:rsidRDefault="00CE0202" w:rsidP="00CE0202">
      <w:pPr>
        <w:jc w:val="center"/>
        <w:rPr>
          <w:rFonts w:ascii="Arial" w:hAnsi="Arial" w:cs="Arial"/>
          <w:b/>
          <w:sz w:val="22"/>
          <w:szCs w:val="22"/>
          <w:lang w:val="es-ES"/>
        </w:rPr>
      </w:pPr>
    </w:p>
    <w:p w14:paraId="2FE903D7" w14:textId="56AC467B" w:rsidR="009C2B4C" w:rsidRPr="009550BF" w:rsidRDefault="009C2B4C" w:rsidP="009C2B4C">
      <w:pPr>
        <w:jc w:val="center"/>
        <w:rPr>
          <w:rFonts w:ascii="Arial" w:hAnsi="Arial" w:cs="Arial"/>
          <w:b/>
          <w:sz w:val="22"/>
          <w:szCs w:val="22"/>
          <w:lang w:val="es-ES"/>
        </w:rPr>
      </w:pPr>
    </w:p>
    <w:p w14:paraId="79EF6319" w14:textId="5A541228"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w:t>
      </w:r>
      <w:r w:rsidRPr="009550BF">
        <w:rPr>
          <w:rFonts w:ascii="Arial" w:hAnsi="Arial" w:cs="Arial"/>
          <w:sz w:val="22"/>
          <w:szCs w:val="22"/>
          <w:lang w:val="es-ES"/>
        </w:rPr>
        <w:t xml:space="preserve"> que en el artículo II de la Convención se reconoce la necesidad de adopt</w:t>
      </w:r>
      <w:r w:rsidR="007F1BC6">
        <w:rPr>
          <w:rFonts w:ascii="Arial" w:hAnsi="Arial" w:cs="Arial"/>
          <w:sz w:val="22"/>
          <w:szCs w:val="22"/>
          <w:lang w:val="es-ES"/>
        </w:rPr>
        <w:t>a</w:t>
      </w:r>
      <w:r w:rsidRPr="009550BF">
        <w:rPr>
          <w:rFonts w:ascii="Arial" w:hAnsi="Arial" w:cs="Arial"/>
          <w:sz w:val="22"/>
          <w:szCs w:val="22"/>
          <w:lang w:val="es-ES"/>
        </w:rPr>
        <w:t>r medidas para evitar que las especies migratorias pasen a ser especies amenazadas;</w:t>
      </w:r>
    </w:p>
    <w:p w14:paraId="4C9738A9" w14:textId="77777777" w:rsidR="00730A35" w:rsidRPr="009550BF" w:rsidRDefault="00730A35" w:rsidP="005503DF">
      <w:pPr>
        <w:widowControl/>
        <w:autoSpaceDE/>
        <w:autoSpaceDN/>
        <w:adjustRightInd/>
        <w:jc w:val="both"/>
        <w:rPr>
          <w:rFonts w:ascii="Arial" w:hAnsi="Arial" w:cs="Arial"/>
          <w:sz w:val="22"/>
          <w:szCs w:val="22"/>
          <w:lang w:val="es-ES"/>
        </w:rPr>
      </w:pPr>
    </w:p>
    <w:p w14:paraId="6FB9AA5E"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 también</w:t>
      </w:r>
      <w:r w:rsidRPr="009550BF">
        <w:rPr>
          <w:rFonts w:ascii="Arial" w:hAnsi="Arial" w:cs="Arial"/>
          <w:sz w:val="22"/>
          <w:szCs w:val="22"/>
          <w:lang w:val="es-ES"/>
        </w:rPr>
        <w:t xml:space="preserve"> la necesidad de preservar la flora y la fauna silvestres en el medio marino conforme se estipula en la Convención para la protección del medio marino del Atlántico Norte (Convención OSPAR) así como en la Convención para la protección y el desarrollo del medio ambiente marino y costero de la región centroafricana y en los protocolos que le están vinculados (Convención de </w:t>
      </w:r>
      <w:proofErr w:type="spellStart"/>
      <w:r w:rsidRPr="009550BF">
        <w:rPr>
          <w:rFonts w:ascii="Arial" w:hAnsi="Arial" w:cs="Arial"/>
          <w:sz w:val="22"/>
          <w:szCs w:val="22"/>
          <w:lang w:val="es-ES"/>
        </w:rPr>
        <w:t>Abidján</w:t>
      </w:r>
      <w:proofErr w:type="spellEnd"/>
      <w:r w:rsidRPr="009550BF">
        <w:rPr>
          <w:rFonts w:ascii="Arial" w:hAnsi="Arial" w:cs="Arial"/>
          <w:sz w:val="22"/>
          <w:szCs w:val="22"/>
          <w:lang w:val="es-ES"/>
        </w:rPr>
        <w:t>) y en la Convención sobre la protección del medio marino de la zona del Mar Báltico (Convención de Helsinki);</w:t>
      </w:r>
    </w:p>
    <w:p w14:paraId="606596D7" w14:textId="77777777" w:rsidR="00730A35" w:rsidRPr="009550BF" w:rsidRDefault="00730A35" w:rsidP="005503DF">
      <w:pPr>
        <w:widowControl/>
        <w:autoSpaceDE/>
        <w:autoSpaceDN/>
        <w:adjustRightInd/>
        <w:jc w:val="both"/>
        <w:rPr>
          <w:rFonts w:ascii="Arial" w:hAnsi="Arial" w:cs="Arial"/>
          <w:sz w:val="22"/>
          <w:szCs w:val="22"/>
          <w:lang w:val="es-ES"/>
        </w:rPr>
      </w:pPr>
    </w:p>
    <w:p w14:paraId="40C9D4C1"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 asimismo</w:t>
      </w:r>
      <w:r w:rsidRPr="009550BF">
        <w:rPr>
          <w:rFonts w:ascii="Arial" w:hAnsi="Arial" w:cs="Arial"/>
          <w:sz w:val="22"/>
          <w:szCs w:val="22"/>
          <w:lang w:val="es-ES"/>
        </w:rPr>
        <w:t xml:space="preserve"> las disposiciones para la protección del medio marino de la Convención de las Naciones Unidas sobre el Derecho del Mar (CLOS) y de numerosas convenciones y convenios aprobados bajo el patrocinio de la Organización Marítima Internacional (OMI), la Organización de las Naciones Unidas para la Agricultura y la Alimentación (FAO), el Programa de las Naciones Unidas, para el Medio Ambiente (PNUMA) y diversos acuerdos de mares regionales;</w:t>
      </w:r>
    </w:p>
    <w:p w14:paraId="3458A214" w14:textId="77777777" w:rsidR="00730A35" w:rsidRPr="009550BF" w:rsidRDefault="00730A35" w:rsidP="005503DF">
      <w:pPr>
        <w:widowControl/>
        <w:autoSpaceDE/>
        <w:autoSpaceDN/>
        <w:adjustRightInd/>
        <w:jc w:val="both"/>
        <w:rPr>
          <w:rFonts w:ascii="Arial" w:hAnsi="Arial" w:cs="Arial"/>
          <w:sz w:val="22"/>
          <w:szCs w:val="22"/>
          <w:lang w:val="es-ES"/>
        </w:rPr>
      </w:pPr>
    </w:p>
    <w:p w14:paraId="19F3CCA7"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 además</w:t>
      </w:r>
      <w:r w:rsidRPr="009550BF">
        <w:rPr>
          <w:rFonts w:ascii="Arial" w:hAnsi="Arial" w:cs="Arial"/>
          <w:sz w:val="22"/>
          <w:szCs w:val="22"/>
          <w:lang w:val="es-ES"/>
        </w:rPr>
        <w:t xml:space="preserve"> los convenios y convenciones sobre especies acuáticas no marinas y especies terrestres aplicables a escala internacional, regional y nacional, en los que se trata el problema de la contaminación por hidrocarburos;</w:t>
      </w:r>
    </w:p>
    <w:p w14:paraId="474EA94A" w14:textId="77777777" w:rsidR="00730A35" w:rsidRPr="009550BF" w:rsidRDefault="00730A35" w:rsidP="005503DF">
      <w:pPr>
        <w:widowControl/>
        <w:autoSpaceDE/>
        <w:autoSpaceDN/>
        <w:adjustRightInd/>
        <w:jc w:val="both"/>
        <w:rPr>
          <w:rFonts w:ascii="Arial" w:hAnsi="Arial" w:cs="Arial"/>
          <w:sz w:val="22"/>
          <w:szCs w:val="22"/>
          <w:lang w:val="es-ES"/>
        </w:rPr>
      </w:pPr>
    </w:p>
    <w:p w14:paraId="38FEE2A8"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Reconociendo</w:t>
      </w:r>
      <w:r w:rsidRPr="009550BF">
        <w:rPr>
          <w:rFonts w:ascii="Arial" w:hAnsi="Arial" w:cs="Arial"/>
          <w:sz w:val="22"/>
          <w:szCs w:val="22"/>
          <w:lang w:val="es-ES"/>
        </w:rPr>
        <w:t xml:space="preserve"> el artículo VII de la Convención sobre las especies migratorias, en el que se dispone que la Conferencia de las Partes puede formular recomendaciones a las Partes con miras a mejorar la eficacia de la Convención;</w:t>
      </w:r>
    </w:p>
    <w:p w14:paraId="2FC1556C" w14:textId="77777777" w:rsidR="00730A35" w:rsidRPr="009550BF" w:rsidRDefault="00730A35" w:rsidP="005503DF">
      <w:pPr>
        <w:widowControl/>
        <w:autoSpaceDE/>
        <w:autoSpaceDN/>
        <w:adjustRightInd/>
        <w:jc w:val="both"/>
        <w:rPr>
          <w:rFonts w:ascii="Arial" w:hAnsi="Arial" w:cs="Arial"/>
          <w:sz w:val="22"/>
          <w:szCs w:val="22"/>
          <w:lang w:val="es-ES"/>
        </w:rPr>
      </w:pPr>
    </w:p>
    <w:p w14:paraId="254A2585" w14:textId="70BD44B9"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Considerando</w:t>
      </w:r>
      <w:r w:rsidRPr="009550BF">
        <w:rPr>
          <w:rFonts w:ascii="Arial" w:hAnsi="Arial" w:cs="Arial"/>
          <w:sz w:val="22"/>
          <w:szCs w:val="22"/>
          <w:lang w:val="es-ES"/>
        </w:rPr>
        <w:t xml:space="preserve"> que en el Plan Estratégico para 2000-2005, aprobado mediante la resolución 6.4, se estipula que las Partes examinen los problemas especiales que afrontan los animal</w:t>
      </w:r>
      <w:r w:rsidR="007F1BC6">
        <w:rPr>
          <w:rFonts w:ascii="Arial" w:hAnsi="Arial" w:cs="Arial"/>
          <w:sz w:val="22"/>
          <w:szCs w:val="22"/>
          <w:lang w:val="es-ES"/>
        </w:rPr>
        <w:t>e</w:t>
      </w:r>
      <w:r w:rsidRPr="009550BF">
        <w:rPr>
          <w:rFonts w:ascii="Arial" w:hAnsi="Arial" w:cs="Arial"/>
          <w:sz w:val="22"/>
          <w:szCs w:val="22"/>
          <w:lang w:val="es-ES"/>
        </w:rPr>
        <w:t>s migratorios en relación con varios obstáculos a la migración y que propongan medidas correctivas que se puedan aplicar ampliamente;</w:t>
      </w:r>
    </w:p>
    <w:p w14:paraId="26F6EC66" w14:textId="77777777" w:rsidR="00730A35" w:rsidRPr="009550BF" w:rsidRDefault="00730A35" w:rsidP="005503DF">
      <w:pPr>
        <w:widowControl/>
        <w:autoSpaceDE/>
        <w:autoSpaceDN/>
        <w:adjustRightInd/>
        <w:jc w:val="both"/>
        <w:rPr>
          <w:rFonts w:ascii="Arial" w:hAnsi="Arial" w:cs="Arial"/>
          <w:sz w:val="22"/>
          <w:szCs w:val="22"/>
          <w:lang w:val="es-ES"/>
        </w:rPr>
      </w:pPr>
    </w:p>
    <w:p w14:paraId="288E14AB"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Reconociendo</w:t>
      </w:r>
      <w:r w:rsidRPr="009550BF">
        <w:rPr>
          <w:rFonts w:ascii="Arial" w:hAnsi="Arial" w:cs="Arial"/>
          <w:sz w:val="22"/>
          <w:szCs w:val="22"/>
          <w:lang w:val="es-ES"/>
        </w:rPr>
        <w:t xml:space="preserve"> que en la resolución 4.5 se instruye al Consejo Científico para que, entre otras cosas, recomiende soluciones a la Conferencia de las Partes respecto de problemas relacionados con los aspectos científicos de la aplicación de la Convención, en particular respecto del hábitat de las especies migratorias;</w:t>
      </w:r>
    </w:p>
    <w:p w14:paraId="69D7C890" w14:textId="77777777" w:rsidR="00730A35" w:rsidRPr="009550BF" w:rsidRDefault="00730A35" w:rsidP="005503DF">
      <w:pPr>
        <w:widowControl/>
        <w:autoSpaceDE/>
        <w:autoSpaceDN/>
        <w:adjustRightInd/>
        <w:jc w:val="both"/>
        <w:rPr>
          <w:rFonts w:ascii="Arial" w:hAnsi="Arial" w:cs="Arial"/>
          <w:sz w:val="22"/>
          <w:szCs w:val="22"/>
          <w:lang w:val="es-ES"/>
        </w:rPr>
      </w:pPr>
    </w:p>
    <w:p w14:paraId="6DBBA42F"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Tomando nota</w:t>
      </w:r>
      <w:r w:rsidRPr="009550BF">
        <w:rPr>
          <w:rFonts w:ascii="Arial" w:hAnsi="Arial" w:cs="Arial"/>
          <w:sz w:val="22"/>
          <w:szCs w:val="22"/>
          <w:lang w:val="es-ES"/>
        </w:rPr>
        <w:t xml:space="preserve"> de que los derrames accidentales y otras descargas de hidrocarburos crudos y refinados y de sus desechos representan un peligro importante con efectos nocivos bien conocidos en la naturaleza y en diferentes componentes de la diversidad biológica;</w:t>
      </w:r>
    </w:p>
    <w:p w14:paraId="37C55C42" w14:textId="77777777" w:rsidR="00730A35" w:rsidRPr="009550BF" w:rsidRDefault="00730A35" w:rsidP="005503DF">
      <w:pPr>
        <w:widowControl/>
        <w:autoSpaceDE/>
        <w:autoSpaceDN/>
        <w:adjustRightInd/>
        <w:jc w:val="both"/>
        <w:rPr>
          <w:rFonts w:ascii="Arial" w:hAnsi="Arial" w:cs="Arial"/>
          <w:sz w:val="22"/>
          <w:szCs w:val="22"/>
          <w:lang w:val="es-ES"/>
        </w:rPr>
      </w:pPr>
    </w:p>
    <w:p w14:paraId="52968487"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Preocupada</w:t>
      </w:r>
      <w:r w:rsidRPr="009550BF">
        <w:rPr>
          <w:rFonts w:ascii="Arial" w:hAnsi="Arial" w:cs="Arial"/>
          <w:sz w:val="22"/>
          <w:szCs w:val="22"/>
          <w:lang w:val="es-ES"/>
        </w:rPr>
        <w:t xml:space="preserve"> por las constantes repercusiones negativas de esos accidentes y otras descargas en las especies migratorias de animales silvestres, así como en sus fuentes alimentarias, debido a los efectos sinérgicos de la toxicidad letal y crónica, los trastornos de la </w:t>
      </w:r>
      <w:proofErr w:type="spellStart"/>
      <w:r w:rsidRPr="009550BF">
        <w:rPr>
          <w:rFonts w:ascii="Arial" w:hAnsi="Arial" w:cs="Arial"/>
          <w:sz w:val="22"/>
          <w:szCs w:val="22"/>
          <w:lang w:val="es-ES"/>
        </w:rPr>
        <w:t>termoregulación</w:t>
      </w:r>
      <w:proofErr w:type="spellEnd"/>
      <w:r w:rsidRPr="009550BF">
        <w:rPr>
          <w:rFonts w:ascii="Arial" w:hAnsi="Arial" w:cs="Arial"/>
          <w:sz w:val="22"/>
          <w:szCs w:val="22"/>
          <w:lang w:val="es-ES"/>
        </w:rPr>
        <w:t xml:space="preserve"> y el ensuciamiento, así como la degradación del hábitat;</w:t>
      </w:r>
    </w:p>
    <w:p w14:paraId="16362F68" w14:textId="77777777" w:rsidR="00730A35" w:rsidRPr="009550BF" w:rsidRDefault="00730A35" w:rsidP="005503DF">
      <w:pPr>
        <w:widowControl/>
        <w:autoSpaceDE/>
        <w:autoSpaceDN/>
        <w:adjustRightInd/>
        <w:jc w:val="both"/>
        <w:rPr>
          <w:rFonts w:ascii="Arial" w:hAnsi="Arial" w:cs="Arial"/>
          <w:sz w:val="22"/>
          <w:szCs w:val="22"/>
          <w:lang w:val="es-ES"/>
        </w:rPr>
      </w:pPr>
    </w:p>
    <w:p w14:paraId="736706C8"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Consciente</w:t>
      </w:r>
      <w:r w:rsidRPr="009550BF">
        <w:rPr>
          <w:rFonts w:ascii="Arial" w:hAnsi="Arial" w:cs="Arial"/>
          <w:sz w:val="22"/>
          <w:szCs w:val="22"/>
          <w:lang w:val="es-ES"/>
        </w:rPr>
        <w:t xml:space="preserve"> de la necesidad de vigilar periódicamente y evaluar las consecuencias reales de la contaminación por hidrocarburos mediante el intercambio de experiencia internacional y los programas de vigilancia existentes; y</w:t>
      </w:r>
    </w:p>
    <w:p w14:paraId="527C1B65" w14:textId="77777777" w:rsidR="00CA0FB0" w:rsidRPr="009550BF" w:rsidRDefault="00CA0FB0" w:rsidP="005503DF">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lastRenderedPageBreak/>
        <w:t>Tomando nota</w:t>
      </w:r>
      <w:r w:rsidRPr="009550BF">
        <w:rPr>
          <w:rFonts w:ascii="Arial" w:hAnsi="Arial" w:cs="Arial"/>
          <w:sz w:val="22"/>
          <w:szCs w:val="22"/>
          <w:lang w:val="es-ES"/>
        </w:rPr>
        <w:t xml:space="preserve"> del posible peligro que representa el hecho de que números importantes de animales silvestres se puedan matar inadvertidamente todos los años en los medios acuático y terrestre, y deseosa de reducir al mínimo los efectos negativos en esos medios mediante medidas dirigidas a prevenir las emisiones accidentales y reglamentar las emisiones intencionales de hidrocarburos crudos y refinados y los desechos de los mismos;</w:t>
      </w:r>
    </w:p>
    <w:p w14:paraId="4305E201" w14:textId="77777777" w:rsidR="00CA0FB0" w:rsidRPr="009550BF" w:rsidRDefault="00CA0FB0" w:rsidP="005503DF">
      <w:pPr>
        <w:widowControl/>
        <w:autoSpaceDE/>
        <w:autoSpaceDN/>
        <w:adjustRightInd/>
        <w:jc w:val="center"/>
        <w:rPr>
          <w:rFonts w:ascii="Arial" w:hAnsi="Arial" w:cs="Arial"/>
          <w:i/>
          <w:sz w:val="22"/>
          <w:szCs w:val="22"/>
          <w:lang w:val="es-ES"/>
        </w:rPr>
      </w:pPr>
    </w:p>
    <w:p w14:paraId="7E33CB87" w14:textId="77777777" w:rsidR="00CA0FB0" w:rsidRPr="009550BF" w:rsidRDefault="00CA0FB0" w:rsidP="005503DF">
      <w:pPr>
        <w:widowControl/>
        <w:autoSpaceDE/>
        <w:autoSpaceDN/>
        <w:adjustRightInd/>
        <w:jc w:val="center"/>
        <w:rPr>
          <w:rFonts w:ascii="Arial" w:hAnsi="Arial" w:cs="Arial"/>
          <w:i/>
          <w:sz w:val="22"/>
          <w:szCs w:val="22"/>
          <w:lang w:val="es-ES"/>
        </w:rPr>
      </w:pPr>
      <w:r w:rsidRPr="009550BF">
        <w:rPr>
          <w:rFonts w:ascii="Arial" w:hAnsi="Arial" w:cs="Arial"/>
          <w:i/>
          <w:sz w:val="22"/>
          <w:szCs w:val="22"/>
          <w:lang w:val="es-ES"/>
        </w:rPr>
        <w:t>La Conferencia de las Partes en la</w:t>
      </w:r>
    </w:p>
    <w:p w14:paraId="2413F215" w14:textId="77777777" w:rsidR="00CA0FB0" w:rsidRPr="009550BF" w:rsidRDefault="00CA0FB0" w:rsidP="005503DF">
      <w:pPr>
        <w:widowControl/>
        <w:autoSpaceDE/>
        <w:autoSpaceDN/>
        <w:adjustRightInd/>
        <w:jc w:val="center"/>
        <w:rPr>
          <w:rFonts w:ascii="Arial" w:hAnsi="Arial" w:cs="Arial"/>
          <w:i/>
          <w:sz w:val="22"/>
          <w:szCs w:val="22"/>
          <w:lang w:val="es-ES"/>
        </w:rPr>
      </w:pPr>
      <w:r w:rsidRPr="009550BF">
        <w:rPr>
          <w:rFonts w:ascii="Arial" w:hAnsi="Arial" w:cs="Arial"/>
          <w:i/>
          <w:sz w:val="22"/>
          <w:szCs w:val="22"/>
          <w:lang w:val="es-ES"/>
        </w:rPr>
        <w:t>Convención sobre la conservación de las especies migratorias de animales silvestres</w:t>
      </w:r>
    </w:p>
    <w:p w14:paraId="53BC06A5" w14:textId="77777777" w:rsidR="00CA0FB0" w:rsidRPr="009550BF" w:rsidRDefault="00CA0FB0" w:rsidP="005503DF">
      <w:pPr>
        <w:widowControl/>
        <w:autoSpaceDE/>
        <w:autoSpaceDN/>
        <w:adjustRightInd/>
        <w:jc w:val="center"/>
        <w:rPr>
          <w:rFonts w:ascii="Arial" w:hAnsi="Arial" w:cs="Arial"/>
          <w:sz w:val="22"/>
          <w:szCs w:val="22"/>
          <w:lang w:val="es-ES"/>
        </w:rPr>
      </w:pPr>
    </w:p>
    <w:p w14:paraId="2C3AC2CE" w14:textId="0E138483" w:rsidR="00CA0FB0" w:rsidRPr="009550BF" w:rsidRDefault="00CA0FB0" w:rsidP="001E4035">
      <w:pPr>
        <w:pStyle w:val="p1"/>
        <w:numPr>
          <w:ilvl w:val="0"/>
          <w:numId w:val="13"/>
        </w:numPr>
        <w:ind w:left="360"/>
        <w:jc w:val="both"/>
        <w:rPr>
          <w:rFonts w:ascii="Arial" w:eastAsia="Times New Roman" w:hAnsi="Arial" w:cs="Arial"/>
          <w:sz w:val="22"/>
          <w:szCs w:val="22"/>
          <w:lang w:val="es-ES"/>
        </w:rPr>
      </w:pPr>
      <w:r w:rsidRPr="009550BF">
        <w:rPr>
          <w:rFonts w:ascii="Arial" w:eastAsia="Times New Roman" w:hAnsi="Arial" w:cs="Arial"/>
          <w:i/>
          <w:sz w:val="22"/>
          <w:szCs w:val="22"/>
          <w:lang w:val="es-ES"/>
        </w:rPr>
        <w:t>Hace un llamamiento</w:t>
      </w:r>
      <w:r w:rsidRPr="009550BF">
        <w:rPr>
          <w:rFonts w:ascii="Arial" w:eastAsia="Times New Roman" w:hAnsi="Arial" w:cs="Arial"/>
          <w:sz w:val="22"/>
          <w:szCs w:val="22"/>
          <w:lang w:val="es-ES"/>
        </w:rPr>
        <w:t xml:space="preserve"> a las Partes para que:</w:t>
      </w:r>
    </w:p>
    <w:p w14:paraId="655034FF" w14:textId="77777777" w:rsidR="00CA0FB0" w:rsidRPr="009550BF" w:rsidRDefault="00CA0FB0" w:rsidP="005503DF">
      <w:pPr>
        <w:pStyle w:val="p1"/>
        <w:jc w:val="both"/>
        <w:rPr>
          <w:rFonts w:ascii="Arial" w:eastAsia="Times New Roman" w:hAnsi="Arial" w:cs="Arial"/>
          <w:sz w:val="22"/>
          <w:szCs w:val="22"/>
          <w:lang w:val="es-ES"/>
        </w:rPr>
      </w:pPr>
    </w:p>
    <w:p w14:paraId="510E0482" w14:textId="10F7E6EE"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En los casos en que sea viable y proceda, apliquen un proceso de vigilancia con el fin de evaluar las consecuencias ambientales acumulativas de la contaminación por hidrocarburos en las especies migratorias;</w:t>
      </w:r>
    </w:p>
    <w:p w14:paraId="198F963F" w14:textId="77777777" w:rsidR="001E4035" w:rsidRPr="009550BF" w:rsidRDefault="001E4035" w:rsidP="001E4035">
      <w:pPr>
        <w:pStyle w:val="ListParagraph"/>
        <w:widowControl/>
        <w:autoSpaceDE/>
        <w:autoSpaceDN/>
        <w:adjustRightInd/>
        <w:ind w:left="1440" w:hanging="720"/>
        <w:jc w:val="both"/>
        <w:rPr>
          <w:rFonts w:ascii="Arial" w:hAnsi="Arial" w:cs="Arial"/>
          <w:sz w:val="22"/>
          <w:szCs w:val="22"/>
          <w:lang w:val="es-ES"/>
        </w:rPr>
      </w:pPr>
    </w:p>
    <w:p w14:paraId="21CFE252" w14:textId="3483A0CB"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elaboren, apliquen y, en los casos en que sea necesario, refuercen la legislación en materia de protección ambiental de amplio alcance;</w:t>
      </w:r>
    </w:p>
    <w:p w14:paraId="4CF07211" w14:textId="77777777" w:rsidR="001E4035" w:rsidRPr="009550BF" w:rsidRDefault="001E4035" w:rsidP="001E4035">
      <w:pPr>
        <w:widowControl/>
        <w:autoSpaceDE/>
        <w:autoSpaceDN/>
        <w:adjustRightInd/>
        <w:jc w:val="both"/>
        <w:rPr>
          <w:rFonts w:ascii="Arial" w:hAnsi="Arial" w:cs="Arial"/>
          <w:sz w:val="22"/>
          <w:szCs w:val="22"/>
          <w:lang w:val="es-ES"/>
        </w:rPr>
      </w:pPr>
    </w:p>
    <w:p w14:paraId="3F2A1744" w14:textId="49B53784"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elaboren, apliquen, y en los casos en que sea necesario, refuercen medidas dirigidas a ejecutar esas leyes en el mar, en los sistemas de agua dulce y en tierra;</w:t>
      </w:r>
    </w:p>
    <w:p w14:paraId="1C0CCC0D" w14:textId="77777777" w:rsidR="001E4035" w:rsidRPr="009550BF" w:rsidRDefault="001E4035" w:rsidP="001E4035">
      <w:pPr>
        <w:widowControl/>
        <w:autoSpaceDE/>
        <w:autoSpaceDN/>
        <w:adjustRightInd/>
        <w:jc w:val="both"/>
        <w:rPr>
          <w:rFonts w:ascii="Arial" w:hAnsi="Arial" w:cs="Arial"/>
          <w:sz w:val="22"/>
          <w:szCs w:val="22"/>
          <w:lang w:val="es-ES"/>
        </w:rPr>
      </w:pPr>
    </w:p>
    <w:p w14:paraId="4CCB5D60" w14:textId="14DEAF37"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elaboren, apliquen y refuercen, cuando proceda, las medidas de preparación para responder ante los derrames de hidrocarburos, tales como instalaciones y personal capacitado;</w:t>
      </w:r>
    </w:p>
    <w:p w14:paraId="4DEA7950" w14:textId="77777777" w:rsidR="001E4035" w:rsidRPr="009550BF" w:rsidRDefault="001E4035" w:rsidP="001E4035">
      <w:pPr>
        <w:widowControl/>
        <w:autoSpaceDE/>
        <w:autoSpaceDN/>
        <w:adjustRightInd/>
        <w:jc w:val="both"/>
        <w:rPr>
          <w:rFonts w:ascii="Arial" w:hAnsi="Arial" w:cs="Arial"/>
          <w:sz w:val="22"/>
          <w:szCs w:val="22"/>
          <w:lang w:val="es-ES"/>
        </w:rPr>
      </w:pPr>
    </w:p>
    <w:p w14:paraId="30CA0544" w14:textId="1F118D8E"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en los casos en que proceda, apliquen directrices existentes y sigan elaborando otras directrices para el tratamiento de los animales silvestres afectados por los hidrocarburos con el fin de rehabilitar a los animales contaminados;</w:t>
      </w:r>
    </w:p>
    <w:p w14:paraId="49A5E368" w14:textId="77777777" w:rsidR="001E4035" w:rsidRPr="009550BF" w:rsidRDefault="001E4035" w:rsidP="001E4035">
      <w:pPr>
        <w:widowControl/>
        <w:autoSpaceDE/>
        <w:autoSpaceDN/>
        <w:adjustRightInd/>
        <w:jc w:val="both"/>
        <w:rPr>
          <w:rFonts w:ascii="Arial" w:hAnsi="Arial" w:cs="Arial"/>
          <w:sz w:val="22"/>
          <w:szCs w:val="22"/>
          <w:lang w:val="es-ES"/>
        </w:rPr>
      </w:pPr>
    </w:p>
    <w:p w14:paraId="5138CFED" w14:textId="06C12F56"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procuren modalidades de asociación apropiadas con la industria para hacer frente a la contaminación por hidrocarburos, aplicando plenamente el principio de que “el contaminador paga”; y</w:t>
      </w:r>
    </w:p>
    <w:p w14:paraId="6D4FB1E3" w14:textId="77777777" w:rsidR="001E4035" w:rsidRPr="009550BF" w:rsidRDefault="001E4035" w:rsidP="001E4035">
      <w:pPr>
        <w:widowControl/>
        <w:autoSpaceDE/>
        <w:autoSpaceDN/>
        <w:adjustRightInd/>
        <w:jc w:val="both"/>
        <w:rPr>
          <w:rFonts w:ascii="Arial" w:hAnsi="Arial" w:cs="Arial"/>
          <w:sz w:val="22"/>
          <w:szCs w:val="22"/>
          <w:lang w:val="es-ES"/>
        </w:rPr>
      </w:pPr>
    </w:p>
    <w:p w14:paraId="0B8DA938" w14:textId="0E9A861B" w:rsidR="00CA0FB0" w:rsidRPr="009550BF" w:rsidRDefault="00CA0FB0" w:rsidP="001E4035">
      <w:pPr>
        <w:pStyle w:val="ListParagraph"/>
        <w:widowControl/>
        <w:numPr>
          <w:ilvl w:val="0"/>
          <w:numId w:val="14"/>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tomen plenamente en cuenta el principio de precaución en la ubicación de las instalaciones para la explotación de los hidrocarburos y el movimiento de los tanques de hidrocarburos en relación con el hábitat de las especies migratorias; y</w:t>
      </w:r>
    </w:p>
    <w:p w14:paraId="54A16EF5" w14:textId="2764044E" w:rsidR="00CA0FB0" w:rsidRPr="009550BF" w:rsidRDefault="00CA0FB0" w:rsidP="005503DF">
      <w:pPr>
        <w:pStyle w:val="BodyTextIndent2"/>
        <w:tabs>
          <w:tab w:val="left" w:pos="709"/>
          <w:tab w:val="left" w:pos="1440"/>
        </w:tabs>
        <w:spacing w:after="0" w:line="240" w:lineRule="auto"/>
        <w:ind w:hanging="1440"/>
        <w:jc w:val="both"/>
        <w:rPr>
          <w:rFonts w:ascii="Arial" w:hAnsi="Arial" w:cs="Arial"/>
          <w:sz w:val="22"/>
          <w:szCs w:val="22"/>
          <w:u w:val="single"/>
          <w:lang w:val="es-ES"/>
        </w:rPr>
      </w:pPr>
      <w:r w:rsidRPr="009550BF">
        <w:rPr>
          <w:rFonts w:ascii="Arial" w:hAnsi="Arial" w:cs="Arial"/>
          <w:sz w:val="22"/>
          <w:szCs w:val="22"/>
          <w:lang w:val="es-ES"/>
        </w:rPr>
        <w:t xml:space="preserve"> </w:t>
      </w:r>
    </w:p>
    <w:p w14:paraId="49ED15A4" w14:textId="10373E1C" w:rsidR="00CA0FB0" w:rsidRPr="009550BF" w:rsidRDefault="00CA0FB0" w:rsidP="001E4035">
      <w:pPr>
        <w:pStyle w:val="p1"/>
        <w:numPr>
          <w:ilvl w:val="0"/>
          <w:numId w:val="13"/>
        </w:numPr>
        <w:ind w:left="360"/>
        <w:jc w:val="both"/>
        <w:rPr>
          <w:rFonts w:ascii="Arial" w:hAnsi="Arial" w:cs="Arial"/>
          <w:sz w:val="22"/>
          <w:szCs w:val="22"/>
          <w:lang w:val="es-ES"/>
        </w:rPr>
      </w:pPr>
      <w:r w:rsidRPr="009550BF">
        <w:rPr>
          <w:rFonts w:ascii="Arial" w:eastAsia="Times New Roman" w:hAnsi="Arial" w:cs="Arial"/>
          <w:i/>
          <w:sz w:val="22"/>
          <w:szCs w:val="22"/>
          <w:lang w:val="es-ES"/>
        </w:rPr>
        <w:t>Invita</w:t>
      </w:r>
      <w:r w:rsidRPr="009550BF">
        <w:rPr>
          <w:rFonts w:ascii="Arial" w:eastAsia="Times New Roman" w:hAnsi="Arial" w:cs="Arial"/>
          <w:sz w:val="22"/>
          <w:szCs w:val="22"/>
          <w:lang w:val="es-ES"/>
        </w:rPr>
        <w:t xml:space="preserve"> a todas las organizaciones y órganos pertinentes a escala internacional, regional y </w:t>
      </w:r>
      <w:r w:rsidRPr="009550BF">
        <w:rPr>
          <w:rFonts w:ascii="Arial" w:hAnsi="Arial" w:cs="Arial"/>
          <w:sz w:val="22"/>
          <w:szCs w:val="22"/>
          <w:lang w:val="es-ES"/>
        </w:rPr>
        <w:t>nacional, a que cooperen con la CMS en los esfuerzos dirigidos a prevenir la contaminación por hidrocarburos y reducir al mínimo las consecuencias negativas en las especies migratorias resultant</w:t>
      </w:r>
      <w:r w:rsidR="007F1BC6">
        <w:rPr>
          <w:rFonts w:ascii="Arial" w:hAnsi="Arial" w:cs="Arial"/>
          <w:sz w:val="22"/>
          <w:szCs w:val="22"/>
          <w:lang w:val="es-ES"/>
        </w:rPr>
        <w:t>e</w:t>
      </w:r>
      <w:r w:rsidRPr="009550BF">
        <w:rPr>
          <w:rFonts w:ascii="Arial" w:hAnsi="Arial" w:cs="Arial"/>
          <w:sz w:val="22"/>
          <w:szCs w:val="22"/>
          <w:lang w:val="es-ES"/>
        </w:rPr>
        <w:t>s de las emisiones de hidrocarburos crudos y refinados en el medio ambiente.</w:t>
      </w:r>
    </w:p>
    <w:p w14:paraId="70510C15" w14:textId="77777777" w:rsidR="0048197A" w:rsidRPr="009550BF" w:rsidRDefault="0048197A" w:rsidP="0048197A">
      <w:pPr>
        <w:rPr>
          <w:rFonts w:ascii="Arial" w:hAnsi="Arial" w:cs="Arial"/>
          <w:sz w:val="22"/>
          <w:szCs w:val="22"/>
          <w:lang w:val="es-ES"/>
        </w:rPr>
      </w:pPr>
    </w:p>
    <w:p w14:paraId="2266A19D" w14:textId="77777777" w:rsidR="00D80EC0" w:rsidRPr="009550BF" w:rsidRDefault="00D80EC0" w:rsidP="00D80EC0">
      <w:pPr>
        <w:jc w:val="both"/>
        <w:rPr>
          <w:rFonts w:ascii="Arial" w:hAnsi="Arial" w:cs="Arial"/>
          <w:sz w:val="22"/>
          <w:szCs w:val="22"/>
          <w:lang w:val="es-ES"/>
        </w:rPr>
      </w:pPr>
    </w:p>
    <w:p w14:paraId="5652CD77" w14:textId="77777777" w:rsidR="0079075D" w:rsidRPr="009550BF"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9550BF"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8CDC" w14:textId="77777777" w:rsidR="00BB11F5" w:rsidRDefault="00BB11F5">
      <w:r>
        <w:separator/>
      </w:r>
    </w:p>
  </w:endnote>
  <w:endnote w:type="continuationSeparator" w:id="0">
    <w:p w14:paraId="72CDE162" w14:textId="77777777" w:rsidR="00BB11F5" w:rsidRDefault="00BB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8DCC" w14:textId="0D4814F7" w:rsidR="00D931F9" w:rsidRPr="00922791" w:rsidRDefault="00D931F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F1BC6">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E080" w14:textId="428ECA9A" w:rsidR="00D931F9" w:rsidRPr="00922791" w:rsidRDefault="00D931F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F1BC6">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6059C966"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7F1BC6">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928E" w14:textId="77777777" w:rsidR="00BB11F5" w:rsidRDefault="00BB11F5">
      <w:r>
        <w:separator/>
      </w:r>
    </w:p>
  </w:footnote>
  <w:footnote w:type="continuationSeparator" w:id="0">
    <w:p w14:paraId="42E94F02" w14:textId="77777777" w:rsidR="00BB11F5" w:rsidRDefault="00BB11F5">
      <w:r>
        <w:continuationSeparator/>
      </w:r>
    </w:p>
  </w:footnote>
  <w:footnote w:id="1">
    <w:p w14:paraId="127312A2" w14:textId="77777777" w:rsidR="00E06293" w:rsidRPr="009550BF" w:rsidRDefault="00E06293" w:rsidP="00E06293">
      <w:pPr>
        <w:pStyle w:val="p1"/>
        <w:rPr>
          <w:rFonts w:ascii="Arial" w:eastAsia="Times New Roman" w:hAnsi="Arial" w:cs="Arial"/>
          <w:sz w:val="22"/>
          <w:szCs w:val="22"/>
          <w:lang w:val="es-ES"/>
        </w:rPr>
      </w:pPr>
      <w:r w:rsidRPr="009550BF">
        <w:rPr>
          <w:rStyle w:val="FootnoteReference"/>
          <w:rFonts w:ascii="Arial" w:hAnsi="Arial" w:cs="Arial"/>
          <w:sz w:val="22"/>
          <w:szCs w:val="22"/>
          <w:lang w:val="es-ES"/>
        </w:rPr>
        <w:t>*</w:t>
      </w:r>
      <w:r w:rsidRPr="009550BF">
        <w:rPr>
          <w:rFonts w:ascii="Arial" w:hAnsi="Arial" w:cs="Arial"/>
          <w:sz w:val="22"/>
          <w:szCs w:val="22"/>
          <w:lang w:val="es-ES"/>
        </w:rPr>
        <w:t xml:space="preserve"> </w:t>
      </w:r>
      <w:r w:rsidRPr="009550BF">
        <w:rPr>
          <w:rFonts w:ascii="Arial" w:eastAsia="Times New Roman" w:hAnsi="Arial" w:cs="Arial"/>
          <w:sz w:val="22"/>
          <w:szCs w:val="22"/>
          <w:lang w:val="es-ES"/>
        </w:rPr>
        <w:t> </w:t>
      </w:r>
      <w:r w:rsidRPr="009550BF">
        <w:rPr>
          <w:rFonts w:ascii="Arial" w:eastAsia="Times New Roman" w:hAnsi="Arial" w:cs="Arial"/>
          <w:sz w:val="18"/>
          <w:szCs w:val="18"/>
          <w:lang w:val="es-ES"/>
        </w:rPr>
        <w:t>El texto original de esta resolución, examinada por la Conferencia de las Partes, llevó el número 7.11</w:t>
      </w:r>
      <w:r w:rsidRPr="009550BF">
        <w:rPr>
          <w:rFonts w:ascii="Arial" w:hAnsi="Arial" w:cs="Arial"/>
          <w:sz w:val="18"/>
          <w:szCs w:val="18"/>
          <w:lang w:val="es-ES"/>
        </w:rPr>
        <w:t>.</w:t>
      </w:r>
    </w:p>
  </w:footnote>
  <w:footnote w:id="2">
    <w:p w14:paraId="0A2799C5" w14:textId="6CB18441" w:rsidR="000E1475" w:rsidRPr="009550BF" w:rsidRDefault="000E1475" w:rsidP="008038C7">
      <w:pPr>
        <w:pStyle w:val="p1"/>
        <w:rPr>
          <w:rFonts w:ascii="Arial" w:eastAsia="Times New Roman" w:hAnsi="Arial" w:cs="Arial"/>
          <w:sz w:val="22"/>
          <w:szCs w:val="22"/>
          <w:lang w:val="es-ES"/>
        </w:rPr>
      </w:pPr>
      <w:r w:rsidRPr="009550BF">
        <w:rPr>
          <w:rStyle w:val="FootnoteReference"/>
          <w:rFonts w:ascii="Arial" w:hAnsi="Arial" w:cs="Arial"/>
          <w:sz w:val="22"/>
          <w:szCs w:val="22"/>
          <w:lang w:val="es-ES"/>
        </w:rPr>
        <w:t>*</w:t>
      </w:r>
      <w:r w:rsidRPr="009550BF">
        <w:rPr>
          <w:rFonts w:ascii="Arial" w:hAnsi="Arial" w:cs="Arial"/>
          <w:sz w:val="22"/>
          <w:szCs w:val="22"/>
          <w:lang w:val="es-ES"/>
        </w:rPr>
        <w:t xml:space="preserve"> </w:t>
      </w:r>
      <w:r w:rsidR="008038C7" w:rsidRPr="009550BF">
        <w:rPr>
          <w:rFonts w:ascii="Arial" w:eastAsia="Times New Roman" w:hAnsi="Arial" w:cs="Arial"/>
          <w:sz w:val="22"/>
          <w:szCs w:val="22"/>
          <w:lang w:val="es-ES"/>
        </w:rPr>
        <w:t> El texto original de esta resolución, examinada por la Conferencia de las Partes, llevó el número 7.11</w:t>
      </w:r>
      <w:r w:rsidRPr="009550BF">
        <w:rPr>
          <w:rFonts w:ascii="Arial" w:hAnsi="Arial" w:cs="Arial"/>
          <w:sz w:val="22"/>
          <w:szCs w:val="22"/>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D234" w14:textId="77777777" w:rsidR="00D931F9" w:rsidRPr="00922791" w:rsidRDefault="00D931F9"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CF1A" w14:textId="77777777" w:rsidR="00D931F9" w:rsidRPr="00922791" w:rsidRDefault="00D931F9"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228BEB05" w14:textId="77777777" w:rsidR="00D931F9" w:rsidRPr="00354A9C" w:rsidRDefault="00D931F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3265" w14:textId="3B90DD2E" w:rsidR="00D931F9" w:rsidRDefault="009550BF" w:rsidP="00894D19">
    <w:pPr>
      <w:pStyle w:val="Header"/>
    </w:pPr>
    <w:r w:rsidRPr="003E5C97">
      <w:rPr>
        <w:noProof/>
        <w:szCs w:val="24"/>
        <w:lang w:val="en-US"/>
      </w:rPr>
      <w:drawing>
        <wp:anchor distT="0" distB="0" distL="114300" distR="114300" simplePos="0" relativeHeight="251664384" behindDoc="1" locked="0" layoutInCell="1" allowOverlap="1" wp14:anchorId="3F8210D7" wp14:editId="1BEBE061">
          <wp:simplePos x="0" y="0"/>
          <wp:positionH relativeFrom="column">
            <wp:posOffset>-158115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1F9">
      <w:rPr>
        <w:noProof/>
        <w:lang w:val="en-US"/>
      </w:rPr>
      <w:drawing>
        <wp:anchor distT="0" distB="0" distL="114300" distR="114300" simplePos="0" relativeHeight="251662336" behindDoc="1" locked="0" layoutInCell="1" allowOverlap="1" wp14:anchorId="7E59A31F" wp14:editId="4FD3EA7A">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F0EDA" w14:textId="77777777" w:rsidR="00D931F9" w:rsidRDefault="00D93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D009B72" w:rsidR="000669DF" w:rsidRPr="00922791" w:rsidRDefault="009550B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E11F73">
      <w:rPr>
        <w:rFonts w:ascii="Arial" w:hAnsi="Arial" w:cs="Arial"/>
        <w:b w:val="0"/>
        <w:i/>
        <w:sz w:val="18"/>
        <w:szCs w:val="18"/>
        <w:lang w:val="en-US"/>
      </w:rPr>
      <w:t>21.1.9</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1002A7">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A1D1C16" w:rsidR="000669DF" w:rsidRPr="00922791" w:rsidRDefault="009550B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1002A7">
      <w:rPr>
        <w:rFonts w:ascii="Arial" w:hAnsi="Arial" w:cs="Arial"/>
        <w:b w:val="0"/>
        <w:i/>
        <w:sz w:val="18"/>
        <w:szCs w:val="18"/>
        <w:lang w:val="en-US"/>
      </w:rPr>
      <w:t>/</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E11F73">
      <w:rPr>
        <w:rFonts w:ascii="Arial" w:hAnsi="Arial" w:cs="Arial"/>
        <w:b w:val="0"/>
        <w:i/>
        <w:sz w:val="18"/>
        <w:szCs w:val="18"/>
        <w:lang w:val="en-US"/>
      </w:rPr>
      <w:t>21.1.9</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1002A7">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32A1F09" w:rsidR="000669DF" w:rsidRPr="00922791" w:rsidRDefault="009550BF" w:rsidP="009550B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E11F73">
      <w:rPr>
        <w:rFonts w:ascii="Arial" w:hAnsi="Arial" w:cs="Arial"/>
        <w:b w:val="0"/>
        <w:i/>
        <w:sz w:val="18"/>
        <w:szCs w:val="18"/>
        <w:lang w:val="en-US"/>
      </w:rPr>
      <w:t>21.1.9</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1002A7">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454AA5B" w:rsidR="000669DF" w:rsidRPr="00922791" w:rsidRDefault="009550BF" w:rsidP="007F1BC6">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E11F73">
      <w:rPr>
        <w:rFonts w:ascii="Arial" w:hAnsi="Arial" w:cs="Arial"/>
        <w:b w:val="0"/>
        <w:i/>
        <w:sz w:val="18"/>
        <w:szCs w:val="18"/>
        <w:lang w:val="en-US"/>
      </w:rPr>
      <w:t>21.1.9</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1002A7">
      <w:rPr>
        <w:rFonts w:ascii="Arial" w:hAnsi="Arial" w:cs="Arial"/>
        <w:b w:val="0"/>
        <w:i/>
        <w:sz w:val="18"/>
        <w:szCs w:val="18"/>
        <w:lang w:val="en-US"/>
      </w:rPr>
      <w:t>o</w:t>
    </w:r>
    <w:proofErr w:type="spellEnd"/>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34EAEDF"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5F6959">
      <w:rPr>
        <w:rFonts w:ascii="Arial" w:hAnsi="Arial" w:cs="Arial"/>
        <w:b w:val="0"/>
        <w:i/>
        <w:sz w:val="18"/>
        <w:szCs w:val="18"/>
        <w:lang w:val="en-US"/>
      </w:rPr>
      <w:t>.</w:t>
    </w:r>
    <w:r w:rsidR="00E11F73">
      <w:rPr>
        <w:rFonts w:ascii="Arial" w:hAnsi="Arial" w:cs="Arial"/>
        <w:b w:val="0"/>
        <w:i/>
        <w:sz w:val="18"/>
        <w:szCs w:val="18"/>
        <w:lang w:val="en-US"/>
      </w:rPr>
      <w:t>21.1.9</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84AF7D7" w:rsidR="000669DF" w:rsidRPr="00922791" w:rsidRDefault="009550B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E11F73">
      <w:rPr>
        <w:rFonts w:ascii="Arial" w:hAnsi="Arial" w:cs="Arial"/>
        <w:b w:val="0"/>
        <w:i/>
        <w:sz w:val="18"/>
        <w:szCs w:val="18"/>
        <w:lang w:val="en-US"/>
      </w:rPr>
      <w:t>21.1.9</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1002A7">
      <w:rPr>
        <w:rFonts w:ascii="Arial" w:hAnsi="Arial" w:cs="Arial"/>
        <w:b w:val="0"/>
        <w:i/>
        <w:sz w:val="18"/>
        <w:szCs w:val="18"/>
        <w:lang w:val="en-US"/>
      </w:rPr>
      <w:t>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1621BC2"/>
    <w:multiLevelType w:val="hybridMultilevel"/>
    <w:tmpl w:val="9098B5EC"/>
    <w:lvl w:ilvl="0" w:tplc="A238B62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37CD"/>
    <w:multiLevelType w:val="hybridMultilevel"/>
    <w:tmpl w:val="AE90474E"/>
    <w:lvl w:ilvl="0" w:tplc="DE82E56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num>
  <w:num w:numId="3">
    <w:abstractNumId w:val="9"/>
  </w:num>
  <w:num w:numId="4">
    <w:abstractNumId w:val="2"/>
  </w:num>
  <w:num w:numId="5">
    <w:abstractNumId w:val="1"/>
  </w:num>
  <w:num w:numId="6">
    <w:abstractNumId w:val="10"/>
  </w:num>
  <w:num w:numId="7">
    <w:abstractNumId w:val="3"/>
  </w:num>
  <w:num w:numId="8">
    <w:abstractNumId w:val="8"/>
  </w:num>
  <w:num w:numId="9">
    <w:abstractNumId w:val="12"/>
  </w:num>
  <w:num w:numId="10">
    <w:abstractNumId w:val="5"/>
  </w:num>
  <w:num w:numId="11">
    <w:abstractNumId w:val="13"/>
  </w:num>
  <w:num w:numId="12">
    <w:abstractNumId w:val="6"/>
  </w:num>
  <w:num w:numId="13">
    <w:abstractNumId w:val="7"/>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D09B3"/>
    <w:rsid w:val="000E01C1"/>
    <w:rsid w:val="000E1475"/>
    <w:rsid w:val="000F0B93"/>
    <w:rsid w:val="000F1156"/>
    <w:rsid w:val="000F1281"/>
    <w:rsid w:val="000F52BA"/>
    <w:rsid w:val="001002A7"/>
    <w:rsid w:val="001151A3"/>
    <w:rsid w:val="001171CE"/>
    <w:rsid w:val="001245DF"/>
    <w:rsid w:val="00130BFD"/>
    <w:rsid w:val="001419C7"/>
    <w:rsid w:val="00150AC4"/>
    <w:rsid w:val="00156159"/>
    <w:rsid w:val="00162D88"/>
    <w:rsid w:val="00166ABA"/>
    <w:rsid w:val="001743FD"/>
    <w:rsid w:val="001764E6"/>
    <w:rsid w:val="001808F1"/>
    <w:rsid w:val="0018792D"/>
    <w:rsid w:val="00194323"/>
    <w:rsid w:val="001A33B6"/>
    <w:rsid w:val="001B5BD5"/>
    <w:rsid w:val="001C6038"/>
    <w:rsid w:val="001E4035"/>
    <w:rsid w:val="001F60A1"/>
    <w:rsid w:val="00200A67"/>
    <w:rsid w:val="00201F88"/>
    <w:rsid w:val="00202332"/>
    <w:rsid w:val="002210F4"/>
    <w:rsid w:val="002304BA"/>
    <w:rsid w:val="00234510"/>
    <w:rsid w:val="00254721"/>
    <w:rsid w:val="00262102"/>
    <w:rsid w:val="00263159"/>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66CDA"/>
    <w:rsid w:val="00372347"/>
    <w:rsid w:val="003779D4"/>
    <w:rsid w:val="00377A55"/>
    <w:rsid w:val="00382398"/>
    <w:rsid w:val="003909E4"/>
    <w:rsid w:val="003A3E30"/>
    <w:rsid w:val="003A4AAC"/>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B6CFD"/>
    <w:rsid w:val="004C204D"/>
    <w:rsid w:val="004C5673"/>
    <w:rsid w:val="004D0436"/>
    <w:rsid w:val="004D0936"/>
    <w:rsid w:val="004F243D"/>
    <w:rsid w:val="004F3D8D"/>
    <w:rsid w:val="005076F1"/>
    <w:rsid w:val="00512B91"/>
    <w:rsid w:val="005158EB"/>
    <w:rsid w:val="0052082F"/>
    <w:rsid w:val="00542FCC"/>
    <w:rsid w:val="0055762E"/>
    <w:rsid w:val="00565445"/>
    <w:rsid w:val="00575334"/>
    <w:rsid w:val="00593736"/>
    <w:rsid w:val="005A1C56"/>
    <w:rsid w:val="005A3181"/>
    <w:rsid w:val="005B0F06"/>
    <w:rsid w:val="005B6141"/>
    <w:rsid w:val="005B6BD1"/>
    <w:rsid w:val="005C3F15"/>
    <w:rsid w:val="005D1CC9"/>
    <w:rsid w:val="005F3989"/>
    <w:rsid w:val="005F4303"/>
    <w:rsid w:val="005F6959"/>
    <w:rsid w:val="005F72E2"/>
    <w:rsid w:val="00601B52"/>
    <w:rsid w:val="0060280B"/>
    <w:rsid w:val="00604422"/>
    <w:rsid w:val="0060754E"/>
    <w:rsid w:val="00614DB8"/>
    <w:rsid w:val="00651341"/>
    <w:rsid w:val="006815B2"/>
    <w:rsid w:val="00682B31"/>
    <w:rsid w:val="006864E1"/>
    <w:rsid w:val="00691001"/>
    <w:rsid w:val="00694183"/>
    <w:rsid w:val="006B1037"/>
    <w:rsid w:val="006E56AD"/>
    <w:rsid w:val="006E5763"/>
    <w:rsid w:val="006E5A06"/>
    <w:rsid w:val="006F056B"/>
    <w:rsid w:val="00702E36"/>
    <w:rsid w:val="007101BB"/>
    <w:rsid w:val="00713308"/>
    <w:rsid w:val="00727E01"/>
    <w:rsid w:val="00730A35"/>
    <w:rsid w:val="00752E19"/>
    <w:rsid w:val="00757614"/>
    <w:rsid w:val="007728B4"/>
    <w:rsid w:val="0077622E"/>
    <w:rsid w:val="00777FE4"/>
    <w:rsid w:val="00780677"/>
    <w:rsid w:val="0079075D"/>
    <w:rsid w:val="007910DD"/>
    <w:rsid w:val="007A614F"/>
    <w:rsid w:val="007C1468"/>
    <w:rsid w:val="007C41D7"/>
    <w:rsid w:val="007F16FB"/>
    <w:rsid w:val="007F1BBA"/>
    <w:rsid w:val="007F1BC6"/>
    <w:rsid w:val="008038C7"/>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E7DFB"/>
    <w:rsid w:val="008F7327"/>
    <w:rsid w:val="0090059C"/>
    <w:rsid w:val="009076C8"/>
    <w:rsid w:val="0091145D"/>
    <w:rsid w:val="00915BBE"/>
    <w:rsid w:val="00921D62"/>
    <w:rsid w:val="00922791"/>
    <w:rsid w:val="009228C1"/>
    <w:rsid w:val="00927CD6"/>
    <w:rsid w:val="00933572"/>
    <w:rsid w:val="009363C7"/>
    <w:rsid w:val="009550BF"/>
    <w:rsid w:val="00972D36"/>
    <w:rsid w:val="00977008"/>
    <w:rsid w:val="00980406"/>
    <w:rsid w:val="009935D6"/>
    <w:rsid w:val="009A2C8F"/>
    <w:rsid w:val="009A7B65"/>
    <w:rsid w:val="009C2B4C"/>
    <w:rsid w:val="009C6723"/>
    <w:rsid w:val="009D2AD6"/>
    <w:rsid w:val="009D3A07"/>
    <w:rsid w:val="009D4711"/>
    <w:rsid w:val="009D5DA6"/>
    <w:rsid w:val="009E3A84"/>
    <w:rsid w:val="009E7ACC"/>
    <w:rsid w:val="009F450E"/>
    <w:rsid w:val="009F54DA"/>
    <w:rsid w:val="00A01401"/>
    <w:rsid w:val="00A06984"/>
    <w:rsid w:val="00A1324E"/>
    <w:rsid w:val="00A27BE3"/>
    <w:rsid w:val="00A339B9"/>
    <w:rsid w:val="00A371C4"/>
    <w:rsid w:val="00A40EDF"/>
    <w:rsid w:val="00A568DF"/>
    <w:rsid w:val="00A701B6"/>
    <w:rsid w:val="00A73A79"/>
    <w:rsid w:val="00A7478D"/>
    <w:rsid w:val="00A93C52"/>
    <w:rsid w:val="00AA1CCA"/>
    <w:rsid w:val="00AA7368"/>
    <w:rsid w:val="00AB1861"/>
    <w:rsid w:val="00AB4FF9"/>
    <w:rsid w:val="00AE7B21"/>
    <w:rsid w:val="00AF1980"/>
    <w:rsid w:val="00AF2021"/>
    <w:rsid w:val="00B471BD"/>
    <w:rsid w:val="00B50C2D"/>
    <w:rsid w:val="00B61E4C"/>
    <w:rsid w:val="00B64904"/>
    <w:rsid w:val="00B77EEA"/>
    <w:rsid w:val="00B948DD"/>
    <w:rsid w:val="00BA4000"/>
    <w:rsid w:val="00BA60CE"/>
    <w:rsid w:val="00BB11F5"/>
    <w:rsid w:val="00BC5607"/>
    <w:rsid w:val="00BE0D1D"/>
    <w:rsid w:val="00BE2448"/>
    <w:rsid w:val="00BE24D4"/>
    <w:rsid w:val="00BF2BE7"/>
    <w:rsid w:val="00BF71A1"/>
    <w:rsid w:val="00C0199D"/>
    <w:rsid w:val="00C05102"/>
    <w:rsid w:val="00C1004B"/>
    <w:rsid w:val="00C13FA6"/>
    <w:rsid w:val="00C169ED"/>
    <w:rsid w:val="00C44645"/>
    <w:rsid w:val="00C5172D"/>
    <w:rsid w:val="00C5484D"/>
    <w:rsid w:val="00C618F2"/>
    <w:rsid w:val="00C73207"/>
    <w:rsid w:val="00C7602A"/>
    <w:rsid w:val="00C82ED9"/>
    <w:rsid w:val="00C87D68"/>
    <w:rsid w:val="00C9281B"/>
    <w:rsid w:val="00CA0FB0"/>
    <w:rsid w:val="00CA367A"/>
    <w:rsid w:val="00CB1D26"/>
    <w:rsid w:val="00CC4C21"/>
    <w:rsid w:val="00CC57AD"/>
    <w:rsid w:val="00CD2F28"/>
    <w:rsid w:val="00CE0202"/>
    <w:rsid w:val="00CE5B83"/>
    <w:rsid w:val="00CF6EDD"/>
    <w:rsid w:val="00D05922"/>
    <w:rsid w:val="00D42AE1"/>
    <w:rsid w:val="00D54E33"/>
    <w:rsid w:val="00D605A4"/>
    <w:rsid w:val="00D61B13"/>
    <w:rsid w:val="00D6261C"/>
    <w:rsid w:val="00D7746A"/>
    <w:rsid w:val="00D80EC0"/>
    <w:rsid w:val="00D838FE"/>
    <w:rsid w:val="00D8406F"/>
    <w:rsid w:val="00D859C7"/>
    <w:rsid w:val="00D9021F"/>
    <w:rsid w:val="00D931F9"/>
    <w:rsid w:val="00DA1080"/>
    <w:rsid w:val="00DA12C2"/>
    <w:rsid w:val="00DB30A6"/>
    <w:rsid w:val="00DB4517"/>
    <w:rsid w:val="00DC71B1"/>
    <w:rsid w:val="00DD6A9E"/>
    <w:rsid w:val="00DE60EC"/>
    <w:rsid w:val="00E06293"/>
    <w:rsid w:val="00E11F73"/>
    <w:rsid w:val="00E23367"/>
    <w:rsid w:val="00E31B92"/>
    <w:rsid w:val="00E475D4"/>
    <w:rsid w:val="00E60016"/>
    <w:rsid w:val="00E74D1C"/>
    <w:rsid w:val="00E8776E"/>
    <w:rsid w:val="00E9237A"/>
    <w:rsid w:val="00EA0B88"/>
    <w:rsid w:val="00EB2285"/>
    <w:rsid w:val="00EC4294"/>
    <w:rsid w:val="00EC681E"/>
    <w:rsid w:val="00ED02D3"/>
    <w:rsid w:val="00ED5E31"/>
    <w:rsid w:val="00EE64C1"/>
    <w:rsid w:val="00F05AA0"/>
    <w:rsid w:val="00F061CB"/>
    <w:rsid w:val="00F17035"/>
    <w:rsid w:val="00F24050"/>
    <w:rsid w:val="00F248AA"/>
    <w:rsid w:val="00F31539"/>
    <w:rsid w:val="00F444EC"/>
    <w:rsid w:val="00F45FE3"/>
    <w:rsid w:val="00F54D03"/>
    <w:rsid w:val="00F6347A"/>
    <w:rsid w:val="00F7503A"/>
    <w:rsid w:val="00F81FEF"/>
    <w:rsid w:val="00F9213D"/>
    <w:rsid w:val="00F9407E"/>
    <w:rsid w:val="00F978B9"/>
    <w:rsid w:val="00FA0A7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apple-converted-space">
    <w:name w:val="apple-converted-space"/>
    <w:basedOn w:val="DefaultParagraphFont"/>
    <w:rsid w:val="0080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164">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3454622">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59611199">
      <w:bodyDiv w:val="1"/>
      <w:marLeft w:val="0"/>
      <w:marRight w:val="0"/>
      <w:marTop w:val="0"/>
      <w:marBottom w:val="0"/>
      <w:divBdr>
        <w:top w:val="none" w:sz="0" w:space="0" w:color="auto"/>
        <w:left w:val="none" w:sz="0" w:space="0" w:color="auto"/>
        <w:bottom w:val="none" w:sz="0" w:space="0" w:color="auto"/>
        <w:right w:val="none" w:sz="0" w:space="0" w:color="auto"/>
      </w:divBdr>
    </w:div>
    <w:div w:id="496001054">
      <w:bodyDiv w:val="1"/>
      <w:marLeft w:val="0"/>
      <w:marRight w:val="0"/>
      <w:marTop w:val="0"/>
      <w:marBottom w:val="0"/>
      <w:divBdr>
        <w:top w:val="none" w:sz="0" w:space="0" w:color="auto"/>
        <w:left w:val="none" w:sz="0" w:space="0" w:color="auto"/>
        <w:bottom w:val="none" w:sz="0" w:space="0" w:color="auto"/>
        <w:right w:val="none" w:sz="0" w:space="0" w:color="auto"/>
      </w:divBdr>
    </w:div>
    <w:div w:id="501241272">
      <w:bodyDiv w:val="1"/>
      <w:marLeft w:val="0"/>
      <w:marRight w:val="0"/>
      <w:marTop w:val="0"/>
      <w:marBottom w:val="0"/>
      <w:divBdr>
        <w:top w:val="none" w:sz="0" w:space="0" w:color="auto"/>
        <w:left w:val="none" w:sz="0" w:space="0" w:color="auto"/>
        <w:bottom w:val="none" w:sz="0" w:space="0" w:color="auto"/>
        <w:right w:val="none" w:sz="0" w:space="0" w:color="auto"/>
      </w:divBdr>
    </w:div>
    <w:div w:id="586578967">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870848022">
      <w:bodyDiv w:val="1"/>
      <w:marLeft w:val="0"/>
      <w:marRight w:val="0"/>
      <w:marTop w:val="0"/>
      <w:marBottom w:val="0"/>
      <w:divBdr>
        <w:top w:val="none" w:sz="0" w:space="0" w:color="auto"/>
        <w:left w:val="none" w:sz="0" w:space="0" w:color="auto"/>
        <w:bottom w:val="none" w:sz="0" w:space="0" w:color="auto"/>
        <w:right w:val="none" w:sz="0" w:space="0" w:color="auto"/>
      </w:divBdr>
    </w:div>
    <w:div w:id="1021128574">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0516619">
      <w:bodyDiv w:val="1"/>
      <w:marLeft w:val="0"/>
      <w:marRight w:val="0"/>
      <w:marTop w:val="0"/>
      <w:marBottom w:val="0"/>
      <w:divBdr>
        <w:top w:val="none" w:sz="0" w:space="0" w:color="auto"/>
        <w:left w:val="none" w:sz="0" w:space="0" w:color="auto"/>
        <w:bottom w:val="none" w:sz="0" w:space="0" w:color="auto"/>
        <w:right w:val="none" w:sz="0" w:space="0" w:color="auto"/>
      </w:divBdr>
    </w:div>
    <w:div w:id="1442794762">
      <w:bodyDiv w:val="1"/>
      <w:marLeft w:val="0"/>
      <w:marRight w:val="0"/>
      <w:marTop w:val="0"/>
      <w:marBottom w:val="0"/>
      <w:divBdr>
        <w:top w:val="none" w:sz="0" w:space="0" w:color="auto"/>
        <w:left w:val="none" w:sz="0" w:space="0" w:color="auto"/>
        <w:bottom w:val="none" w:sz="0" w:space="0" w:color="auto"/>
        <w:right w:val="none" w:sz="0" w:space="0" w:color="auto"/>
      </w:divBdr>
    </w:div>
    <w:div w:id="1447847028">
      <w:bodyDiv w:val="1"/>
      <w:marLeft w:val="0"/>
      <w:marRight w:val="0"/>
      <w:marTop w:val="0"/>
      <w:marBottom w:val="0"/>
      <w:divBdr>
        <w:top w:val="none" w:sz="0" w:space="0" w:color="auto"/>
        <w:left w:val="none" w:sz="0" w:space="0" w:color="auto"/>
        <w:bottom w:val="none" w:sz="0" w:space="0" w:color="auto"/>
        <w:right w:val="none" w:sz="0" w:space="0" w:color="auto"/>
      </w:divBdr>
    </w:div>
    <w:div w:id="1505824476">
      <w:bodyDiv w:val="1"/>
      <w:marLeft w:val="0"/>
      <w:marRight w:val="0"/>
      <w:marTop w:val="0"/>
      <w:marBottom w:val="0"/>
      <w:divBdr>
        <w:top w:val="none" w:sz="0" w:space="0" w:color="auto"/>
        <w:left w:val="none" w:sz="0" w:space="0" w:color="auto"/>
        <w:bottom w:val="none" w:sz="0" w:space="0" w:color="auto"/>
        <w:right w:val="none" w:sz="0" w:space="0" w:color="auto"/>
      </w:divBdr>
    </w:div>
    <w:div w:id="1572041977">
      <w:bodyDiv w:val="1"/>
      <w:marLeft w:val="0"/>
      <w:marRight w:val="0"/>
      <w:marTop w:val="0"/>
      <w:marBottom w:val="0"/>
      <w:divBdr>
        <w:top w:val="none" w:sz="0" w:space="0" w:color="auto"/>
        <w:left w:val="none" w:sz="0" w:space="0" w:color="auto"/>
        <w:bottom w:val="none" w:sz="0" w:space="0" w:color="auto"/>
        <w:right w:val="none" w:sz="0" w:space="0" w:color="auto"/>
      </w:divBdr>
    </w:div>
    <w:div w:id="1624339078">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88159017">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55156642">
      <w:bodyDiv w:val="1"/>
      <w:marLeft w:val="0"/>
      <w:marRight w:val="0"/>
      <w:marTop w:val="0"/>
      <w:marBottom w:val="0"/>
      <w:divBdr>
        <w:top w:val="none" w:sz="0" w:space="0" w:color="auto"/>
        <w:left w:val="none" w:sz="0" w:space="0" w:color="auto"/>
        <w:bottom w:val="none" w:sz="0" w:space="0" w:color="auto"/>
        <w:right w:val="none" w:sz="0" w:space="0" w:color="auto"/>
      </w:divBdr>
    </w:div>
    <w:div w:id="21228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4DE916-071D-4610-B775-00D9A6B9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1837</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2017-06-22T14:54:00Z</dcterms:created>
  <dcterms:modified xsi:type="dcterms:W3CDTF">2017-06-22T14:54:00Z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