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8C84E" w14:textId="77777777" w:rsidR="00682B31" w:rsidRPr="00F165BD" w:rsidRDefault="00682B31" w:rsidP="00682B31">
      <w:pPr>
        <w:tabs>
          <w:tab w:val="left" w:pos="-1057"/>
          <w:tab w:val="left" w:pos="-720"/>
        </w:tabs>
        <w:ind w:left="-90"/>
        <w:rPr>
          <w:spacing w:val="-8"/>
          <w:sz w:val="12"/>
          <w:szCs w:val="12"/>
          <w:lang w:val="fr-FR"/>
        </w:rPr>
      </w:pPr>
    </w:p>
    <w:p w14:paraId="62191BFF" w14:textId="77777777" w:rsidR="00260772" w:rsidRPr="0012213E" w:rsidRDefault="00260772" w:rsidP="003A0D8F">
      <w:pPr>
        <w:tabs>
          <w:tab w:val="left" w:pos="-1057"/>
          <w:tab w:val="left" w:pos="-720"/>
        </w:tabs>
        <w:rPr>
          <w:lang w:val="fr-FR"/>
        </w:rPr>
      </w:pPr>
      <w:r w:rsidRPr="0012213E">
        <w:rPr>
          <w:lang w:val="fr-FR"/>
        </w:rPr>
        <w:t>12</w:t>
      </w:r>
      <w:r w:rsidRPr="0012213E">
        <w:rPr>
          <w:vertAlign w:val="superscript"/>
          <w:lang w:val="fr-FR"/>
        </w:rPr>
        <w:t>ème</w:t>
      </w:r>
      <w:r w:rsidRPr="0012213E">
        <w:rPr>
          <w:lang w:val="fr-FR"/>
        </w:rPr>
        <w:t xml:space="preserve"> SESSION DE LA CONFÉRENCE DES PARTIES</w:t>
      </w:r>
    </w:p>
    <w:p w14:paraId="7853E04C" w14:textId="77777777" w:rsidR="00260772" w:rsidRPr="0012213E" w:rsidRDefault="00260772" w:rsidP="003A0D8F">
      <w:pPr>
        <w:pStyle w:val="Heading2"/>
        <w:keepNext w:val="0"/>
        <w:spacing w:line="228" w:lineRule="auto"/>
        <w:rPr>
          <w:b w:val="0"/>
          <w:bCs w:val="0"/>
          <w:sz w:val="22"/>
          <w:lang w:val="fr-FR"/>
        </w:rPr>
      </w:pPr>
      <w:r w:rsidRPr="0012213E">
        <w:rPr>
          <w:b w:val="0"/>
          <w:sz w:val="22"/>
          <w:lang w:val="fr-FR"/>
        </w:rPr>
        <w:t>Manille, P</w:t>
      </w:r>
      <w:r w:rsidR="00436CD2" w:rsidRPr="0012213E">
        <w:rPr>
          <w:b w:val="0"/>
          <w:sz w:val="22"/>
          <w:lang w:val="fr-FR"/>
        </w:rPr>
        <w:t>hilippines, 23 - 28 octobre 2017</w:t>
      </w:r>
    </w:p>
    <w:p w14:paraId="44D0BB92" w14:textId="26A93838" w:rsidR="00260772" w:rsidRPr="0012213E" w:rsidRDefault="00260772" w:rsidP="003A0D8F">
      <w:pPr>
        <w:spacing w:line="228" w:lineRule="auto"/>
        <w:rPr>
          <w:iCs/>
          <w:lang w:val="fr-FR"/>
        </w:rPr>
      </w:pPr>
      <w:r w:rsidRPr="0012213E">
        <w:rPr>
          <w:iCs/>
          <w:lang w:val="fr-FR"/>
        </w:rPr>
        <w:t xml:space="preserve">Point </w:t>
      </w:r>
      <w:r w:rsidR="00C63A47" w:rsidRPr="0012213E">
        <w:rPr>
          <w:iCs/>
          <w:lang w:val="fr-FR"/>
        </w:rPr>
        <w:t>21.1</w:t>
      </w:r>
      <w:r w:rsidR="00EA1ACA" w:rsidRPr="0012213E">
        <w:rPr>
          <w:iCs/>
          <w:lang w:val="fr-FR"/>
        </w:rPr>
        <w:t>.</w:t>
      </w:r>
      <w:r w:rsidR="00174FEF" w:rsidRPr="0012213E">
        <w:rPr>
          <w:iCs/>
          <w:lang w:val="fr-FR"/>
        </w:rPr>
        <w:t>4</w:t>
      </w:r>
      <w:r w:rsidRPr="0012213E">
        <w:rPr>
          <w:iCs/>
          <w:lang w:val="fr-FR"/>
        </w:rPr>
        <w:t xml:space="preserve"> de l’ordre du jour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12213E" w14:paraId="6F27823F" w14:textId="77777777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16B8A28A" w14:textId="77777777" w:rsidR="0081600F" w:rsidRPr="00F165BD" w:rsidRDefault="00EB2285" w:rsidP="00EB228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sz w:val="28"/>
                <w:szCs w:val="28"/>
                <w:lang w:val="fr-FR"/>
              </w:rPr>
            </w:pPr>
            <w:r w:rsidRPr="0012213E">
              <w:rPr>
                <w:b/>
                <w:lang w:val="fr-FR"/>
              </w:rPr>
              <w:tab/>
            </w:r>
            <w:r w:rsidRPr="0012213E">
              <w:rPr>
                <w:b/>
                <w:lang w:val="fr-FR"/>
              </w:rPr>
              <w:tab/>
            </w:r>
            <w:r w:rsidRPr="0012213E">
              <w:rPr>
                <w:b/>
                <w:lang w:val="fr-FR"/>
              </w:rPr>
              <w:tab/>
            </w:r>
            <w:r w:rsidRPr="0012213E">
              <w:rPr>
                <w:b/>
                <w:lang w:val="fr-FR"/>
              </w:rPr>
              <w:tab/>
            </w:r>
            <w:r w:rsidR="00FA61AF" w:rsidRPr="00F165BD">
              <w:rPr>
                <w:b/>
                <w:sz w:val="28"/>
                <w:szCs w:val="28"/>
                <w:lang w:val="fr-FR"/>
              </w:rPr>
              <w:t>CMS</w:t>
            </w:r>
          </w:p>
          <w:p w14:paraId="44403B16" w14:textId="77777777" w:rsidR="00FA61AF" w:rsidRPr="0012213E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lang w:val="fr-FR"/>
              </w:rPr>
            </w:pPr>
          </w:p>
        </w:tc>
      </w:tr>
      <w:tr w:rsidR="00260772" w:rsidRPr="00F165BD" w14:paraId="208791ED" w14:textId="77777777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59BCA11F" w14:textId="77777777" w:rsidR="00260772" w:rsidRPr="0012213E" w:rsidRDefault="009A4CD2" w:rsidP="00260772">
            <w:pPr>
              <w:rPr>
                <w:lang w:val="fr-FR"/>
              </w:rPr>
            </w:pPr>
            <w:r w:rsidRPr="0012213E">
              <w:rPr>
                <w:noProof/>
              </w:rPr>
              <w:drawing>
                <wp:inline distT="0" distB="0" distL="0" distR="0" wp14:anchorId="6612F111" wp14:editId="7FB7103C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7E1461" w14:textId="77777777" w:rsidR="00260772" w:rsidRPr="0012213E" w:rsidRDefault="00260772" w:rsidP="00260772">
            <w:pPr>
              <w:rPr>
                <w:lang w:val="fr-FR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63E09937" w14:textId="77777777" w:rsidR="00260772" w:rsidRPr="0012213E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b w:val="0"/>
                <w:bCs w:val="0"/>
                <w:sz w:val="22"/>
                <w:lang w:val="fr-FR"/>
              </w:rPr>
            </w:pPr>
          </w:p>
          <w:p w14:paraId="3A62B3DD" w14:textId="77777777" w:rsidR="00260772" w:rsidRPr="00F165BD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bCs w:val="0"/>
                <w:sz w:val="32"/>
                <w:szCs w:val="32"/>
                <w:lang w:val="fr-FR"/>
              </w:rPr>
            </w:pPr>
            <w:r w:rsidRPr="00F165BD">
              <w:rPr>
                <w:bCs w:val="0"/>
                <w:sz w:val="32"/>
                <w:szCs w:val="32"/>
                <w:lang w:val="fr-FR"/>
              </w:rPr>
              <w:t>CONVENTION SUR</w:t>
            </w:r>
          </w:p>
          <w:p w14:paraId="779AF9CD" w14:textId="77777777" w:rsidR="00260772" w:rsidRPr="00F165BD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bCs w:val="0"/>
                <w:sz w:val="32"/>
                <w:szCs w:val="32"/>
                <w:lang w:val="fr-FR"/>
              </w:rPr>
            </w:pPr>
            <w:r w:rsidRPr="00F165BD">
              <w:rPr>
                <w:bCs w:val="0"/>
                <w:sz w:val="32"/>
                <w:szCs w:val="32"/>
                <w:lang w:val="fr-FR"/>
              </w:rPr>
              <w:t>LES ESPÈCES</w:t>
            </w:r>
          </w:p>
          <w:p w14:paraId="0F6E297B" w14:textId="77777777" w:rsidR="00260772" w:rsidRPr="0012213E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b w:val="0"/>
                <w:bCs w:val="0"/>
                <w:sz w:val="22"/>
                <w:lang w:val="fr-FR"/>
              </w:rPr>
            </w:pPr>
            <w:r w:rsidRPr="00F165BD">
              <w:rPr>
                <w:bCs w:val="0"/>
                <w:sz w:val="32"/>
                <w:szCs w:val="32"/>
                <w:lang w:val="fr-FR"/>
              </w:rPr>
              <w:t>MIGRATRICES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103A1ED7" w14:textId="77777777" w:rsidR="00260772" w:rsidRPr="00F165BD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2"/>
                <w:szCs w:val="12"/>
                <w:lang w:val="fr-FR"/>
              </w:rPr>
            </w:pPr>
          </w:p>
          <w:p w14:paraId="20BDD8B4" w14:textId="77777777" w:rsidR="00260772" w:rsidRPr="0012213E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fr-FR"/>
              </w:rPr>
            </w:pPr>
            <w:proofErr w:type="gramStart"/>
            <w:r w:rsidRPr="0012213E">
              <w:rPr>
                <w:lang w:val="fr-FR"/>
              </w:rPr>
              <w:t>Distribution:</w:t>
            </w:r>
            <w:proofErr w:type="gramEnd"/>
            <w:r w:rsidRPr="0012213E">
              <w:rPr>
                <w:lang w:val="fr-FR"/>
              </w:rPr>
              <w:t xml:space="preserve"> Générale</w:t>
            </w:r>
          </w:p>
          <w:p w14:paraId="2E2F2684" w14:textId="77777777" w:rsidR="00260772" w:rsidRPr="00F165BD" w:rsidRDefault="00260772" w:rsidP="00260772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2"/>
                <w:szCs w:val="12"/>
                <w:lang w:val="fr-FR"/>
              </w:rPr>
            </w:pPr>
          </w:p>
          <w:p w14:paraId="61E56779" w14:textId="686711BD" w:rsidR="00260772" w:rsidRPr="0012213E" w:rsidRDefault="00F165BD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fr-FR"/>
              </w:rPr>
            </w:pPr>
            <w:r>
              <w:rPr>
                <w:lang w:val="fr-FR"/>
              </w:rPr>
              <w:t>UNEP</w:t>
            </w:r>
            <w:r w:rsidR="00260772" w:rsidRPr="0012213E">
              <w:rPr>
                <w:lang w:val="fr-FR"/>
              </w:rPr>
              <w:t>/CMS/COP12/Doc.</w:t>
            </w:r>
            <w:r w:rsidR="005612BD" w:rsidRPr="0012213E">
              <w:rPr>
                <w:lang w:val="fr-FR"/>
              </w:rPr>
              <w:t>21.1.</w:t>
            </w:r>
            <w:r w:rsidR="00174FEF" w:rsidRPr="0012213E">
              <w:rPr>
                <w:lang w:val="fr-FR"/>
              </w:rPr>
              <w:t>4</w:t>
            </w:r>
          </w:p>
          <w:p w14:paraId="38BF7EC6" w14:textId="7EF14EAE" w:rsidR="00260772" w:rsidRPr="0012213E" w:rsidRDefault="00F165BD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fr-FR"/>
              </w:rPr>
            </w:pPr>
            <w:r w:rsidRPr="00F165BD">
              <w:rPr>
                <w:lang w:val="fr-FR"/>
              </w:rPr>
              <w:t>25 mai</w:t>
            </w:r>
            <w:r w:rsidR="00436CD2" w:rsidRPr="00F165BD">
              <w:rPr>
                <w:lang w:val="fr-FR"/>
              </w:rPr>
              <w:t xml:space="preserve"> 2017</w:t>
            </w:r>
          </w:p>
          <w:p w14:paraId="256F4866" w14:textId="77777777" w:rsidR="00260772" w:rsidRPr="00F165BD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2"/>
                <w:szCs w:val="12"/>
                <w:lang w:val="fr-FR"/>
              </w:rPr>
            </w:pPr>
          </w:p>
          <w:p w14:paraId="39393C0F" w14:textId="77777777" w:rsidR="00260772" w:rsidRPr="0012213E" w:rsidRDefault="00260772" w:rsidP="00260772">
            <w:pPr>
              <w:rPr>
                <w:lang w:val="fr-FR"/>
              </w:rPr>
            </w:pPr>
            <w:r w:rsidRPr="0012213E">
              <w:rPr>
                <w:lang w:val="fr-FR"/>
              </w:rPr>
              <w:t>Français</w:t>
            </w:r>
          </w:p>
          <w:p w14:paraId="63C1DE78" w14:textId="77777777" w:rsidR="00260772" w:rsidRPr="0012213E" w:rsidRDefault="00260772" w:rsidP="00260772">
            <w:pPr>
              <w:rPr>
                <w:lang w:val="fr-FR"/>
              </w:rPr>
            </w:pPr>
            <w:proofErr w:type="gramStart"/>
            <w:r w:rsidRPr="0012213E">
              <w:rPr>
                <w:lang w:val="fr-FR"/>
              </w:rPr>
              <w:t>Original:</w:t>
            </w:r>
            <w:proofErr w:type="gramEnd"/>
            <w:r w:rsidRPr="0012213E">
              <w:rPr>
                <w:lang w:val="fr-FR"/>
              </w:rPr>
              <w:t xml:space="preserve"> Anglais</w:t>
            </w:r>
          </w:p>
          <w:p w14:paraId="1F808553" w14:textId="77777777" w:rsidR="00260772" w:rsidRPr="00F165BD" w:rsidRDefault="00260772" w:rsidP="00260772">
            <w:pPr>
              <w:rPr>
                <w:sz w:val="12"/>
                <w:szCs w:val="12"/>
                <w:lang w:val="fr-FR"/>
              </w:rPr>
            </w:pPr>
          </w:p>
        </w:tc>
      </w:tr>
    </w:tbl>
    <w:p w14:paraId="0BF60399" w14:textId="77777777" w:rsidR="00354A9C" w:rsidRPr="0012213E" w:rsidRDefault="00354A9C" w:rsidP="00922791">
      <w:pPr>
        <w:tabs>
          <w:tab w:val="left" w:pos="7020"/>
        </w:tabs>
        <w:rPr>
          <w:lang w:val="fr-FR"/>
        </w:rPr>
      </w:pPr>
    </w:p>
    <w:p w14:paraId="77F4B788" w14:textId="77777777" w:rsidR="0052082F" w:rsidRPr="0012213E" w:rsidRDefault="0052082F" w:rsidP="00354A9C">
      <w:pPr>
        <w:rPr>
          <w:lang w:val="fr-FR"/>
        </w:rPr>
      </w:pPr>
    </w:p>
    <w:p w14:paraId="60988943" w14:textId="481BEEFC" w:rsidR="00EF193B" w:rsidRPr="0012213E" w:rsidRDefault="00F165BD" w:rsidP="00EF193B">
      <w:pPr>
        <w:pStyle w:val="p1"/>
        <w:jc w:val="center"/>
        <w:rPr>
          <w:caps/>
          <w:sz w:val="22"/>
          <w:szCs w:val="22"/>
          <w:lang w:val="fr-FR"/>
        </w:rPr>
      </w:pPr>
      <w:r>
        <w:rPr>
          <w:b/>
          <w:bCs/>
          <w:caps/>
          <w:sz w:val="22"/>
          <w:szCs w:val="22"/>
          <w:lang w:val="fr-FR"/>
        </w:rPr>
        <w:t>RÉ</w:t>
      </w:r>
      <w:r w:rsidR="00EF193B" w:rsidRPr="0012213E">
        <w:rPr>
          <w:b/>
          <w:bCs/>
          <w:caps/>
          <w:sz w:val="22"/>
          <w:szCs w:val="22"/>
          <w:lang w:val="fr-FR"/>
        </w:rPr>
        <w:t xml:space="preserve">solutions à </w:t>
      </w:r>
      <w:r>
        <w:rPr>
          <w:b/>
          <w:bCs/>
          <w:caps/>
          <w:sz w:val="22"/>
          <w:szCs w:val="22"/>
          <w:lang w:val="fr-FR"/>
        </w:rPr>
        <w:t>ABROGER EN PARTIE</w:t>
      </w:r>
    </w:p>
    <w:p w14:paraId="4F559489" w14:textId="45978365" w:rsidR="00FB0E0A" w:rsidRPr="0012213E" w:rsidRDefault="00FB0E0A" w:rsidP="00E43DFB">
      <w:pPr>
        <w:pStyle w:val="p1"/>
        <w:jc w:val="center"/>
        <w:rPr>
          <w:b/>
          <w:bCs/>
          <w:caps/>
          <w:sz w:val="22"/>
          <w:szCs w:val="22"/>
          <w:lang w:val="fr-FR"/>
        </w:rPr>
      </w:pPr>
    </w:p>
    <w:p w14:paraId="568E0CD2" w14:textId="1D707E85" w:rsidR="00E43DFB" w:rsidRPr="00E43DFB" w:rsidRDefault="00FB0E0A" w:rsidP="00E43DFB">
      <w:pPr>
        <w:pStyle w:val="p1"/>
        <w:jc w:val="center"/>
        <w:rPr>
          <w:b/>
          <w:bCs/>
          <w:caps/>
          <w:sz w:val="22"/>
          <w:szCs w:val="22"/>
          <w:lang w:val="fr-FR"/>
        </w:rPr>
      </w:pPr>
      <w:r w:rsidRPr="0012213E">
        <w:rPr>
          <w:b/>
          <w:bCs/>
          <w:caps/>
          <w:sz w:val="22"/>
          <w:szCs w:val="22"/>
          <w:lang w:val="fr-FR"/>
        </w:rPr>
        <w:t>r</w:t>
      </w:r>
      <w:r w:rsidR="00EA1ACA" w:rsidRPr="0012213E">
        <w:rPr>
          <w:b/>
          <w:bCs/>
          <w:caps/>
          <w:sz w:val="22"/>
          <w:szCs w:val="22"/>
          <w:lang w:val="fr-FR"/>
        </w:rPr>
        <w:t xml:space="preserve">ecommandation </w:t>
      </w:r>
      <w:r w:rsidR="00282C88" w:rsidRPr="0012213E">
        <w:rPr>
          <w:b/>
          <w:bCs/>
          <w:caps/>
          <w:sz w:val="22"/>
          <w:szCs w:val="22"/>
          <w:lang w:val="fr-FR"/>
        </w:rPr>
        <w:t>5.1</w:t>
      </w:r>
      <w:r w:rsidRPr="0012213E">
        <w:rPr>
          <w:b/>
          <w:bCs/>
          <w:caps/>
          <w:sz w:val="22"/>
          <w:szCs w:val="22"/>
          <w:lang w:val="fr-FR"/>
        </w:rPr>
        <w:t xml:space="preserve">, </w:t>
      </w:r>
      <w:r w:rsidR="00E43DFB" w:rsidRPr="0012213E">
        <w:rPr>
          <w:b/>
          <w:bCs/>
          <w:caps/>
          <w:sz w:val="22"/>
          <w:szCs w:val="22"/>
          <w:lang w:val="fr-FR"/>
        </w:rPr>
        <w:t>APPROBATION DES PL</w:t>
      </w:r>
      <w:r w:rsidR="00F165BD">
        <w:rPr>
          <w:b/>
          <w:bCs/>
          <w:caps/>
          <w:sz w:val="22"/>
          <w:szCs w:val="22"/>
          <w:lang w:val="fr-FR"/>
        </w:rPr>
        <w:t>ANS D'ACTION POUR CERTAINES ESPÈ</w:t>
      </w:r>
      <w:r w:rsidR="00E43DFB" w:rsidRPr="0012213E">
        <w:rPr>
          <w:b/>
          <w:bCs/>
          <w:caps/>
          <w:sz w:val="22"/>
          <w:szCs w:val="22"/>
          <w:lang w:val="fr-FR"/>
        </w:rPr>
        <w:t xml:space="preserve">CES D'OISEAUX </w:t>
      </w:r>
      <w:r w:rsidR="00E43DFB" w:rsidRPr="00E43DFB">
        <w:rPr>
          <w:b/>
          <w:bCs/>
          <w:caps/>
          <w:sz w:val="22"/>
          <w:szCs w:val="22"/>
          <w:lang w:val="fr-FR"/>
        </w:rPr>
        <w:t>MIGRATEURS INSCRITES A</w:t>
      </w:r>
      <w:r w:rsidR="00F165BD">
        <w:rPr>
          <w:b/>
          <w:bCs/>
          <w:caps/>
          <w:sz w:val="22"/>
          <w:szCs w:val="22"/>
          <w:lang w:val="fr-FR"/>
        </w:rPr>
        <w:t xml:space="preserve">UX </w:t>
      </w:r>
      <w:r w:rsidR="00E43DFB" w:rsidRPr="00E43DFB">
        <w:rPr>
          <w:b/>
          <w:bCs/>
          <w:caps/>
          <w:sz w:val="22"/>
          <w:szCs w:val="22"/>
          <w:lang w:val="fr-FR"/>
        </w:rPr>
        <w:t>ANNEXE</w:t>
      </w:r>
      <w:r w:rsidR="00F165BD">
        <w:rPr>
          <w:b/>
          <w:bCs/>
          <w:caps/>
          <w:sz w:val="22"/>
          <w:szCs w:val="22"/>
          <w:lang w:val="fr-FR"/>
        </w:rPr>
        <w:t>S</w:t>
      </w:r>
      <w:r w:rsidR="00E43DFB" w:rsidRPr="00E43DFB">
        <w:rPr>
          <w:b/>
          <w:bCs/>
          <w:caps/>
          <w:sz w:val="22"/>
          <w:szCs w:val="22"/>
          <w:lang w:val="fr-FR"/>
        </w:rPr>
        <w:t xml:space="preserve"> I et II</w:t>
      </w:r>
    </w:p>
    <w:p w14:paraId="080D5927" w14:textId="6D9808FF" w:rsidR="00EA1ACA" w:rsidRPr="0012213E" w:rsidRDefault="00EA1ACA" w:rsidP="00EA1ACA">
      <w:pPr>
        <w:jc w:val="center"/>
        <w:rPr>
          <w:b/>
          <w:caps/>
          <w:lang w:val="fr-FR"/>
        </w:rPr>
      </w:pPr>
    </w:p>
    <w:p w14:paraId="4B203E7E" w14:textId="6C33533E" w:rsidR="00260772" w:rsidRPr="0012213E" w:rsidRDefault="00260772" w:rsidP="00FB0E0A">
      <w:pPr>
        <w:rPr>
          <w:b/>
          <w:lang w:val="fr-FR"/>
        </w:rPr>
      </w:pPr>
    </w:p>
    <w:p w14:paraId="75C66DB1" w14:textId="77777777" w:rsidR="00FB0E0A" w:rsidRPr="0012213E" w:rsidRDefault="00FB0E0A" w:rsidP="00FB0E0A">
      <w:pPr>
        <w:rPr>
          <w:lang w:val="fr-FR"/>
        </w:rPr>
      </w:pPr>
    </w:p>
    <w:p w14:paraId="2F0A3A59" w14:textId="77777777" w:rsidR="001764E6" w:rsidRPr="0012213E" w:rsidRDefault="005612BD" w:rsidP="005612BD">
      <w:pPr>
        <w:jc w:val="center"/>
        <w:rPr>
          <w:lang w:val="fr-FR"/>
        </w:rPr>
      </w:pPr>
      <w:r w:rsidRPr="0012213E">
        <w:rPr>
          <w:i/>
          <w:lang w:val="fr-FR"/>
        </w:rPr>
        <w:t>(</w:t>
      </w:r>
      <w:r w:rsidRPr="0012213E">
        <w:rPr>
          <w:bCs/>
          <w:i/>
          <w:lang w:val="fr-FR"/>
        </w:rPr>
        <w:t>Préparées par le Secrétariat au nom du</w:t>
      </w:r>
      <w:r w:rsidRPr="0012213E">
        <w:rPr>
          <w:bCs/>
          <w:lang w:val="fr-FR"/>
        </w:rPr>
        <w:t xml:space="preserve"> </w:t>
      </w:r>
      <w:r w:rsidRPr="0012213E">
        <w:rPr>
          <w:bCs/>
          <w:i/>
          <w:lang w:val="fr-FR"/>
        </w:rPr>
        <w:t>Comité permanent)</w:t>
      </w:r>
    </w:p>
    <w:p w14:paraId="366D3941" w14:textId="77777777" w:rsidR="001764E6" w:rsidRPr="0012213E" w:rsidRDefault="001764E6" w:rsidP="00D605A4">
      <w:pPr>
        <w:tabs>
          <w:tab w:val="left" w:pos="8295"/>
        </w:tabs>
        <w:jc w:val="both"/>
        <w:rPr>
          <w:lang w:val="fr-FR"/>
        </w:rPr>
      </w:pPr>
    </w:p>
    <w:p w14:paraId="173A530C" w14:textId="5F5DE658" w:rsidR="00D605A4" w:rsidRPr="0012213E" w:rsidRDefault="00D605A4" w:rsidP="001764E6">
      <w:pPr>
        <w:jc w:val="both"/>
        <w:rPr>
          <w:lang w:val="fr-FR"/>
        </w:rPr>
      </w:pPr>
    </w:p>
    <w:p w14:paraId="3390C46F" w14:textId="77777777" w:rsidR="00D605A4" w:rsidRPr="0012213E" w:rsidRDefault="00D605A4" w:rsidP="00D605A4">
      <w:pPr>
        <w:rPr>
          <w:lang w:val="fr-FR"/>
        </w:rPr>
      </w:pPr>
    </w:p>
    <w:p w14:paraId="53CC9E54" w14:textId="77777777" w:rsidR="00D605A4" w:rsidRPr="0012213E" w:rsidRDefault="00D605A4" w:rsidP="00D605A4">
      <w:pPr>
        <w:rPr>
          <w:lang w:val="fr-FR"/>
        </w:rPr>
      </w:pPr>
    </w:p>
    <w:p w14:paraId="6BE2EBB5" w14:textId="305AA2E6" w:rsidR="00D605A4" w:rsidRPr="0012213E" w:rsidRDefault="005E4313" w:rsidP="00D605A4">
      <w:pPr>
        <w:rPr>
          <w:lang w:val="fr-FR"/>
        </w:rPr>
      </w:pPr>
      <w:r w:rsidRPr="0012213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F6BFB0" wp14:editId="097C2DB9">
                <wp:simplePos x="0" y="0"/>
                <wp:positionH relativeFrom="column">
                  <wp:posOffset>780415</wp:posOffset>
                </wp:positionH>
                <wp:positionV relativeFrom="paragraph">
                  <wp:posOffset>6351</wp:posOffset>
                </wp:positionV>
                <wp:extent cx="4305300" cy="1463040"/>
                <wp:effectExtent l="0" t="0" r="38100" b="355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66167" w14:textId="77777777" w:rsidR="00E475D4" w:rsidRPr="00F165BD" w:rsidRDefault="00553795" w:rsidP="00E475D4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F165BD">
                              <w:rPr>
                                <w:lang w:val="fr-FR"/>
                              </w:rPr>
                              <w:t>Résumé</w:t>
                            </w:r>
                            <w:r w:rsidR="00E475D4" w:rsidRPr="00F165BD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219388F5" w14:textId="77777777" w:rsidR="00E475D4" w:rsidRPr="00F165BD" w:rsidRDefault="00E475D4" w:rsidP="00E475D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68D5D24" w14:textId="191DDE71" w:rsidR="005E4313" w:rsidRPr="00F165BD" w:rsidRDefault="005E4313" w:rsidP="00407FD5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165BD">
                              <w:rPr>
                                <w:color w:val="000000" w:themeColor="text1"/>
                                <w:lang w:val="fr-FR"/>
                              </w:rPr>
                              <w:t xml:space="preserve">Ce document </w:t>
                            </w:r>
                            <w:r w:rsidR="00F165BD">
                              <w:rPr>
                                <w:color w:val="000000" w:themeColor="text1"/>
                                <w:lang w:val="fr-FR"/>
                              </w:rPr>
                              <w:t>abroge</w:t>
                            </w:r>
                            <w:r w:rsidRPr="00F165BD">
                              <w:rPr>
                                <w:color w:val="000000" w:themeColor="text1"/>
                                <w:lang w:val="fr-FR"/>
                              </w:rPr>
                              <w:t xml:space="preserve"> en partie la </w:t>
                            </w:r>
                            <w:hyperlink r:id="rId8" w:tooltip="Rec5.1_F_0_0.pdf" w:history="1">
                              <w:r w:rsidR="00407FD5" w:rsidRPr="00F165BD">
                                <w:rPr>
                                  <w:rStyle w:val="Hyperlink"/>
                                  <w:lang w:val="fr-FR"/>
                                </w:rPr>
                                <w:t xml:space="preserve">Recommandation 5.1, </w:t>
                              </w:r>
                              <w:r w:rsidR="00407FD5" w:rsidRPr="00F165BD">
                                <w:rPr>
                                  <w:rStyle w:val="Hyperlink"/>
                                  <w:i/>
                                  <w:lang w:val="fr-FR"/>
                                </w:rPr>
                                <w:t>Approbation des plans d'action pour certaines espèces d'</w:t>
                              </w:r>
                              <w:proofErr w:type="spellStart"/>
                              <w:r w:rsidR="00407FD5" w:rsidRPr="00F165BD">
                                <w:rPr>
                                  <w:rStyle w:val="Hyperlink"/>
                                  <w:i/>
                                  <w:lang w:val="fr-FR"/>
                                </w:rPr>
                                <w:t>oiseuax</w:t>
                              </w:r>
                              <w:proofErr w:type="spellEnd"/>
                              <w:r w:rsidR="00407FD5" w:rsidRPr="00F165BD">
                                <w:rPr>
                                  <w:rStyle w:val="Hyperlink"/>
                                  <w:i/>
                                  <w:lang w:val="fr-FR"/>
                                </w:rPr>
                                <w:t xml:space="preserve"> migrateurs inscrites à l'Annexe I et II</w:t>
                              </w:r>
                            </w:hyperlink>
                            <w:r w:rsidR="00407FD5" w:rsidRPr="00F165BD">
                              <w:rPr>
                                <w:rStyle w:val="file"/>
                                <w:lang w:val="fr-FR"/>
                              </w:rPr>
                              <w:t>.</w:t>
                            </w:r>
                          </w:p>
                          <w:p w14:paraId="33F9DEFE" w14:textId="77777777" w:rsidR="00E8776E" w:rsidRPr="00F165BD" w:rsidRDefault="00E8776E" w:rsidP="00E8776E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3EC94C3" w14:textId="77777777" w:rsidR="00E8776E" w:rsidRPr="00F165BD" w:rsidRDefault="00E8776E" w:rsidP="00E475D4">
                            <w:pPr>
                              <w:rPr>
                                <w:sz w:val="21"/>
                                <w:szCs w:val="2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6BF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.5pt;width:339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" strokeweight=".25pt">
                <v:textbox>
                  <w:txbxContent>
                    <w:p w14:paraId="3CC66167" w14:textId="77777777" w:rsidR="00E475D4" w:rsidRPr="00F165BD" w:rsidRDefault="00553795" w:rsidP="00E475D4">
                      <w:pPr>
                        <w:rPr>
                          <w:lang w:val="fr-FR"/>
                        </w:rPr>
                      </w:pPr>
                      <w:proofErr w:type="gramStart"/>
                      <w:r w:rsidRPr="00F165BD">
                        <w:rPr>
                          <w:lang w:val="fr-FR"/>
                        </w:rPr>
                        <w:t>Résumé</w:t>
                      </w:r>
                      <w:r w:rsidR="00E475D4" w:rsidRPr="00F165BD">
                        <w:rPr>
                          <w:lang w:val="fr-FR"/>
                        </w:rPr>
                        <w:t>:</w:t>
                      </w:r>
                      <w:proofErr w:type="gramEnd"/>
                    </w:p>
                    <w:p w14:paraId="219388F5" w14:textId="77777777" w:rsidR="00E475D4" w:rsidRPr="00F165BD" w:rsidRDefault="00E475D4" w:rsidP="00E475D4">
                      <w:pPr>
                        <w:rPr>
                          <w:lang w:val="fr-FR"/>
                        </w:rPr>
                      </w:pPr>
                    </w:p>
                    <w:p w14:paraId="368D5D24" w14:textId="191DDE71" w:rsidR="005E4313" w:rsidRPr="00F165BD" w:rsidRDefault="005E4313" w:rsidP="00407FD5">
                      <w:pPr>
                        <w:widowControl/>
                        <w:autoSpaceDE/>
                        <w:autoSpaceDN/>
                        <w:adjustRightInd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F165BD">
                        <w:rPr>
                          <w:color w:val="000000" w:themeColor="text1"/>
                          <w:lang w:val="fr-FR"/>
                        </w:rPr>
                        <w:t xml:space="preserve">Ce document </w:t>
                      </w:r>
                      <w:r w:rsidR="00F165BD">
                        <w:rPr>
                          <w:color w:val="000000" w:themeColor="text1"/>
                          <w:lang w:val="fr-FR"/>
                        </w:rPr>
                        <w:t>abroge</w:t>
                      </w:r>
                      <w:r w:rsidRPr="00F165BD">
                        <w:rPr>
                          <w:color w:val="000000" w:themeColor="text1"/>
                          <w:lang w:val="fr-FR"/>
                        </w:rPr>
                        <w:t xml:space="preserve"> en partie la </w:t>
                      </w:r>
                      <w:hyperlink r:id="rId9" w:tooltip="Rec5.1_F_0_0.pdf" w:history="1">
                        <w:r w:rsidR="00407FD5" w:rsidRPr="00F165BD">
                          <w:rPr>
                            <w:rStyle w:val="Hyperlink"/>
                            <w:lang w:val="fr-FR"/>
                          </w:rPr>
                          <w:t xml:space="preserve">Recommandation 5.1, </w:t>
                        </w:r>
                        <w:r w:rsidR="00407FD5" w:rsidRPr="00F165BD">
                          <w:rPr>
                            <w:rStyle w:val="Hyperlink"/>
                            <w:i/>
                            <w:lang w:val="fr-FR"/>
                          </w:rPr>
                          <w:t>Approbation des plans d'action pour certaines espèces d'</w:t>
                        </w:r>
                        <w:proofErr w:type="spellStart"/>
                        <w:r w:rsidR="00407FD5" w:rsidRPr="00F165BD">
                          <w:rPr>
                            <w:rStyle w:val="Hyperlink"/>
                            <w:i/>
                            <w:lang w:val="fr-FR"/>
                          </w:rPr>
                          <w:t>oiseuax</w:t>
                        </w:r>
                        <w:proofErr w:type="spellEnd"/>
                        <w:r w:rsidR="00407FD5" w:rsidRPr="00F165BD">
                          <w:rPr>
                            <w:rStyle w:val="Hyperlink"/>
                            <w:i/>
                            <w:lang w:val="fr-FR"/>
                          </w:rPr>
                          <w:t xml:space="preserve"> migrateurs inscrites à l'Annexe I et II</w:t>
                        </w:r>
                      </w:hyperlink>
                      <w:r w:rsidR="00407FD5" w:rsidRPr="00F165BD">
                        <w:rPr>
                          <w:rStyle w:val="file"/>
                          <w:lang w:val="fr-FR"/>
                        </w:rPr>
                        <w:t>.</w:t>
                      </w:r>
                    </w:p>
                    <w:p w14:paraId="33F9DEFE" w14:textId="77777777" w:rsidR="00E8776E" w:rsidRPr="00F165BD" w:rsidRDefault="00E8776E" w:rsidP="00E8776E">
                      <w:pPr>
                        <w:rPr>
                          <w:lang w:val="fr-FR"/>
                        </w:rPr>
                      </w:pPr>
                    </w:p>
                    <w:p w14:paraId="13EC94C3" w14:textId="77777777" w:rsidR="00E8776E" w:rsidRPr="00F165BD" w:rsidRDefault="00E8776E" w:rsidP="00E475D4">
                      <w:pPr>
                        <w:rPr>
                          <w:sz w:val="21"/>
                          <w:szCs w:val="21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796DDF" w14:textId="77777777" w:rsidR="00D605A4" w:rsidRPr="0012213E" w:rsidRDefault="00D605A4" w:rsidP="00D605A4">
      <w:pPr>
        <w:rPr>
          <w:lang w:val="fr-FR"/>
        </w:rPr>
      </w:pPr>
    </w:p>
    <w:p w14:paraId="7C78EC3C" w14:textId="77777777" w:rsidR="00D605A4" w:rsidRPr="0012213E" w:rsidRDefault="00D605A4" w:rsidP="00D605A4">
      <w:pPr>
        <w:rPr>
          <w:lang w:val="fr-FR"/>
        </w:rPr>
      </w:pPr>
    </w:p>
    <w:p w14:paraId="460BAD1D" w14:textId="77777777" w:rsidR="00D605A4" w:rsidRPr="0012213E" w:rsidRDefault="00D605A4" w:rsidP="00D605A4">
      <w:pPr>
        <w:rPr>
          <w:lang w:val="fr-FR"/>
        </w:rPr>
      </w:pPr>
    </w:p>
    <w:p w14:paraId="48FCF9FE" w14:textId="77777777" w:rsidR="00D605A4" w:rsidRPr="0012213E" w:rsidRDefault="00D605A4" w:rsidP="00D605A4">
      <w:pPr>
        <w:rPr>
          <w:lang w:val="fr-FR"/>
        </w:rPr>
      </w:pPr>
    </w:p>
    <w:p w14:paraId="2C0F518D" w14:textId="77777777" w:rsidR="00D605A4" w:rsidRPr="0012213E" w:rsidRDefault="00D605A4" w:rsidP="00D605A4">
      <w:pPr>
        <w:rPr>
          <w:lang w:val="fr-FR"/>
        </w:rPr>
      </w:pPr>
    </w:p>
    <w:p w14:paraId="62B8649D" w14:textId="77777777" w:rsidR="00D605A4" w:rsidRPr="0012213E" w:rsidRDefault="00D605A4" w:rsidP="00D605A4">
      <w:pPr>
        <w:rPr>
          <w:lang w:val="fr-FR"/>
        </w:rPr>
      </w:pPr>
    </w:p>
    <w:p w14:paraId="56F8C56F" w14:textId="77777777" w:rsidR="00D605A4" w:rsidRPr="0012213E" w:rsidRDefault="00D605A4" w:rsidP="00D605A4">
      <w:pPr>
        <w:rPr>
          <w:lang w:val="fr-FR"/>
        </w:rPr>
      </w:pPr>
    </w:p>
    <w:p w14:paraId="20BB0A78" w14:textId="77777777" w:rsidR="00D605A4" w:rsidRPr="0012213E" w:rsidRDefault="00D605A4" w:rsidP="00D605A4">
      <w:pPr>
        <w:rPr>
          <w:lang w:val="fr-FR"/>
        </w:rPr>
      </w:pPr>
    </w:p>
    <w:p w14:paraId="428D5A96" w14:textId="77777777" w:rsidR="00D605A4" w:rsidRPr="0012213E" w:rsidRDefault="00D605A4" w:rsidP="00D605A4">
      <w:pPr>
        <w:rPr>
          <w:lang w:val="fr-FR"/>
        </w:rPr>
      </w:pPr>
    </w:p>
    <w:p w14:paraId="43D900C9" w14:textId="77777777" w:rsidR="00D605A4" w:rsidRPr="0012213E" w:rsidRDefault="00D605A4" w:rsidP="00D605A4">
      <w:pPr>
        <w:rPr>
          <w:lang w:val="fr-FR"/>
        </w:rPr>
      </w:pPr>
    </w:p>
    <w:p w14:paraId="7700061E" w14:textId="77777777" w:rsidR="00D605A4" w:rsidRPr="0012213E" w:rsidRDefault="00D605A4" w:rsidP="00D605A4">
      <w:pPr>
        <w:rPr>
          <w:lang w:val="fr-FR"/>
        </w:rPr>
      </w:pPr>
    </w:p>
    <w:p w14:paraId="56F7AAB4" w14:textId="77777777" w:rsidR="00D605A4" w:rsidRPr="0012213E" w:rsidRDefault="00D605A4" w:rsidP="00D605A4">
      <w:pPr>
        <w:rPr>
          <w:lang w:val="fr-FR"/>
        </w:rPr>
      </w:pPr>
    </w:p>
    <w:p w14:paraId="765C9454" w14:textId="77777777" w:rsidR="00D605A4" w:rsidRPr="0012213E" w:rsidRDefault="00D605A4" w:rsidP="00D605A4">
      <w:pPr>
        <w:rPr>
          <w:lang w:val="fr-FR"/>
        </w:rPr>
      </w:pPr>
    </w:p>
    <w:p w14:paraId="58B34BA8" w14:textId="77777777" w:rsidR="00D605A4" w:rsidRPr="0012213E" w:rsidRDefault="00D605A4" w:rsidP="00D605A4">
      <w:pPr>
        <w:rPr>
          <w:lang w:val="fr-FR"/>
        </w:rPr>
      </w:pPr>
    </w:p>
    <w:p w14:paraId="716A50A8" w14:textId="77777777" w:rsidR="00D605A4" w:rsidRPr="0012213E" w:rsidRDefault="00D605A4" w:rsidP="00D605A4">
      <w:pPr>
        <w:rPr>
          <w:lang w:val="fr-FR"/>
        </w:rPr>
      </w:pPr>
    </w:p>
    <w:p w14:paraId="16A53B10" w14:textId="77777777" w:rsidR="00D605A4" w:rsidRPr="0012213E" w:rsidRDefault="00D605A4" w:rsidP="00D605A4">
      <w:pPr>
        <w:rPr>
          <w:lang w:val="fr-FR"/>
        </w:rPr>
      </w:pPr>
    </w:p>
    <w:p w14:paraId="5BD79C5E" w14:textId="77777777" w:rsidR="00D605A4" w:rsidRPr="0012213E" w:rsidRDefault="00D605A4" w:rsidP="00D605A4">
      <w:pPr>
        <w:rPr>
          <w:lang w:val="fr-FR"/>
        </w:rPr>
      </w:pPr>
    </w:p>
    <w:p w14:paraId="7996ADE4" w14:textId="77777777" w:rsidR="00D605A4" w:rsidRPr="0012213E" w:rsidRDefault="00D605A4" w:rsidP="00D605A4">
      <w:pPr>
        <w:rPr>
          <w:lang w:val="fr-FR"/>
        </w:rPr>
      </w:pPr>
    </w:p>
    <w:p w14:paraId="249A0BAD" w14:textId="77777777" w:rsidR="00D605A4" w:rsidRPr="0012213E" w:rsidRDefault="00D605A4" w:rsidP="00D605A4">
      <w:pPr>
        <w:rPr>
          <w:lang w:val="fr-FR"/>
        </w:rPr>
      </w:pPr>
    </w:p>
    <w:p w14:paraId="44BEAB76" w14:textId="77777777" w:rsidR="00D605A4" w:rsidRPr="0012213E" w:rsidRDefault="00D605A4" w:rsidP="00D605A4">
      <w:pPr>
        <w:tabs>
          <w:tab w:val="left" w:pos="1020"/>
        </w:tabs>
        <w:rPr>
          <w:lang w:val="fr-FR"/>
        </w:rPr>
        <w:sectPr w:rsidR="00D605A4" w:rsidRPr="0012213E" w:rsidSect="0052082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14:paraId="72701F09" w14:textId="7E8AA342" w:rsidR="008A3AC6" w:rsidRPr="0012213E" w:rsidRDefault="008A3AC6" w:rsidP="008A3AC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b/>
          <w:caps/>
          <w:lang w:val="fr-FR"/>
        </w:rPr>
      </w:pPr>
      <w:r w:rsidRPr="0012213E">
        <w:rPr>
          <w:b/>
          <w:caps/>
          <w:lang w:val="fr-FR"/>
        </w:rPr>
        <w:lastRenderedPageBreak/>
        <w:t>AnnexE 1</w:t>
      </w:r>
    </w:p>
    <w:p w14:paraId="5263A311" w14:textId="77777777" w:rsidR="008A3AC6" w:rsidRPr="0012213E" w:rsidRDefault="008A3AC6" w:rsidP="008A3AC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bCs/>
          <w:caps/>
          <w:lang w:val="fr-FR"/>
        </w:rPr>
      </w:pPr>
    </w:p>
    <w:p w14:paraId="62E1914D" w14:textId="77777777" w:rsidR="00275105" w:rsidRPr="00F165BD" w:rsidRDefault="00275105" w:rsidP="00275105">
      <w:pPr>
        <w:jc w:val="center"/>
        <w:rPr>
          <w:lang w:val="fr-FR"/>
        </w:rPr>
      </w:pPr>
      <w:r w:rsidRPr="00F165BD">
        <w:rPr>
          <w:lang w:val="fr-FR"/>
        </w:rPr>
        <w:t>PROJET DE RÉSOLUTION</w:t>
      </w:r>
    </w:p>
    <w:p w14:paraId="140E0321" w14:textId="77777777" w:rsidR="008A3AC6" w:rsidRPr="0012213E" w:rsidRDefault="008A3AC6" w:rsidP="008A3AC6">
      <w:pPr>
        <w:contextualSpacing/>
        <w:jc w:val="both"/>
        <w:outlineLvl w:val="0"/>
        <w:rPr>
          <w:b/>
          <w:lang w:val="fr-FR"/>
        </w:rPr>
      </w:pPr>
    </w:p>
    <w:p w14:paraId="70C63CCA" w14:textId="77777777" w:rsidR="00F54941" w:rsidRDefault="00312F2C" w:rsidP="00F165BD">
      <w:pPr>
        <w:widowControl/>
        <w:autoSpaceDE/>
        <w:autoSpaceDN/>
        <w:adjustRightInd/>
        <w:jc w:val="center"/>
        <w:rPr>
          <w:b/>
          <w:bCs/>
          <w:caps/>
          <w:lang w:val="fr-FR"/>
        </w:rPr>
      </w:pPr>
      <w:r w:rsidRPr="0012213E">
        <w:rPr>
          <w:b/>
          <w:caps/>
          <w:strike/>
          <w:lang w:val="fr-FR"/>
        </w:rPr>
        <w:t>Recommandation</w:t>
      </w:r>
      <w:r w:rsidRPr="0012213E">
        <w:rPr>
          <w:b/>
          <w:caps/>
          <w:lang w:val="fr-FR"/>
        </w:rPr>
        <w:t xml:space="preserve"> </w:t>
      </w:r>
      <w:r w:rsidR="002B0649" w:rsidRPr="0012213E">
        <w:rPr>
          <w:b/>
          <w:u w:val="single"/>
          <w:lang w:val="fr-FR"/>
        </w:rPr>
        <w:t>RÉSOLUTION</w:t>
      </w:r>
      <w:r w:rsidR="002B0649" w:rsidRPr="0012213E">
        <w:rPr>
          <w:b/>
          <w:caps/>
          <w:lang w:val="fr-FR"/>
        </w:rPr>
        <w:t xml:space="preserve"> </w:t>
      </w:r>
      <w:r w:rsidR="00E43DFB" w:rsidRPr="0012213E">
        <w:rPr>
          <w:b/>
          <w:caps/>
          <w:lang w:val="fr-FR"/>
        </w:rPr>
        <w:t>5</w:t>
      </w:r>
      <w:r w:rsidRPr="0012213E">
        <w:rPr>
          <w:b/>
          <w:caps/>
          <w:lang w:val="fr-FR"/>
        </w:rPr>
        <w:t>.</w:t>
      </w:r>
      <w:r w:rsidR="00E43DFB" w:rsidRPr="0012213E">
        <w:rPr>
          <w:b/>
          <w:caps/>
          <w:lang w:val="fr-FR"/>
        </w:rPr>
        <w:t>1</w:t>
      </w:r>
      <w:r w:rsidR="0074637F" w:rsidRPr="0012213E">
        <w:rPr>
          <w:rStyle w:val="FootnoteReference"/>
          <w:b/>
          <w:caps/>
          <w:vertAlign w:val="superscript"/>
          <w:lang w:val="fr-FR"/>
        </w:rPr>
        <w:footnoteReference w:customMarkFollows="1" w:id="1"/>
        <w:t>1</w:t>
      </w:r>
      <w:r w:rsidR="00F165BD">
        <w:rPr>
          <w:b/>
          <w:caps/>
          <w:vertAlign w:val="superscript"/>
          <w:lang w:val="fr-FR"/>
        </w:rPr>
        <w:t>,</w:t>
      </w:r>
      <w:r w:rsidR="00F54941">
        <w:rPr>
          <w:b/>
          <w:bCs/>
          <w:caps/>
          <w:lang w:val="fr-FR"/>
        </w:rPr>
        <w:t>(rev.cop12)</w:t>
      </w:r>
    </w:p>
    <w:p w14:paraId="1B0535E1" w14:textId="77777777" w:rsidR="00F54941" w:rsidRDefault="00F54941" w:rsidP="00F165BD">
      <w:pPr>
        <w:widowControl/>
        <w:autoSpaceDE/>
        <w:autoSpaceDN/>
        <w:adjustRightInd/>
        <w:jc w:val="center"/>
        <w:rPr>
          <w:b/>
          <w:bCs/>
          <w:caps/>
          <w:lang w:val="fr-FR"/>
        </w:rPr>
      </w:pPr>
    </w:p>
    <w:p w14:paraId="7514F08F" w14:textId="0B529818" w:rsidR="008A3AC6" w:rsidRPr="00F165BD" w:rsidRDefault="00F54941" w:rsidP="00F165BD">
      <w:pPr>
        <w:widowControl/>
        <w:autoSpaceDE/>
        <w:autoSpaceDN/>
        <w:adjustRightInd/>
        <w:jc w:val="center"/>
        <w:rPr>
          <w:b/>
          <w:caps/>
          <w:lang w:val="fr-FR"/>
        </w:rPr>
      </w:pPr>
      <w:r>
        <w:rPr>
          <w:b/>
          <w:bCs/>
          <w:caps/>
          <w:lang w:val="fr-FR"/>
        </w:rPr>
        <w:t>ap</w:t>
      </w:r>
      <w:r w:rsidR="00E43DFB" w:rsidRPr="0012213E">
        <w:rPr>
          <w:b/>
          <w:bCs/>
          <w:caps/>
          <w:lang w:val="fr-FR"/>
        </w:rPr>
        <w:t>PROBATION DES PL</w:t>
      </w:r>
      <w:r w:rsidR="00F165BD">
        <w:rPr>
          <w:b/>
          <w:bCs/>
          <w:caps/>
          <w:lang w:val="fr-FR"/>
        </w:rPr>
        <w:t>ANS D'ACTION POUR CERTAINES ESPÈ</w:t>
      </w:r>
      <w:r w:rsidR="00E43DFB" w:rsidRPr="0012213E">
        <w:rPr>
          <w:b/>
          <w:bCs/>
          <w:caps/>
          <w:lang w:val="fr-FR"/>
        </w:rPr>
        <w:t xml:space="preserve">CES D'OISEAUX </w:t>
      </w:r>
      <w:r w:rsidR="00E43DFB" w:rsidRPr="00E43DFB">
        <w:rPr>
          <w:b/>
          <w:bCs/>
          <w:caps/>
          <w:lang w:val="fr-FR"/>
        </w:rPr>
        <w:t>MIGRATEURS INSCRITES A</w:t>
      </w:r>
      <w:r w:rsidR="00F165BD">
        <w:rPr>
          <w:b/>
          <w:bCs/>
          <w:caps/>
          <w:lang w:val="fr-FR"/>
        </w:rPr>
        <w:t xml:space="preserve">UX </w:t>
      </w:r>
      <w:r w:rsidR="00E43DFB" w:rsidRPr="00E43DFB">
        <w:rPr>
          <w:b/>
          <w:bCs/>
          <w:caps/>
          <w:lang w:val="fr-FR"/>
        </w:rPr>
        <w:t>ANNEXE</w:t>
      </w:r>
      <w:r w:rsidR="00F165BD">
        <w:rPr>
          <w:b/>
          <w:bCs/>
          <w:caps/>
          <w:lang w:val="fr-FR"/>
        </w:rPr>
        <w:t>S</w:t>
      </w:r>
      <w:r w:rsidR="00E43DFB" w:rsidRPr="00E43DFB">
        <w:rPr>
          <w:b/>
          <w:bCs/>
          <w:caps/>
          <w:lang w:val="fr-FR"/>
        </w:rPr>
        <w:t xml:space="preserve"> I et II</w:t>
      </w:r>
    </w:p>
    <w:p w14:paraId="015FCBD8" w14:textId="77777777" w:rsidR="00E43DFB" w:rsidRPr="0012213E" w:rsidRDefault="00E43DFB" w:rsidP="008A3AC6">
      <w:pPr>
        <w:jc w:val="center"/>
        <w:rPr>
          <w:lang w:val="fr-FR"/>
        </w:rPr>
      </w:pPr>
    </w:p>
    <w:p w14:paraId="61C4AFDF" w14:textId="176FF9F0" w:rsidR="00E8776E" w:rsidRDefault="008A3AC6" w:rsidP="00E43DFB">
      <w:pPr>
        <w:jc w:val="both"/>
        <w:rPr>
          <w:i/>
          <w:iCs/>
          <w:color w:val="000000" w:themeColor="text1"/>
          <w:lang w:val="fr-FR"/>
        </w:rPr>
      </w:pPr>
      <w:proofErr w:type="gramStart"/>
      <w:r w:rsidRPr="0012213E">
        <w:rPr>
          <w:i/>
          <w:lang w:val="fr-FR"/>
        </w:rPr>
        <w:t>NB:</w:t>
      </w:r>
      <w:proofErr w:type="gramEnd"/>
      <w:r w:rsidRPr="0012213E">
        <w:rPr>
          <w:i/>
          <w:lang w:val="fr-FR"/>
        </w:rPr>
        <w:tab/>
      </w:r>
      <w:r w:rsidRPr="0012213E">
        <w:rPr>
          <w:i/>
          <w:iCs/>
          <w:color w:val="000000" w:themeColor="text1"/>
          <w:lang w:val="fr-FR"/>
        </w:rPr>
        <w:t xml:space="preserve">Le nouveau texte est </w:t>
      </w:r>
      <w:r w:rsidRPr="0012213E">
        <w:rPr>
          <w:i/>
          <w:iCs/>
          <w:color w:val="000000" w:themeColor="text1"/>
          <w:u w:val="single"/>
          <w:lang w:val="fr-FR"/>
        </w:rPr>
        <w:t>souligné</w:t>
      </w:r>
      <w:r w:rsidRPr="0012213E">
        <w:rPr>
          <w:i/>
          <w:iCs/>
          <w:color w:val="000000" w:themeColor="text1"/>
          <w:lang w:val="fr-FR"/>
        </w:rPr>
        <w:t xml:space="preserve">. Le texte à effacer est </w:t>
      </w:r>
      <w:r w:rsidRPr="0012213E">
        <w:rPr>
          <w:i/>
          <w:iCs/>
          <w:strike/>
          <w:color w:val="000000" w:themeColor="text1"/>
          <w:lang w:val="fr-FR"/>
        </w:rPr>
        <w:t>barré</w:t>
      </w:r>
      <w:r w:rsidRPr="0012213E">
        <w:rPr>
          <w:i/>
          <w:iCs/>
          <w:color w:val="000000" w:themeColor="text1"/>
          <w:lang w:val="fr-FR"/>
        </w:rPr>
        <w:t>.</w:t>
      </w:r>
    </w:p>
    <w:p w14:paraId="3DD43146" w14:textId="77777777" w:rsidR="00F165BD" w:rsidRPr="0012213E" w:rsidRDefault="00F165BD" w:rsidP="00E43DFB">
      <w:pPr>
        <w:jc w:val="both"/>
        <w:rPr>
          <w:i/>
          <w:lang w:val="fr-FR"/>
        </w:rPr>
      </w:pPr>
    </w:p>
    <w:p w14:paraId="272CC510" w14:textId="77777777" w:rsidR="00593041" w:rsidRPr="0012213E" w:rsidRDefault="00593041" w:rsidP="00593041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1745"/>
      </w:tblGrid>
      <w:tr w:rsidR="00496B06" w:rsidRPr="0012213E" w14:paraId="4DDF28D4" w14:textId="77777777" w:rsidTr="00275105">
        <w:trPr>
          <w:tblHeader/>
        </w:trPr>
        <w:tc>
          <w:tcPr>
            <w:tcW w:w="7308" w:type="dxa"/>
            <w:shd w:val="clear" w:color="auto" w:fill="D9D9D9" w:themeFill="background1" w:themeFillShade="D9"/>
          </w:tcPr>
          <w:p w14:paraId="7B90CCC0" w14:textId="0222DA96" w:rsidR="00496B06" w:rsidRPr="0012213E" w:rsidRDefault="00496B06" w:rsidP="009F5EBD">
            <w:pPr>
              <w:rPr>
                <w:b/>
                <w:lang w:val="fr-FR"/>
              </w:rPr>
            </w:pPr>
            <w:r w:rsidRPr="0012213E">
              <w:rPr>
                <w:b/>
                <w:lang w:val="fr-FR"/>
              </w:rPr>
              <w:t>Le paragraphe 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7D0BEF10" w14:textId="3D3027B1" w:rsidR="00496B06" w:rsidRPr="0012213E" w:rsidRDefault="00496B06" w:rsidP="009F5EBD">
            <w:pPr>
              <w:rPr>
                <w:b/>
                <w:lang w:val="fr-FR"/>
              </w:rPr>
            </w:pPr>
            <w:r w:rsidRPr="0012213E">
              <w:rPr>
                <w:b/>
                <w:lang w:val="fr-FR"/>
              </w:rPr>
              <w:t>Commentaires</w:t>
            </w:r>
          </w:p>
        </w:tc>
      </w:tr>
      <w:tr w:rsidR="00105176" w:rsidRPr="0012213E" w14:paraId="3C21FE69" w14:textId="77777777" w:rsidTr="00275105">
        <w:tc>
          <w:tcPr>
            <w:tcW w:w="7308" w:type="dxa"/>
            <w:shd w:val="clear" w:color="auto" w:fill="auto"/>
          </w:tcPr>
          <w:p w14:paraId="4C9267D7" w14:textId="113CF028" w:rsidR="00105176" w:rsidRPr="0012213E" w:rsidRDefault="0012213E" w:rsidP="00D82F91">
            <w:pPr>
              <w:widowControl/>
              <w:autoSpaceDE/>
              <w:autoSpaceDN/>
              <w:adjustRightInd/>
              <w:jc w:val="both"/>
              <w:rPr>
                <w:szCs w:val="15"/>
                <w:lang w:val="fr-FR"/>
              </w:rPr>
            </w:pPr>
            <w:r w:rsidRPr="0012213E">
              <w:rPr>
                <w:i/>
                <w:szCs w:val="15"/>
                <w:lang w:val="fr-FR"/>
              </w:rPr>
              <w:t>Prenant</w:t>
            </w:r>
            <w:r w:rsidRPr="0012213E">
              <w:rPr>
                <w:szCs w:val="15"/>
                <w:lang w:val="fr-FR"/>
              </w:rPr>
              <w:t xml:space="preserve"> note de l'ouvrage </w:t>
            </w:r>
            <w:r w:rsidRPr="0012213E">
              <w:rPr>
                <w:strike/>
                <w:szCs w:val="15"/>
                <w:lang w:val="fr-FR"/>
              </w:rPr>
              <w:t>récent</w:t>
            </w:r>
            <w:r w:rsidRPr="003A4176">
              <w:rPr>
                <w:strike/>
                <w:szCs w:val="15"/>
                <w:lang w:val="fr-FR"/>
              </w:rPr>
              <w:t> </w:t>
            </w:r>
            <w:proofErr w:type="spellStart"/>
            <w:r w:rsidRPr="0012213E">
              <w:rPr>
                <w:szCs w:val="15"/>
                <w:lang w:val="fr-FR"/>
              </w:rPr>
              <w:t>Globally</w:t>
            </w:r>
            <w:proofErr w:type="spellEnd"/>
            <w:r w:rsidRPr="0012213E">
              <w:rPr>
                <w:szCs w:val="15"/>
                <w:lang w:val="fr-FR"/>
              </w:rPr>
              <w:t xml:space="preserve"> </w:t>
            </w:r>
            <w:proofErr w:type="spellStart"/>
            <w:r w:rsidRPr="0012213E">
              <w:rPr>
                <w:szCs w:val="15"/>
                <w:lang w:val="fr-FR"/>
              </w:rPr>
              <w:t>Threatened</w:t>
            </w:r>
            <w:proofErr w:type="spellEnd"/>
            <w:r w:rsidRPr="0012213E">
              <w:rPr>
                <w:szCs w:val="15"/>
                <w:lang w:val="fr-FR"/>
              </w:rPr>
              <w:t xml:space="preserve"> </w:t>
            </w:r>
            <w:proofErr w:type="spellStart"/>
            <w:r w:rsidRPr="0012213E">
              <w:rPr>
                <w:szCs w:val="15"/>
                <w:lang w:val="fr-FR"/>
              </w:rPr>
              <w:t>Birds</w:t>
            </w:r>
            <w:proofErr w:type="spellEnd"/>
            <w:r w:rsidRPr="0012213E">
              <w:rPr>
                <w:szCs w:val="15"/>
                <w:lang w:val="fr-FR"/>
              </w:rPr>
              <w:t xml:space="preserve"> in Europe - Action Plans, publié par le Conseil de l'Europe et la Royal Society for the Protection of </w:t>
            </w:r>
            <w:proofErr w:type="spellStart"/>
            <w:r w:rsidRPr="0012213E">
              <w:rPr>
                <w:szCs w:val="15"/>
                <w:lang w:val="fr-FR"/>
              </w:rPr>
              <w:t>Birds</w:t>
            </w:r>
            <w:proofErr w:type="spellEnd"/>
            <w:r w:rsidRPr="0012213E">
              <w:rPr>
                <w:szCs w:val="15"/>
                <w:lang w:val="fr-FR"/>
              </w:rPr>
              <w:t xml:space="preserve"> (1996), qui regroupe, à l'exception de trois, la totalité des plans d'action déjà préparés par </w:t>
            </w:r>
            <w:proofErr w:type="spellStart"/>
            <w:r w:rsidRPr="0012213E">
              <w:rPr>
                <w:szCs w:val="15"/>
                <w:lang w:val="fr-FR"/>
              </w:rPr>
              <w:t>BirdLife</w:t>
            </w:r>
            <w:proofErr w:type="spellEnd"/>
            <w:r w:rsidRPr="0012213E">
              <w:rPr>
                <w:szCs w:val="15"/>
                <w:lang w:val="fr-FR"/>
              </w:rPr>
              <w:t xml:space="preserve"> International et </w:t>
            </w:r>
            <w:proofErr w:type="spellStart"/>
            <w:r w:rsidRPr="0012213E">
              <w:rPr>
                <w:szCs w:val="15"/>
                <w:lang w:val="fr-FR"/>
              </w:rPr>
              <w:t>Wetlands</w:t>
            </w:r>
            <w:proofErr w:type="spellEnd"/>
            <w:r w:rsidRPr="0012213E">
              <w:rPr>
                <w:szCs w:val="15"/>
                <w:lang w:val="fr-FR"/>
              </w:rPr>
              <w:t xml:space="preserve"> </w:t>
            </w:r>
            <w:proofErr w:type="gramStart"/>
            <w:r w:rsidRPr="0012213E">
              <w:rPr>
                <w:szCs w:val="15"/>
                <w:lang w:val="fr-FR"/>
              </w:rPr>
              <w:t>International;</w:t>
            </w:r>
            <w:proofErr w:type="gramEnd"/>
            <w:r w:rsidRPr="0012213E">
              <w:rPr>
                <w:szCs w:val="15"/>
                <w:lang w:val="fr-FR"/>
              </w:rPr>
              <w:t> </w:t>
            </w:r>
          </w:p>
        </w:tc>
        <w:tc>
          <w:tcPr>
            <w:tcW w:w="1745" w:type="dxa"/>
            <w:shd w:val="clear" w:color="auto" w:fill="auto"/>
          </w:tcPr>
          <w:p w14:paraId="27A69154" w14:textId="525A604A" w:rsidR="00105176" w:rsidRPr="0012213E" w:rsidRDefault="00105176" w:rsidP="009F5EBD">
            <w:pPr>
              <w:rPr>
                <w:lang w:val="fr-FR"/>
              </w:rPr>
            </w:pPr>
            <w:r w:rsidRPr="0012213E">
              <w:rPr>
                <w:color w:val="000000" w:themeColor="text1"/>
                <w:lang w:val="fr-FR"/>
              </w:rPr>
              <w:t>Conserver</w:t>
            </w:r>
            <w:r w:rsidR="008C4AFF">
              <w:rPr>
                <w:color w:val="000000" w:themeColor="text1"/>
                <w:lang w:val="fr-FR"/>
              </w:rPr>
              <w:t xml:space="preserve"> </w:t>
            </w:r>
            <w:r w:rsidR="008C4AFF" w:rsidRPr="00C079EF">
              <w:rPr>
                <w:color w:val="000000" w:themeColor="text1"/>
                <w:lang w:val="fr-FR"/>
              </w:rPr>
              <w:t>tel que modifié</w:t>
            </w:r>
          </w:p>
        </w:tc>
      </w:tr>
      <w:tr w:rsidR="00105176" w:rsidRPr="0012213E" w14:paraId="62EAFB41" w14:textId="77777777" w:rsidTr="00275105">
        <w:tc>
          <w:tcPr>
            <w:tcW w:w="7308" w:type="dxa"/>
            <w:shd w:val="clear" w:color="auto" w:fill="auto"/>
          </w:tcPr>
          <w:p w14:paraId="71990F76" w14:textId="0FF9464F" w:rsidR="00105176" w:rsidRPr="0012213E" w:rsidRDefault="0012213E" w:rsidP="003A4176">
            <w:pPr>
              <w:widowControl/>
              <w:autoSpaceDE/>
              <w:autoSpaceDN/>
              <w:adjustRightInd/>
              <w:jc w:val="both"/>
              <w:rPr>
                <w:lang w:val="fr-FR"/>
              </w:rPr>
            </w:pPr>
            <w:r w:rsidRPr="0012213E">
              <w:rPr>
                <w:i/>
                <w:szCs w:val="15"/>
                <w:lang w:val="fr-FR"/>
              </w:rPr>
              <w:t>Considérant</w:t>
            </w:r>
            <w:r w:rsidRPr="0012213E">
              <w:rPr>
                <w:szCs w:val="15"/>
                <w:lang w:val="fr-FR"/>
              </w:rPr>
              <w:t xml:space="preserve"> que les espèces </w:t>
            </w:r>
            <w:proofErr w:type="spellStart"/>
            <w:r w:rsidR="003A4176" w:rsidRPr="00F165BD">
              <w:rPr>
                <w:i/>
                <w:lang w:val="fr-FR"/>
              </w:rPr>
              <w:t>Pelecanus</w:t>
            </w:r>
            <w:proofErr w:type="spellEnd"/>
            <w:r w:rsidR="003A4176" w:rsidRPr="00F165BD">
              <w:rPr>
                <w:i/>
                <w:lang w:val="fr-FR"/>
              </w:rPr>
              <w:t xml:space="preserve"> </w:t>
            </w:r>
            <w:proofErr w:type="spellStart"/>
            <w:r w:rsidR="003A4176" w:rsidRPr="00F165BD">
              <w:rPr>
                <w:i/>
                <w:lang w:val="fr-FR"/>
              </w:rPr>
              <w:t>crispus</w:t>
            </w:r>
            <w:proofErr w:type="spellEnd"/>
            <w:r w:rsidR="003A4176" w:rsidRPr="00F165BD">
              <w:rPr>
                <w:lang w:val="fr-FR"/>
              </w:rPr>
              <w:t xml:space="preserve">, </w:t>
            </w:r>
            <w:r w:rsidR="003A4176" w:rsidRPr="00F165BD">
              <w:rPr>
                <w:i/>
                <w:lang w:val="fr-FR"/>
              </w:rPr>
              <w:t xml:space="preserve">Anser </w:t>
            </w:r>
            <w:proofErr w:type="spellStart"/>
            <w:r w:rsidR="003A4176" w:rsidRPr="00F165BD">
              <w:rPr>
                <w:i/>
                <w:lang w:val="fr-FR"/>
              </w:rPr>
              <w:t>erythropus</w:t>
            </w:r>
            <w:proofErr w:type="spellEnd"/>
            <w:r w:rsidR="003A4176" w:rsidRPr="00F165BD">
              <w:rPr>
                <w:lang w:val="fr-FR"/>
              </w:rPr>
              <w:t xml:space="preserve">, </w:t>
            </w:r>
            <w:proofErr w:type="spellStart"/>
            <w:r w:rsidR="003A4176" w:rsidRPr="00F165BD">
              <w:rPr>
                <w:i/>
                <w:lang w:val="fr-FR"/>
              </w:rPr>
              <w:t>Branta</w:t>
            </w:r>
            <w:proofErr w:type="spellEnd"/>
            <w:r w:rsidR="003A4176" w:rsidRPr="00F165BD">
              <w:rPr>
                <w:i/>
                <w:lang w:val="fr-FR"/>
              </w:rPr>
              <w:t xml:space="preserve"> </w:t>
            </w:r>
            <w:proofErr w:type="spellStart"/>
            <w:r w:rsidR="003A4176" w:rsidRPr="00F165BD">
              <w:rPr>
                <w:i/>
                <w:lang w:val="fr-FR"/>
              </w:rPr>
              <w:t>ruficollis</w:t>
            </w:r>
            <w:proofErr w:type="spellEnd"/>
            <w:r w:rsidR="003A4176" w:rsidRPr="00F165BD">
              <w:rPr>
                <w:lang w:val="fr-FR"/>
              </w:rPr>
              <w:t xml:space="preserve">, </w:t>
            </w:r>
            <w:proofErr w:type="spellStart"/>
            <w:r w:rsidR="003A4176" w:rsidRPr="00F165BD">
              <w:rPr>
                <w:i/>
                <w:lang w:val="fr-FR"/>
              </w:rPr>
              <w:t>Marmaronetta</w:t>
            </w:r>
            <w:proofErr w:type="spellEnd"/>
            <w:r w:rsidR="003A4176" w:rsidRPr="00F165BD">
              <w:rPr>
                <w:i/>
                <w:lang w:val="fr-FR"/>
              </w:rPr>
              <w:t xml:space="preserve"> </w:t>
            </w:r>
            <w:proofErr w:type="spellStart"/>
            <w:r w:rsidR="003A4176" w:rsidRPr="00F165BD">
              <w:rPr>
                <w:i/>
                <w:lang w:val="fr-FR"/>
              </w:rPr>
              <w:t>angustirostris</w:t>
            </w:r>
            <w:proofErr w:type="spellEnd"/>
            <w:r w:rsidR="003A4176" w:rsidRPr="00F165BD">
              <w:rPr>
                <w:lang w:val="fr-FR"/>
              </w:rPr>
              <w:t xml:space="preserve">, </w:t>
            </w:r>
            <w:proofErr w:type="spellStart"/>
            <w:r w:rsidR="003A4176" w:rsidRPr="00F165BD">
              <w:rPr>
                <w:i/>
                <w:lang w:val="fr-FR"/>
              </w:rPr>
              <w:t>Aythya</w:t>
            </w:r>
            <w:proofErr w:type="spellEnd"/>
            <w:r w:rsidR="003A4176" w:rsidRPr="00F165BD">
              <w:rPr>
                <w:i/>
                <w:lang w:val="fr-FR"/>
              </w:rPr>
              <w:t xml:space="preserve"> </w:t>
            </w:r>
            <w:proofErr w:type="spellStart"/>
            <w:r w:rsidR="003A4176" w:rsidRPr="00F165BD">
              <w:rPr>
                <w:i/>
                <w:lang w:val="fr-FR"/>
              </w:rPr>
              <w:t>nyroca</w:t>
            </w:r>
            <w:proofErr w:type="spellEnd"/>
            <w:r w:rsidR="003A4176" w:rsidRPr="00F165BD">
              <w:rPr>
                <w:lang w:val="fr-FR"/>
              </w:rPr>
              <w:t xml:space="preserve">, </w:t>
            </w:r>
            <w:proofErr w:type="spellStart"/>
            <w:r w:rsidR="003A4176" w:rsidRPr="00F165BD">
              <w:rPr>
                <w:i/>
                <w:lang w:val="fr-FR"/>
              </w:rPr>
              <w:t>Polysticta</w:t>
            </w:r>
            <w:proofErr w:type="spellEnd"/>
            <w:r w:rsidR="003A4176" w:rsidRPr="00F165BD">
              <w:rPr>
                <w:i/>
                <w:lang w:val="fr-FR"/>
              </w:rPr>
              <w:t xml:space="preserve"> </w:t>
            </w:r>
            <w:proofErr w:type="spellStart"/>
            <w:r w:rsidR="003A4176" w:rsidRPr="00F165BD">
              <w:rPr>
                <w:i/>
                <w:lang w:val="fr-FR"/>
              </w:rPr>
              <w:t>stelleri</w:t>
            </w:r>
            <w:proofErr w:type="spellEnd"/>
            <w:r w:rsidR="003A4176" w:rsidRPr="00F165BD">
              <w:rPr>
                <w:lang w:val="fr-FR"/>
              </w:rPr>
              <w:t xml:space="preserve">, </w:t>
            </w:r>
            <w:proofErr w:type="spellStart"/>
            <w:r w:rsidR="003A4176" w:rsidRPr="00F165BD">
              <w:rPr>
                <w:i/>
                <w:lang w:val="fr-FR"/>
              </w:rPr>
              <w:t>Oxyura</w:t>
            </w:r>
            <w:proofErr w:type="spellEnd"/>
            <w:r w:rsidR="003A4176" w:rsidRPr="00F165BD">
              <w:rPr>
                <w:i/>
                <w:lang w:val="fr-FR"/>
              </w:rPr>
              <w:t xml:space="preserve"> </w:t>
            </w:r>
            <w:proofErr w:type="spellStart"/>
            <w:r w:rsidR="003A4176" w:rsidRPr="00F165BD">
              <w:rPr>
                <w:i/>
                <w:lang w:val="fr-FR"/>
              </w:rPr>
              <w:t>leucocephala</w:t>
            </w:r>
            <w:proofErr w:type="spellEnd"/>
            <w:r w:rsidR="003A4176" w:rsidRPr="00F165BD">
              <w:rPr>
                <w:lang w:val="fr-FR"/>
              </w:rPr>
              <w:t xml:space="preserve">, </w:t>
            </w:r>
            <w:r w:rsidR="003A4176" w:rsidRPr="00F165BD">
              <w:rPr>
                <w:i/>
                <w:lang w:val="fr-FR"/>
              </w:rPr>
              <w:t xml:space="preserve">Aquila </w:t>
            </w:r>
            <w:proofErr w:type="spellStart"/>
            <w:r w:rsidR="003A4176" w:rsidRPr="00F165BD">
              <w:rPr>
                <w:i/>
                <w:lang w:val="fr-FR"/>
              </w:rPr>
              <w:t>heliaca</w:t>
            </w:r>
            <w:proofErr w:type="spellEnd"/>
            <w:r w:rsidR="003A4176" w:rsidRPr="00F165BD">
              <w:rPr>
                <w:lang w:val="fr-FR"/>
              </w:rPr>
              <w:t xml:space="preserve">, </w:t>
            </w:r>
            <w:r w:rsidR="003A4176" w:rsidRPr="00F165BD">
              <w:rPr>
                <w:i/>
                <w:lang w:val="fr-FR"/>
              </w:rPr>
              <w:t xml:space="preserve">Aquila </w:t>
            </w:r>
            <w:proofErr w:type="spellStart"/>
            <w:r w:rsidR="003A4176" w:rsidRPr="00F165BD">
              <w:rPr>
                <w:i/>
                <w:lang w:val="fr-FR"/>
              </w:rPr>
              <w:t>clanga</w:t>
            </w:r>
            <w:proofErr w:type="spellEnd"/>
            <w:r w:rsidR="003A4176" w:rsidRPr="00F165BD">
              <w:rPr>
                <w:lang w:val="fr-FR"/>
              </w:rPr>
              <w:t xml:space="preserve">, </w:t>
            </w:r>
            <w:r w:rsidR="003A4176" w:rsidRPr="00F165BD">
              <w:rPr>
                <w:i/>
                <w:lang w:val="fr-FR"/>
              </w:rPr>
              <w:t xml:space="preserve">Falco </w:t>
            </w:r>
            <w:proofErr w:type="spellStart"/>
            <w:r w:rsidR="003A4176" w:rsidRPr="00F165BD">
              <w:rPr>
                <w:i/>
                <w:lang w:val="fr-FR"/>
              </w:rPr>
              <w:t>naumanni</w:t>
            </w:r>
            <w:proofErr w:type="spellEnd"/>
            <w:r w:rsidR="003A4176" w:rsidRPr="00F165BD">
              <w:rPr>
                <w:lang w:val="fr-FR"/>
              </w:rPr>
              <w:t xml:space="preserve">, </w:t>
            </w:r>
            <w:r w:rsidR="003A4176" w:rsidRPr="00F165BD">
              <w:rPr>
                <w:i/>
                <w:lang w:val="fr-FR"/>
              </w:rPr>
              <w:t>Otis tarda</w:t>
            </w:r>
            <w:r w:rsidR="003A4176" w:rsidRPr="00F165BD">
              <w:rPr>
                <w:lang w:val="fr-FR"/>
              </w:rPr>
              <w:t xml:space="preserve">, </w:t>
            </w:r>
            <w:r w:rsidR="003A4176" w:rsidRPr="00F165BD">
              <w:rPr>
                <w:i/>
                <w:lang w:val="fr-FR"/>
              </w:rPr>
              <w:t xml:space="preserve">Numenius </w:t>
            </w:r>
            <w:proofErr w:type="spellStart"/>
            <w:r w:rsidR="003A4176" w:rsidRPr="00F165BD">
              <w:rPr>
                <w:i/>
                <w:lang w:val="fr-FR"/>
              </w:rPr>
              <w:t>tenuirostris</w:t>
            </w:r>
            <w:proofErr w:type="spellEnd"/>
            <w:r w:rsidR="003A4176" w:rsidRPr="00F165BD">
              <w:rPr>
                <w:lang w:val="fr-FR"/>
              </w:rPr>
              <w:t xml:space="preserve">, </w:t>
            </w:r>
            <w:proofErr w:type="spellStart"/>
            <w:r w:rsidR="003A4176" w:rsidRPr="00F165BD">
              <w:rPr>
                <w:i/>
                <w:lang w:val="fr-FR"/>
              </w:rPr>
              <w:t>Larus</w:t>
            </w:r>
            <w:proofErr w:type="spellEnd"/>
            <w:r w:rsidR="003A4176" w:rsidRPr="00F165BD">
              <w:rPr>
                <w:i/>
                <w:lang w:val="fr-FR"/>
              </w:rPr>
              <w:t xml:space="preserve"> </w:t>
            </w:r>
            <w:proofErr w:type="spellStart"/>
            <w:r w:rsidR="003A4176" w:rsidRPr="00F165BD">
              <w:rPr>
                <w:i/>
                <w:lang w:val="fr-FR"/>
              </w:rPr>
              <w:t>audouinii</w:t>
            </w:r>
            <w:proofErr w:type="spellEnd"/>
            <w:r w:rsidR="003A4176" w:rsidRPr="00F165BD">
              <w:rPr>
                <w:lang w:val="fr-FR"/>
              </w:rPr>
              <w:t xml:space="preserve"> et </w:t>
            </w:r>
            <w:proofErr w:type="spellStart"/>
            <w:r w:rsidR="003A4176" w:rsidRPr="00F165BD">
              <w:rPr>
                <w:i/>
                <w:lang w:val="fr-FR"/>
              </w:rPr>
              <w:t>Acrocephalus</w:t>
            </w:r>
            <w:proofErr w:type="spellEnd"/>
            <w:r w:rsidR="003A4176" w:rsidRPr="00F165BD">
              <w:rPr>
                <w:i/>
                <w:lang w:val="fr-FR"/>
              </w:rPr>
              <w:t xml:space="preserve"> </w:t>
            </w:r>
            <w:proofErr w:type="spellStart"/>
            <w:r w:rsidR="003A4176" w:rsidRPr="00F165BD">
              <w:rPr>
                <w:i/>
                <w:lang w:val="fr-FR"/>
              </w:rPr>
              <w:t>paludicola</w:t>
            </w:r>
            <w:proofErr w:type="spellEnd"/>
            <w:r w:rsidRPr="0012213E">
              <w:rPr>
                <w:szCs w:val="15"/>
                <w:lang w:val="fr-FR"/>
              </w:rPr>
              <w:t xml:space="preserve"> sont inscrites à l'Annexe I de la CMS et que les espèces  </w:t>
            </w:r>
            <w:proofErr w:type="spellStart"/>
            <w:r w:rsidR="003A4176" w:rsidRPr="00F165BD">
              <w:rPr>
                <w:i/>
                <w:lang w:val="fr-FR"/>
              </w:rPr>
              <w:t>Phalacrocorax</w:t>
            </w:r>
            <w:proofErr w:type="spellEnd"/>
            <w:r w:rsidR="003A4176" w:rsidRPr="00F165BD">
              <w:rPr>
                <w:i/>
                <w:lang w:val="fr-FR"/>
              </w:rPr>
              <w:t xml:space="preserve"> </w:t>
            </w:r>
            <w:proofErr w:type="spellStart"/>
            <w:r w:rsidR="003A4176" w:rsidRPr="00F165BD">
              <w:rPr>
                <w:i/>
                <w:lang w:val="fr-FR"/>
              </w:rPr>
              <w:t>pygmeus</w:t>
            </w:r>
            <w:proofErr w:type="spellEnd"/>
            <w:r w:rsidR="003A4176" w:rsidRPr="00F165BD">
              <w:rPr>
                <w:lang w:val="fr-FR"/>
              </w:rPr>
              <w:t xml:space="preserve">, </w:t>
            </w:r>
            <w:proofErr w:type="spellStart"/>
            <w:r w:rsidR="003A4176" w:rsidRPr="00F165BD">
              <w:rPr>
                <w:i/>
                <w:lang w:val="fr-FR"/>
              </w:rPr>
              <w:t>Aegypius</w:t>
            </w:r>
            <w:proofErr w:type="spellEnd"/>
            <w:r w:rsidR="003A4176" w:rsidRPr="00F165BD">
              <w:rPr>
                <w:i/>
                <w:lang w:val="fr-FR"/>
              </w:rPr>
              <w:t xml:space="preserve"> </w:t>
            </w:r>
            <w:proofErr w:type="spellStart"/>
            <w:r w:rsidR="003A4176" w:rsidRPr="00F165BD">
              <w:rPr>
                <w:i/>
                <w:lang w:val="fr-FR"/>
              </w:rPr>
              <w:t>monachus</w:t>
            </w:r>
            <w:proofErr w:type="spellEnd"/>
            <w:r w:rsidR="003A4176" w:rsidRPr="00F165BD">
              <w:rPr>
                <w:lang w:val="fr-FR"/>
              </w:rPr>
              <w:t xml:space="preserve">, </w:t>
            </w:r>
            <w:r w:rsidR="003A4176" w:rsidRPr="00F165BD">
              <w:rPr>
                <w:i/>
                <w:lang w:val="fr-FR"/>
              </w:rPr>
              <w:t xml:space="preserve">Aquila </w:t>
            </w:r>
            <w:proofErr w:type="spellStart"/>
            <w:r w:rsidR="003A4176" w:rsidRPr="00F165BD">
              <w:rPr>
                <w:i/>
                <w:lang w:val="fr-FR"/>
              </w:rPr>
              <w:t>adalberti</w:t>
            </w:r>
            <w:proofErr w:type="spellEnd"/>
            <w:r w:rsidR="003A4176" w:rsidRPr="00F165BD">
              <w:rPr>
                <w:lang w:val="fr-FR"/>
              </w:rPr>
              <w:t xml:space="preserve"> et </w:t>
            </w:r>
            <w:proofErr w:type="spellStart"/>
            <w:r w:rsidR="003A4176" w:rsidRPr="00F165BD">
              <w:rPr>
                <w:i/>
                <w:lang w:val="fr-FR"/>
              </w:rPr>
              <w:t>Crex</w:t>
            </w:r>
            <w:proofErr w:type="spellEnd"/>
            <w:r w:rsidR="003A4176" w:rsidRPr="00F165BD">
              <w:rPr>
                <w:i/>
                <w:lang w:val="fr-FR"/>
              </w:rPr>
              <w:t xml:space="preserve"> </w:t>
            </w:r>
            <w:proofErr w:type="spellStart"/>
            <w:r w:rsidR="003A4176" w:rsidRPr="00F165BD">
              <w:rPr>
                <w:i/>
                <w:lang w:val="fr-FR"/>
              </w:rPr>
              <w:t>crex</w:t>
            </w:r>
            <w:proofErr w:type="spellEnd"/>
            <w:r w:rsidRPr="0012213E">
              <w:rPr>
                <w:szCs w:val="15"/>
                <w:lang w:val="fr-FR"/>
              </w:rPr>
              <w:t xml:space="preserve"> sont inscrites à l'Annexe II, et qu'il existe des plans d'action pour toutes ces espèces;</w:t>
            </w:r>
          </w:p>
        </w:tc>
        <w:tc>
          <w:tcPr>
            <w:tcW w:w="1745" w:type="dxa"/>
            <w:shd w:val="clear" w:color="auto" w:fill="auto"/>
          </w:tcPr>
          <w:p w14:paraId="17F3114A" w14:textId="05527044" w:rsidR="00105176" w:rsidRPr="0012213E" w:rsidRDefault="00105176" w:rsidP="009F5EBD">
            <w:pPr>
              <w:rPr>
                <w:lang w:val="fr-FR"/>
              </w:rPr>
            </w:pPr>
            <w:r w:rsidRPr="0012213E">
              <w:rPr>
                <w:color w:val="000000" w:themeColor="text1"/>
                <w:lang w:val="fr-FR"/>
              </w:rPr>
              <w:t>Conserver</w:t>
            </w:r>
          </w:p>
        </w:tc>
      </w:tr>
      <w:tr w:rsidR="00105176" w:rsidRPr="0012213E" w14:paraId="32583B04" w14:textId="77777777" w:rsidTr="00275105">
        <w:tc>
          <w:tcPr>
            <w:tcW w:w="7308" w:type="dxa"/>
            <w:shd w:val="clear" w:color="auto" w:fill="auto"/>
          </w:tcPr>
          <w:p w14:paraId="6BB5CF5E" w14:textId="04340795" w:rsidR="00105176" w:rsidRPr="0012213E" w:rsidRDefault="0012213E" w:rsidP="0012213E">
            <w:pPr>
              <w:widowControl/>
              <w:autoSpaceDE/>
              <w:autoSpaceDN/>
              <w:adjustRightInd/>
              <w:jc w:val="both"/>
              <w:rPr>
                <w:lang w:val="fr-FR"/>
              </w:rPr>
            </w:pPr>
            <w:r w:rsidRPr="0012213E">
              <w:rPr>
                <w:i/>
                <w:szCs w:val="15"/>
                <w:lang w:val="fr-FR"/>
              </w:rPr>
              <w:t>Considérant également</w:t>
            </w:r>
            <w:r w:rsidRPr="0012213E">
              <w:rPr>
                <w:szCs w:val="15"/>
                <w:lang w:val="fr-FR"/>
              </w:rPr>
              <w:t xml:space="preserve"> que ces plans d'action sont indispensables pour améliorer l'état de conservation de ces espèces et sont pleinement conformes aux objectifs de la </w:t>
            </w:r>
            <w:proofErr w:type="gramStart"/>
            <w:r w:rsidRPr="0012213E">
              <w:rPr>
                <w:szCs w:val="15"/>
                <w:lang w:val="fr-FR"/>
              </w:rPr>
              <w:t>Convention;</w:t>
            </w:r>
            <w:proofErr w:type="gramEnd"/>
          </w:p>
        </w:tc>
        <w:tc>
          <w:tcPr>
            <w:tcW w:w="1745" w:type="dxa"/>
            <w:shd w:val="clear" w:color="auto" w:fill="auto"/>
          </w:tcPr>
          <w:p w14:paraId="38E1326C" w14:textId="7189E72F" w:rsidR="00105176" w:rsidRPr="0012213E" w:rsidRDefault="00105176" w:rsidP="009F5EBD">
            <w:pPr>
              <w:rPr>
                <w:lang w:val="fr-FR"/>
              </w:rPr>
            </w:pPr>
            <w:r w:rsidRPr="0012213E">
              <w:rPr>
                <w:color w:val="000000" w:themeColor="text1"/>
                <w:lang w:val="fr-FR"/>
              </w:rPr>
              <w:t>Conserver</w:t>
            </w:r>
          </w:p>
        </w:tc>
      </w:tr>
      <w:tr w:rsidR="0012213E" w:rsidRPr="0012213E" w14:paraId="6C3AE6A1" w14:textId="77777777" w:rsidTr="00275105">
        <w:tc>
          <w:tcPr>
            <w:tcW w:w="7308" w:type="dxa"/>
            <w:shd w:val="clear" w:color="auto" w:fill="auto"/>
          </w:tcPr>
          <w:p w14:paraId="72D4617A" w14:textId="0C4715CF" w:rsidR="0012213E" w:rsidRPr="0012213E" w:rsidRDefault="0012213E" w:rsidP="0012213E">
            <w:pPr>
              <w:widowControl/>
              <w:autoSpaceDE/>
              <w:autoSpaceDN/>
              <w:adjustRightInd/>
              <w:jc w:val="both"/>
              <w:rPr>
                <w:szCs w:val="15"/>
                <w:lang w:val="fr-FR"/>
              </w:rPr>
            </w:pPr>
            <w:r w:rsidRPr="0012213E">
              <w:rPr>
                <w:i/>
                <w:szCs w:val="15"/>
                <w:lang w:val="fr-FR"/>
              </w:rPr>
              <w:t>Constatant</w:t>
            </w:r>
            <w:r w:rsidRPr="0012213E">
              <w:rPr>
                <w:szCs w:val="15"/>
                <w:lang w:val="fr-FR"/>
              </w:rPr>
              <w:t xml:space="preserve"> que bon nombre des espèces mentionnées ci-dessus figurent dans le récent Accord sur la</w:t>
            </w:r>
            <w:r>
              <w:rPr>
                <w:szCs w:val="15"/>
                <w:lang w:val="fr-FR"/>
              </w:rPr>
              <w:t xml:space="preserve"> </w:t>
            </w:r>
            <w:r w:rsidRPr="0012213E">
              <w:rPr>
                <w:szCs w:val="15"/>
                <w:lang w:val="fr-FR"/>
              </w:rPr>
              <w:t xml:space="preserve">conservation des oiseaux d'eaux migrateurs d'Afrique-Eurasie (sigle </w:t>
            </w:r>
            <w:proofErr w:type="gramStart"/>
            <w:r w:rsidRPr="0012213E">
              <w:rPr>
                <w:szCs w:val="15"/>
                <w:lang w:val="fr-FR"/>
              </w:rPr>
              <w:t>anglais:</w:t>
            </w:r>
            <w:proofErr w:type="gramEnd"/>
            <w:r w:rsidRPr="0012213E">
              <w:rPr>
                <w:szCs w:val="15"/>
                <w:lang w:val="fr-FR"/>
              </w:rPr>
              <w:t xml:space="preserve"> AEWA), qui deviendra le principal instrument de la conservation des oiseaux d'eaux dans la région;</w:t>
            </w:r>
          </w:p>
        </w:tc>
        <w:tc>
          <w:tcPr>
            <w:tcW w:w="1745" w:type="dxa"/>
            <w:shd w:val="clear" w:color="auto" w:fill="auto"/>
          </w:tcPr>
          <w:p w14:paraId="58AC7CC1" w14:textId="6A972473" w:rsidR="0012213E" w:rsidRPr="0012213E" w:rsidRDefault="0012213E" w:rsidP="009F5EBD">
            <w:pPr>
              <w:rPr>
                <w:color w:val="000000" w:themeColor="text1"/>
                <w:lang w:val="fr-FR"/>
              </w:rPr>
            </w:pPr>
            <w:r w:rsidRPr="0012213E">
              <w:rPr>
                <w:color w:val="000000" w:themeColor="text1"/>
                <w:lang w:val="fr-FR"/>
              </w:rPr>
              <w:t>Conserver</w:t>
            </w:r>
          </w:p>
        </w:tc>
      </w:tr>
      <w:tr w:rsidR="0012213E" w:rsidRPr="0012213E" w14:paraId="7EB0468D" w14:textId="77777777" w:rsidTr="00275105">
        <w:tc>
          <w:tcPr>
            <w:tcW w:w="7308" w:type="dxa"/>
            <w:shd w:val="clear" w:color="auto" w:fill="auto"/>
          </w:tcPr>
          <w:p w14:paraId="55AF1E35" w14:textId="77777777" w:rsidR="0012213E" w:rsidRDefault="0012213E" w:rsidP="0012213E">
            <w:pPr>
              <w:widowControl/>
              <w:autoSpaceDE/>
              <w:autoSpaceDN/>
              <w:adjustRightInd/>
              <w:jc w:val="both"/>
              <w:rPr>
                <w:szCs w:val="15"/>
                <w:lang w:val="fr-FR"/>
              </w:rPr>
            </w:pPr>
            <w:r w:rsidRPr="0012213E">
              <w:rPr>
                <w:i/>
                <w:szCs w:val="15"/>
                <w:lang w:val="fr-FR"/>
              </w:rPr>
              <w:t>Consciente</w:t>
            </w:r>
            <w:r w:rsidRPr="0012213E">
              <w:rPr>
                <w:szCs w:val="15"/>
                <w:lang w:val="fr-FR"/>
              </w:rPr>
              <w:t xml:space="preserve"> de la situation critique de l'espèce </w:t>
            </w:r>
            <w:r w:rsidRPr="0012213E">
              <w:rPr>
                <w:i/>
                <w:szCs w:val="15"/>
                <w:lang w:val="fr-FR"/>
              </w:rPr>
              <w:t xml:space="preserve">Numenius </w:t>
            </w:r>
            <w:proofErr w:type="spellStart"/>
            <w:r w:rsidRPr="0012213E">
              <w:rPr>
                <w:i/>
                <w:szCs w:val="15"/>
                <w:lang w:val="fr-FR"/>
              </w:rPr>
              <w:t>tenuirostris</w:t>
            </w:r>
            <w:proofErr w:type="spellEnd"/>
            <w:r w:rsidRPr="0012213E">
              <w:rPr>
                <w:szCs w:val="15"/>
                <w:lang w:val="fr-FR"/>
              </w:rPr>
              <w:t xml:space="preserve"> et prenant note du Mémorandum</w:t>
            </w:r>
            <w:r>
              <w:rPr>
                <w:szCs w:val="15"/>
                <w:lang w:val="fr-FR"/>
              </w:rPr>
              <w:t xml:space="preserve"> </w:t>
            </w:r>
            <w:r w:rsidRPr="0012213E">
              <w:rPr>
                <w:szCs w:val="15"/>
                <w:lang w:val="fr-FR"/>
              </w:rPr>
              <w:t xml:space="preserve">d'accord sur cette espèce élaboré sous l'égide de la CMS et </w:t>
            </w:r>
            <w:r w:rsidRPr="0012213E">
              <w:rPr>
                <w:strike/>
                <w:szCs w:val="15"/>
                <w:lang w:val="fr-FR"/>
              </w:rPr>
              <w:t>déjà</w:t>
            </w:r>
            <w:r w:rsidRPr="0012213E">
              <w:rPr>
                <w:szCs w:val="15"/>
                <w:lang w:val="fr-FR"/>
              </w:rPr>
              <w:t xml:space="preserve"> signé par </w:t>
            </w:r>
            <w:r w:rsidRPr="0012213E">
              <w:rPr>
                <w:strike/>
                <w:szCs w:val="15"/>
                <w:lang w:val="fr-FR"/>
              </w:rPr>
              <w:t>15</w:t>
            </w:r>
            <w:r w:rsidRPr="0012213E">
              <w:rPr>
                <w:szCs w:val="15"/>
                <w:lang w:val="fr-FR"/>
              </w:rPr>
              <w:t xml:space="preserve"> </w:t>
            </w:r>
            <w:r w:rsidR="003A4176">
              <w:rPr>
                <w:szCs w:val="15"/>
                <w:u w:val="single"/>
                <w:lang w:val="fr-FR"/>
              </w:rPr>
              <w:t xml:space="preserve">18 </w:t>
            </w:r>
            <w:proofErr w:type="gramStart"/>
            <w:r w:rsidRPr="0012213E">
              <w:rPr>
                <w:szCs w:val="15"/>
                <w:lang w:val="fr-FR"/>
              </w:rPr>
              <w:t>pays;</w:t>
            </w:r>
            <w:proofErr w:type="gramEnd"/>
          </w:p>
          <w:p w14:paraId="71C22D11" w14:textId="4814813F" w:rsidR="00F165BD" w:rsidRPr="0012213E" w:rsidRDefault="00F165BD" w:rsidP="0012213E">
            <w:pPr>
              <w:widowControl/>
              <w:autoSpaceDE/>
              <w:autoSpaceDN/>
              <w:adjustRightInd/>
              <w:jc w:val="both"/>
              <w:rPr>
                <w:szCs w:val="15"/>
                <w:lang w:val="fr-FR"/>
              </w:rPr>
            </w:pPr>
          </w:p>
        </w:tc>
        <w:tc>
          <w:tcPr>
            <w:tcW w:w="1745" w:type="dxa"/>
            <w:shd w:val="clear" w:color="auto" w:fill="auto"/>
          </w:tcPr>
          <w:p w14:paraId="4147E886" w14:textId="024D3B03" w:rsidR="0012213E" w:rsidRPr="0012213E" w:rsidRDefault="0012213E" w:rsidP="009F5EBD">
            <w:pPr>
              <w:rPr>
                <w:color w:val="000000" w:themeColor="text1"/>
                <w:lang w:val="fr-FR"/>
              </w:rPr>
            </w:pPr>
            <w:r w:rsidRPr="0012213E">
              <w:rPr>
                <w:color w:val="000000" w:themeColor="text1"/>
                <w:lang w:val="fr-FR"/>
              </w:rPr>
              <w:t>Conserver</w:t>
            </w:r>
            <w:r w:rsidR="008C4AFF">
              <w:rPr>
                <w:color w:val="000000" w:themeColor="text1"/>
                <w:lang w:val="fr-FR"/>
              </w:rPr>
              <w:t xml:space="preserve"> </w:t>
            </w:r>
            <w:r w:rsidR="008C4AFF" w:rsidRPr="00C079EF">
              <w:rPr>
                <w:color w:val="000000" w:themeColor="text1"/>
                <w:lang w:val="fr-FR"/>
              </w:rPr>
              <w:t>tel que modifié</w:t>
            </w:r>
          </w:p>
        </w:tc>
      </w:tr>
      <w:tr w:rsidR="00DF67FF" w:rsidRPr="00F165BD" w14:paraId="295EB332" w14:textId="77777777" w:rsidTr="00E829C5">
        <w:tc>
          <w:tcPr>
            <w:tcW w:w="9053" w:type="dxa"/>
            <w:gridSpan w:val="2"/>
            <w:shd w:val="clear" w:color="auto" w:fill="D9D9D9" w:themeFill="background1" w:themeFillShade="D9"/>
          </w:tcPr>
          <w:p w14:paraId="381307A2" w14:textId="77777777" w:rsidR="00F165BD" w:rsidRDefault="00DF67FF" w:rsidP="00DF67FF">
            <w:pPr>
              <w:jc w:val="center"/>
              <w:rPr>
                <w:i/>
                <w:lang w:val="fr-FR"/>
              </w:rPr>
            </w:pPr>
            <w:r w:rsidRPr="0012213E">
              <w:rPr>
                <w:i/>
                <w:lang w:val="fr-FR"/>
              </w:rPr>
              <w:t xml:space="preserve">La Conférence des Parties à la </w:t>
            </w:r>
          </w:p>
          <w:p w14:paraId="140F488B" w14:textId="0AF6C5E8" w:rsidR="00DF67FF" w:rsidRPr="0012213E" w:rsidRDefault="00DF67FF" w:rsidP="00DF67FF">
            <w:pPr>
              <w:jc w:val="center"/>
              <w:rPr>
                <w:lang w:val="fr-FR"/>
              </w:rPr>
            </w:pPr>
            <w:r w:rsidRPr="0012213E">
              <w:rPr>
                <w:i/>
                <w:lang w:val="fr-FR"/>
              </w:rPr>
              <w:t>Convention sur la conservation des espèces migratrices appartenant à la faune sauvage</w:t>
            </w:r>
          </w:p>
        </w:tc>
      </w:tr>
      <w:tr w:rsidR="008C4AFF" w:rsidRPr="0012213E" w14:paraId="70275F65" w14:textId="77777777" w:rsidTr="00275105">
        <w:tc>
          <w:tcPr>
            <w:tcW w:w="7308" w:type="dxa"/>
            <w:shd w:val="clear" w:color="auto" w:fill="auto"/>
          </w:tcPr>
          <w:p w14:paraId="30AAF781" w14:textId="0C6F0CF7" w:rsidR="008C4AFF" w:rsidRPr="0012213E" w:rsidRDefault="008C4AFF" w:rsidP="0012213E">
            <w:pPr>
              <w:widowControl/>
              <w:autoSpaceDE/>
              <w:autoSpaceDN/>
              <w:adjustRightInd/>
              <w:jc w:val="both"/>
              <w:rPr>
                <w:szCs w:val="15"/>
                <w:lang w:val="fr-FR"/>
              </w:rPr>
            </w:pPr>
            <w:r w:rsidRPr="0012213E">
              <w:rPr>
                <w:szCs w:val="15"/>
                <w:lang w:val="fr-FR"/>
              </w:rPr>
              <w:t xml:space="preserve">1. </w:t>
            </w:r>
            <w:r w:rsidRPr="0012213E">
              <w:rPr>
                <w:i/>
                <w:szCs w:val="15"/>
                <w:lang w:val="fr-FR"/>
              </w:rPr>
              <w:t>Encourage </w:t>
            </w:r>
            <w:r w:rsidRPr="0012213E">
              <w:rPr>
                <w:szCs w:val="15"/>
                <w:lang w:val="fr-FR"/>
              </w:rPr>
              <w:t xml:space="preserve">les Parties qui sont des Etats de l'aire de répartition des espèces mentionnées ci-dessus à appuyer l'exécution de ces plans </w:t>
            </w:r>
            <w:proofErr w:type="gramStart"/>
            <w:r w:rsidRPr="0012213E">
              <w:rPr>
                <w:szCs w:val="15"/>
                <w:lang w:val="fr-FR"/>
              </w:rPr>
              <w:t>d'action;</w:t>
            </w:r>
            <w:proofErr w:type="gramEnd"/>
          </w:p>
        </w:tc>
        <w:tc>
          <w:tcPr>
            <w:tcW w:w="1745" w:type="dxa"/>
            <w:shd w:val="clear" w:color="auto" w:fill="auto"/>
          </w:tcPr>
          <w:p w14:paraId="29E5CE48" w14:textId="388E4BD0" w:rsidR="008C4AFF" w:rsidRPr="0012213E" w:rsidRDefault="008C4AFF" w:rsidP="009F5EBD">
            <w:pPr>
              <w:rPr>
                <w:lang w:val="fr-FR"/>
              </w:rPr>
            </w:pPr>
            <w:r w:rsidRPr="008740C3">
              <w:rPr>
                <w:color w:val="000000" w:themeColor="text1"/>
                <w:lang w:val="fr-FR"/>
              </w:rPr>
              <w:t>Conserver</w:t>
            </w:r>
          </w:p>
        </w:tc>
      </w:tr>
      <w:tr w:rsidR="008C4AFF" w:rsidRPr="0012213E" w14:paraId="4C9E7D78" w14:textId="77777777" w:rsidTr="00275105">
        <w:tc>
          <w:tcPr>
            <w:tcW w:w="7308" w:type="dxa"/>
            <w:shd w:val="clear" w:color="auto" w:fill="auto"/>
          </w:tcPr>
          <w:p w14:paraId="31838B38" w14:textId="7DF072BF" w:rsidR="008C4AFF" w:rsidRPr="0012213E" w:rsidRDefault="008C4AFF" w:rsidP="0012213E">
            <w:pPr>
              <w:widowControl/>
              <w:autoSpaceDE/>
              <w:autoSpaceDN/>
              <w:adjustRightInd/>
              <w:jc w:val="both"/>
              <w:rPr>
                <w:szCs w:val="15"/>
                <w:lang w:val="fr-FR"/>
              </w:rPr>
            </w:pPr>
            <w:r w:rsidRPr="0012213E">
              <w:rPr>
                <w:szCs w:val="15"/>
                <w:lang w:val="fr-FR"/>
              </w:rPr>
              <w:t xml:space="preserve">2. </w:t>
            </w:r>
            <w:r w:rsidRPr="0012213E">
              <w:rPr>
                <w:i/>
                <w:szCs w:val="15"/>
                <w:lang w:val="fr-FR"/>
              </w:rPr>
              <w:t>Encourage </w:t>
            </w:r>
            <w:r w:rsidRPr="0012213E">
              <w:rPr>
                <w:szCs w:val="15"/>
                <w:lang w:val="fr-FR"/>
              </w:rPr>
              <w:t xml:space="preserve">les Etats de l'aire de répartition de l'AEWA qui n'auraient pas encore signé cet important Accord à le faire afin d'assurer une meilleure gestion des oiseaux d'eaux dont ils se partagent </w:t>
            </w:r>
            <w:proofErr w:type="gramStart"/>
            <w:r w:rsidRPr="0012213E">
              <w:rPr>
                <w:szCs w:val="15"/>
                <w:lang w:val="fr-FR"/>
              </w:rPr>
              <w:t>l'aire;</w:t>
            </w:r>
            <w:proofErr w:type="gramEnd"/>
          </w:p>
        </w:tc>
        <w:tc>
          <w:tcPr>
            <w:tcW w:w="1745" w:type="dxa"/>
            <w:shd w:val="clear" w:color="auto" w:fill="auto"/>
          </w:tcPr>
          <w:p w14:paraId="1E80C1FB" w14:textId="6C20FE66" w:rsidR="008C4AFF" w:rsidRPr="0012213E" w:rsidRDefault="008C4AFF" w:rsidP="009F5EBD">
            <w:pPr>
              <w:rPr>
                <w:lang w:val="fr-FR"/>
              </w:rPr>
            </w:pPr>
            <w:r w:rsidRPr="008740C3">
              <w:rPr>
                <w:color w:val="000000" w:themeColor="text1"/>
                <w:lang w:val="fr-FR"/>
              </w:rPr>
              <w:t>Conserver</w:t>
            </w:r>
          </w:p>
        </w:tc>
      </w:tr>
      <w:tr w:rsidR="003A4176" w:rsidRPr="00F54941" w14:paraId="212282B0" w14:textId="77777777" w:rsidTr="00275105">
        <w:tc>
          <w:tcPr>
            <w:tcW w:w="7308" w:type="dxa"/>
            <w:shd w:val="clear" w:color="auto" w:fill="auto"/>
          </w:tcPr>
          <w:p w14:paraId="774042C7" w14:textId="35D66BC0" w:rsidR="003A4176" w:rsidRPr="00372D16" w:rsidRDefault="003A4176" w:rsidP="0012213E">
            <w:pPr>
              <w:widowControl/>
              <w:autoSpaceDE/>
              <w:autoSpaceDN/>
              <w:adjustRightInd/>
              <w:jc w:val="both"/>
              <w:rPr>
                <w:strike/>
                <w:szCs w:val="15"/>
                <w:lang w:val="fr-FR"/>
              </w:rPr>
            </w:pPr>
            <w:r w:rsidRPr="00372D16">
              <w:rPr>
                <w:strike/>
                <w:szCs w:val="15"/>
                <w:lang w:val="fr-FR"/>
              </w:rPr>
              <w:t>3</w:t>
            </w:r>
            <w:r w:rsidRPr="0012213E">
              <w:rPr>
                <w:strike/>
                <w:szCs w:val="15"/>
                <w:lang w:val="fr-FR"/>
              </w:rPr>
              <w:t xml:space="preserve">. </w:t>
            </w:r>
            <w:r w:rsidRPr="0012213E">
              <w:rPr>
                <w:i/>
                <w:strike/>
                <w:szCs w:val="15"/>
                <w:lang w:val="fr-FR"/>
              </w:rPr>
              <w:t>Invite</w:t>
            </w:r>
            <w:r w:rsidRPr="00372D16">
              <w:rPr>
                <w:i/>
                <w:strike/>
                <w:szCs w:val="15"/>
                <w:lang w:val="fr-FR"/>
              </w:rPr>
              <w:t> </w:t>
            </w:r>
            <w:r w:rsidRPr="0012213E">
              <w:rPr>
                <w:strike/>
                <w:szCs w:val="15"/>
                <w:lang w:val="fr-FR"/>
              </w:rPr>
              <w:t>les Parties à l'AEWA d'adopter à leur première session ces plans d'action en tant que Plans d'action</w:t>
            </w:r>
            <w:r w:rsidRPr="00372D16">
              <w:rPr>
                <w:strike/>
                <w:szCs w:val="15"/>
                <w:lang w:val="fr-FR"/>
              </w:rPr>
              <w:t xml:space="preserve"> </w:t>
            </w:r>
            <w:r w:rsidRPr="0012213E">
              <w:rPr>
                <w:strike/>
                <w:szCs w:val="15"/>
                <w:lang w:val="fr-FR"/>
              </w:rPr>
              <w:t xml:space="preserve">pour certaines espèces comme prévu à l'Article 2.2 de l'Annexe 3 de </w:t>
            </w:r>
            <w:proofErr w:type="gramStart"/>
            <w:r w:rsidRPr="0012213E">
              <w:rPr>
                <w:strike/>
                <w:szCs w:val="15"/>
                <w:lang w:val="fr-FR"/>
              </w:rPr>
              <w:t>l'AEWA;</w:t>
            </w:r>
            <w:proofErr w:type="gramEnd"/>
          </w:p>
        </w:tc>
        <w:tc>
          <w:tcPr>
            <w:tcW w:w="1745" w:type="dxa"/>
            <w:shd w:val="clear" w:color="auto" w:fill="auto"/>
          </w:tcPr>
          <w:p w14:paraId="774EB27E" w14:textId="118D4D0F" w:rsidR="003A4176" w:rsidRPr="00F165BD" w:rsidRDefault="00F165BD" w:rsidP="009F5EBD">
            <w:pPr>
              <w:rPr>
                <w:lang w:val="fr-FR"/>
              </w:rPr>
            </w:pPr>
            <w:proofErr w:type="spellStart"/>
            <w:r w:rsidRPr="00F54941">
              <w:rPr>
                <w:lang w:val="es-ES"/>
              </w:rPr>
              <w:t>Abroger</w:t>
            </w:r>
            <w:proofErr w:type="spellEnd"/>
            <w:r w:rsidRPr="00F54941">
              <w:rPr>
                <w:lang w:val="es-ES"/>
              </w:rPr>
              <w:t>, caduque.</w:t>
            </w:r>
            <w:r w:rsidR="003A4176" w:rsidRPr="00F54941">
              <w:rPr>
                <w:lang w:val="es-ES"/>
              </w:rPr>
              <w:t xml:space="preserve"> </w:t>
            </w:r>
            <w:r>
              <w:rPr>
                <w:lang w:val="fr-FR"/>
              </w:rPr>
              <w:t>En outre, l’</w:t>
            </w:r>
            <w:r w:rsidRPr="00F165BD">
              <w:rPr>
                <w:lang w:val="fr-FR"/>
              </w:rPr>
              <w:t>AEWA a adopté des plans d'action p</w:t>
            </w:r>
            <w:r>
              <w:rPr>
                <w:lang w:val="fr-FR"/>
              </w:rPr>
              <w:t>ar</w:t>
            </w:r>
            <w:r w:rsidRPr="00F165BD">
              <w:rPr>
                <w:lang w:val="fr-FR"/>
              </w:rPr>
              <w:t xml:space="preserve"> espèce pour la plupart des espèces énumérées</w:t>
            </w:r>
            <w:r>
              <w:rPr>
                <w:lang w:val="fr-FR"/>
              </w:rPr>
              <w:t>.</w:t>
            </w:r>
          </w:p>
        </w:tc>
      </w:tr>
      <w:tr w:rsidR="008C4AFF" w:rsidRPr="008568AF" w14:paraId="22E1ADDD" w14:textId="77777777" w:rsidTr="0012213E">
        <w:trPr>
          <w:trHeight w:val="655"/>
        </w:trPr>
        <w:tc>
          <w:tcPr>
            <w:tcW w:w="7308" w:type="dxa"/>
            <w:shd w:val="clear" w:color="auto" w:fill="auto"/>
          </w:tcPr>
          <w:p w14:paraId="6A4BA8B4" w14:textId="48B01324" w:rsidR="008C4AFF" w:rsidRPr="00B3114B" w:rsidRDefault="008C4AFF" w:rsidP="0012213E">
            <w:pPr>
              <w:widowControl/>
              <w:autoSpaceDE/>
              <w:autoSpaceDN/>
              <w:adjustRightInd/>
              <w:jc w:val="both"/>
              <w:rPr>
                <w:strike/>
                <w:szCs w:val="15"/>
                <w:lang w:val="fr-FR"/>
              </w:rPr>
            </w:pPr>
            <w:r w:rsidRPr="0012213E">
              <w:rPr>
                <w:strike/>
                <w:szCs w:val="15"/>
                <w:lang w:val="fr-FR"/>
              </w:rPr>
              <w:lastRenderedPageBreak/>
              <w:t>4.</w:t>
            </w:r>
            <w:r w:rsidRPr="0012213E">
              <w:rPr>
                <w:szCs w:val="15"/>
                <w:lang w:val="fr-FR"/>
              </w:rPr>
              <w:t xml:space="preserve"> </w:t>
            </w:r>
            <w:r w:rsidRPr="00B3114B">
              <w:rPr>
                <w:i/>
                <w:strike/>
                <w:szCs w:val="15"/>
                <w:lang w:val="fr-FR"/>
              </w:rPr>
              <w:t>Encourage </w:t>
            </w:r>
            <w:r w:rsidRPr="00B3114B">
              <w:rPr>
                <w:strike/>
                <w:szCs w:val="15"/>
                <w:lang w:val="fr-FR"/>
              </w:rPr>
              <w:t xml:space="preserve">les Etats de l'aire de répartition de l'espèce </w:t>
            </w:r>
            <w:r w:rsidRPr="00B3114B">
              <w:rPr>
                <w:i/>
                <w:strike/>
                <w:szCs w:val="15"/>
                <w:lang w:val="fr-FR"/>
              </w:rPr>
              <w:t xml:space="preserve">Numenius </w:t>
            </w:r>
            <w:proofErr w:type="spellStart"/>
            <w:proofErr w:type="gramStart"/>
            <w:r w:rsidRPr="00B3114B">
              <w:rPr>
                <w:i/>
                <w:strike/>
                <w:szCs w:val="15"/>
                <w:lang w:val="fr-FR"/>
              </w:rPr>
              <w:t>tenuirostris</w:t>
            </w:r>
            <w:proofErr w:type="spellEnd"/>
            <w:r w:rsidRPr="00B3114B">
              <w:rPr>
                <w:strike/>
                <w:szCs w:val="15"/>
                <w:lang w:val="fr-FR"/>
              </w:rPr>
              <w:t>  à</w:t>
            </w:r>
            <w:proofErr w:type="gramEnd"/>
          </w:p>
          <w:p w14:paraId="1ECD5945" w14:textId="77777777" w:rsidR="008C4AFF" w:rsidRPr="00B3114B" w:rsidRDefault="008C4AFF" w:rsidP="0012213E">
            <w:pPr>
              <w:widowControl/>
              <w:autoSpaceDE/>
              <w:autoSpaceDN/>
              <w:adjustRightInd/>
              <w:ind w:left="330"/>
              <w:jc w:val="both"/>
              <w:rPr>
                <w:strike/>
                <w:szCs w:val="15"/>
                <w:lang w:val="fr-FR"/>
              </w:rPr>
            </w:pPr>
          </w:p>
          <w:p w14:paraId="7393E8B7" w14:textId="77777777" w:rsidR="008C4AFF" w:rsidRPr="00B3114B" w:rsidRDefault="008C4AFF" w:rsidP="0012213E">
            <w:pPr>
              <w:widowControl/>
              <w:autoSpaceDE/>
              <w:autoSpaceDN/>
              <w:adjustRightInd/>
              <w:ind w:left="330"/>
              <w:jc w:val="both"/>
              <w:rPr>
                <w:strike/>
                <w:szCs w:val="15"/>
                <w:lang w:val="fr-FR"/>
              </w:rPr>
            </w:pPr>
            <w:r w:rsidRPr="00B3114B">
              <w:rPr>
                <w:strike/>
                <w:szCs w:val="15"/>
                <w:lang w:val="fr-FR"/>
              </w:rPr>
              <w:t>a) signer le Mémorandum d'accord s'ils ne l'ont pas déjà fait, et</w:t>
            </w:r>
          </w:p>
          <w:p w14:paraId="46E680F6" w14:textId="77777777" w:rsidR="008C4AFF" w:rsidRPr="00B3114B" w:rsidRDefault="008C4AFF" w:rsidP="0012213E">
            <w:pPr>
              <w:widowControl/>
              <w:autoSpaceDE/>
              <w:autoSpaceDN/>
              <w:adjustRightInd/>
              <w:ind w:left="330"/>
              <w:jc w:val="both"/>
              <w:rPr>
                <w:strike/>
                <w:szCs w:val="15"/>
                <w:lang w:val="fr-FR"/>
              </w:rPr>
            </w:pPr>
          </w:p>
          <w:p w14:paraId="6326218D" w14:textId="71709E10" w:rsidR="008C4AFF" w:rsidRPr="0012213E" w:rsidRDefault="008C4AFF" w:rsidP="0012213E">
            <w:pPr>
              <w:widowControl/>
              <w:autoSpaceDE/>
              <w:autoSpaceDN/>
              <w:adjustRightInd/>
              <w:ind w:left="330"/>
              <w:jc w:val="both"/>
              <w:rPr>
                <w:szCs w:val="15"/>
                <w:lang w:val="fr-FR"/>
              </w:rPr>
            </w:pPr>
            <w:r w:rsidRPr="00B3114B">
              <w:rPr>
                <w:strike/>
                <w:szCs w:val="15"/>
                <w:lang w:val="fr-FR"/>
              </w:rPr>
              <w:t xml:space="preserve">b) appuyer l'exécution du plan d'action inclus dans ce Mémorandum, et invite les organisations non gouvernementales qui ont signé le Mémorandum à soutenir activement les efforts déployés par le Secrétariat pour organiser l'exécution du plan au niveau </w:t>
            </w:r>
            <w:proofErr w:type="gramStart"/>
            <w:r w:rsidRPr="00B3114B">
              <w:rPr>
                <w:strike/>
                <w:szCs w:val="15"/>
                <w:lang w:val="fr-FR"/>
              </w:rPr>
              <w:t>international;</w:t>
            </w:r>
            <w:proofErr w:type="gramEnd"/>
          </w:p>
        </w:tc>
        <w:tc>
          <w:tcPr>
            <w:tcW w:w="1745" w:type="dxa"/>
            <w:shd w:val="clear" w:color="auto" w:fill="auto"/>
          </w:tcPr>
          <w:p w14:paraId="1D942F45" w14:textId="77777777" w:rsidR="008C4AFF" w:rsidRDefault="00F165BD" w:rsidP="009F5EBD">
            <w:pPr>
              <w:rPr>
                <w:lang w:val="fr-FR"/>
              </w:rPr>
            </w:pPr>
            <w:r w:rsidRPr="00F165BD">
              <w:rPr>
                <w:lang w:val="fr-FR"/>
              </w:rPr>
              <w:t xml:space="preserve">Abroger, pas de rapport </w:t>
            </w:r>
            <w:proofErr w:type="spellStart"/>
            <w:r w:rsidRPr="00F165BD">
              <w:rPr>
                <w:lang w:val="fr-FR"/>
              </w:rPr>
              <w:t>recent</w:t>
            </w:r>
            <w:proofErr w:type="spellEnd"/>
            <w:r w:rsidRPr="00F165BD">
              <w:rPr>
                <w:lang w:val="fr-FR"/>
              </w:rPr>
              <w:t xml:space="preserve"> pour</w:t>
            </w:r>
            <w:r w:rsidR="0077212A" w:rsidRPr="00F165BD">
              <w:rPr>
                <w:lang w:val="fr-FR"/>
              </w:rPr>
              <w:t xml:space="preserve"> </w:t>
            </w:r>
            <w:r w:rsidR="0077212A" w:rsidRPr="00F165BD">
              <w:rPr>
                <w:i/>
                <w:lang w:val="fr-FR"/>
              </w:rPr>
              <w:t xml:space="preserve">Numenius </w:t>
            </w:r>
            <w:proofErr w:type="spellStart"/>
            <w:r w:rsidR="0077212A" w:rsidRPr="00F165BD">
              <w:rPr>
                <w:i/>
                <w:lang w:val="fr-FR"/>
              </w:rPr>
              <w:t>tenuirostris</w:t>
            </w:r>
            <w:proofErr w:type="spellEnd"/>
            <w:r w:rsidR="0077212A" w:rsidRPr="00F165BD">
              <w:rPr>
                <w:lang w:val="fr-FR"/>
              </w:rPr>
              <w:t xml:space="preserve">. </w:t>
            </w:r>
            <w:r w:rsidR="008568AF">
              <w:rPr>
                <w:lang w:val="fr-FR"/>
              </w:rPr>
              <w:t xml:space="preserve">Le </w:t>
            </w:r>
            <w:proofErr w:type="spellStart"/>
            <w:r w:rsidR="008568AF">
              <w:rPr>
                <w:lang w:val="fr-FR"/>
              </w:rPr>
              <w:t>MdE</w:t>
            </w:r>
            <w:proofErr w:type="spellEnd"/>
            <w:r w:rsidR="008568AF">
              <w:rPr>
                <w:lang w:val="fr-FR"/>
              </w:rPr>
              <w:t xml:space="preserve"> est inactif car l'espèce est proche de </w:t>
            </w:r>
            <w:proofErr w:type="gramStart"/>
            <w:r w:rsidR="008568AF">
              <w:rPr>
                <w:lang w:val="fr-FR"/>
              </w:rPr>
              <w:t>l'extinction.</w:t>
            </w:r>
            <w:r w:rsidR="0077212A" w:rsidRPr="008568AF">
              <w:rPr>
                <w:lang w:val="fr-FR"/>
              </w:rPr>
              <w:t>.</w:t>
            </w:r>
            <w:proofErr w:type="gramEnd"/>
          </w:p>
          <w:p w14:paraId="48E20B8B" w14:textId="5F96219B" w:rsidR="008568AF" w:rsidRPr="008568AF" w:rsidRDefault="008568AF" w:rsidP="009F5EBD">
            <w:pPr>
              <w:rPr>
                <w:highlight w:val="yellow"/>
                <w:lang w:val="fr-FR"/>
              </w:rPr>
            </w:pPr>
          </w:p>
        </w:tc>
      </w:tr>
      <w:tr w:rsidR="008C4AFF" w:rsidRPr="0012213E" w14:paraId="77B18EF8" w14:textId="77777777" w:rsidTr="0012213E">
        <w:trPr>
          <w:trHeight w:val="214"/>
        </w:trPr>
        <w:tc>
          <w:tcPr>
            <w:tcW w:w="7308" w:type="dxa"/>
            <w:shd w:val="clear" w:color="auto" w:fill="auto"/>
          </w:tcPr>
          <w:p w14:paraId="02E103E0" w14:textId="01BB8BE7" w:rsidR="008C4AFF" w:rsidRPr="0012213E" w:rsidRDefault="008C4AFF" w:rsidP="00CF7AAF">
            <w:pPr>
              <w:widowControl/>
              <w:autoSpaceDE/>
              <w:autoSpaceDN/>
              <w:adjustRightInd/>
              <w:jc w:val="both"/>
              <w:rPr>
                <w:szCs w:val="15"/>
                <w:lang w:val="fr-FR"/>
              </w:rPr>
            </w:pPr>
            <w:r w:rsidRPr="0012213E">
              <w:rPr>
                <w:strike/>
                <w:szCs w:val="15"/>
                <w:lang w:val="fr-FR"/>
              </w:rPr>
              <w:t>5.</w:t>
            </w:r>
            <w:r w:rsidRPr="0012213E">
              <w:rPr>
                <w:szCs w:val="15"/>
                <w:lang w:val="fr-FR"/>
              </w:rPr>
              <w:t xml:space="preserve"> </w:t>
            </w:r>
            <w:r w:rsidR="00576C8E">
              <w:rPr>
                <w:szCs w:val="15"/>
                <w:u w:val="single"/>
                <w:lang w:val="fr-FR"/>
              </w:rPr>
              <w:t>3</w:t>
            </w:r>
            <w:r>
              <w:rPr>
                <w:szCs w:val="15"/>
                <w:u w:val="single"/>
                <w:lang w:val="fr-FR"/>
              </w:rPr>
              <w:t xml:space="preserve">. </w:t>
            </w:r>
            <w:r w:rsidRPr="0012213E">
              <w:rPr>
                <w:i/>
                <w:szCs w:val="15"/>
                <w:lang w:val="fr-FR"/>
              </w:rPr>
              <w:t>Prie </w:t>
            </w:r>
            <w:r w:rsidRPr="0012213E">
              <w:rPr>
                <w:szCs w:val="15"/>
                <w:lang w:val="fr-FR"/>
              </w:rPr>
              <w:t>le Secrétariat et le Conseil scientifique d'apporter l'appui nécessaire à ces activités.</w:t>
            </w:r>
          </w:p>
        </w:tc>
        <w:tc>
          <w:tcPr>
            <w:tcW w:w="1745" w:type="dxa"/>
            <w:shd w:val="clear" w:color="auto" w:fill="auto"/>
          </w:tcPr>
          <w:p w14:paraId="0D5E5A0E" w14:textId="5163E3CA" w:rsidR="008C4AFF" w:rsidRPr="0012213E" w:rsidRDefault="008C4AFF" w:rsidP="009F5EBD">
            <w:pPr>
              <w:rPr>
                <w:color w:val="000000" w:themeColor="text1"/>
                <w:lang w:val="fr-FR"/>
              </w:rPr>
            </w:pPr>
            <w:r w:rsidRPr="0066576E">
              <w:rPr>
                <w:color w:val="000000" w:themeColor="text1"/>
                <w:lang w:val="fr-FR"/>
              </w:rPr>
              <w:t>Conserver</w:t>
            </w:r>
          </w:p>
        </w:tc>
      </w:tr>
    </w:tbl>
    <w:p w14:paraId="111DD2A0" w14:textId="77777777" w:rsidR="00593041" w:rsidRPr="0012213E" w:rsidRDefault="00593041" w:rsidP="00593041">
      <w:pPr>
        <w:rPr>
          <w:lang w:val="fr-FR"/>
        </w:rPr>
      </w:pPr>
    </w:p>
    <w:p w14:paraId="4025EFA9" w14:textId="77777777" w:rsidR="00593041" w:rsidRPr="0012213E" w:rsidRDefault="00593041" w:rsidP="00593041">
      <w:pPr>
        <w:jc w:val="both"/>
        <w:rPr>
          <w:lang w:val="fr-FR"/>
        </w:rPr>
      </w:pPr>
    </w:p>
    <w:p w14:paraId="0A67EE54" w14:textId="77777777" w:rsidR="00593041" w:rsidRPr="0012213E" w:rsidRDefault="00593041" w:rsidP="005930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b/>
          <w:caps/>
          <w:lang w:val="fr-FR"/>
        </w:rPr>
        <w:sectPr w:rsidR="00593041" w:rsidRPr="0012213E" w:rsidSect="000B0491">
          <w:headerReference w:type="even" r:id="rId15"/>
          <w:headerReference w:type="default" r:id="rId16"/>
          <w:headerReference w:type="first" r:id="rId17"/>
          <w:footerReference w:type="first" r:id="rId18"/>
          <w:footnotePr>
            <w:numRestart w:val="eachPage"/>
          </w:footnotePr>
          <w:pgSz w:w="11907" w:h="16840"/>
          <w:pgMar w:top="1009" w:right="1412" w:bottom="1151" w:left="1412" w:header="720" w:footer="720" w:gutter="0"/>
          <w:cols w:space="720"/>
          <w:titlePg/>
          <w:docGrid w:linePitch="360"/>
        </w:sectPr>
      </w:pPr>
    </w:p>
    <w:p w14:paraId="502ECE60" w14:textId="2274A103" w:rsidR="00593041" w:rsidRPr="0012213E" w:rsidRDefault="00593041" w:rsidP="005930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b/>
          <w:caps/>
          <w:lang w:val="fr-FR"/>
        </w:rPr>
      </w:pPr>
      <w:r w:rsidRPr="0012213E">
        <w:rPr>
          <w:b/>
          <w:caps/>
          <w:lang w:val="fr-FR"/>
        </w:rPr>
        <w:lastRenderedPageBreak/>
        <w:t>AnnexE 2</w:t>
      </w:r>
    </w:p>
    <w:p w14:paraId="2EB02C1E" w14:textId="77777777" w:rsidR="00593041" w:rsidRPr="0012213E" w:rsidRDefault="00593041" w:rsidP="005930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b/>
          <w:caps/>
          <w:lang w:val="fr-FR"/>
        </w:rPr>
      </w:pPr>
    </w:p>
    <w:p w14:paraId="2C668327" w14:textId="77777777" w:rsidR="008568AF" w:rsidRPr="00F50E0B" w:rsidRDefault="002B0649" w:rsidP="008568AF">
      <w:pPr>
        <w:jc w:val="center"/>
        <w:rPr>
          <w:b/>
          <w:caps/>
        </w:rPr>
      </w:pPr>
      <w:r w:rsidRPr="0012213E">
        <w:rPr>
          <w:b/>
          <w:lang w:val="fr-FR"/>
        </w:rPr>
        <w:t>RÉSOLUTION</w:t>
      </w:r>
      <w:r w:rsidRPr="0012213E">
        <w:rPr>
          <w:b/>
          <w:caps/>
          <w:lang w:val="fr-FR"/>
        </w:rPr>
        <w:t xml:space="preserve"> </w:t>
      </w:r>
      <w:r w:rsidR="00E43DFB" w:rsidRPr="0012213E">
        <w:rPr>
          <w:b/>
          <w:caps/>
          <w:lang w:val="fr-FR"/>
        </w:rPr>
        <w:t>5</w:t>
      </w:r>
      <w:r w:rsidR="0008246C" w:rsidRPr="0012213E">
        <w:rPr>
          <w:b/>
          <w:caps/>
          <w:lang w:val="fr-FR"/>
        </w:rPr>
        <w:t>.</w:t>
      </w:r>
      <w:r w:rsidR="00E43DFB" w:rsidRPr="0012213E">
        <w:rPr>
          <w:b/>
          <w:caps/>
          <w:lang w:val="fr-FR"/>
        </w:rPr>
        <w:t>1</w:t>
      </w:r>
      <w:r w:rsidR="0008246C" w:rsidRPr="0012213E">
        <w:rPr>
          <w:b/>
          <w:caps/>
          <w:lang w:val="fr-FR"/>
        </w:rPr>
        <w:t> </w:t>
      </w:r>
      <w:r w:rsidR="00593041" w:rsidRPr="0012213E">
        <w:rPr>
          <w:b/>
          <w:caps/>
          <w:lang w:val="fr-FR"/>
        </w:rPr>
        <w:t xml:space="preserve">(REV. </w:t>
      </w:r>
      <w:r w:rsidR="008568AF" w:rsidRPr="00F50E0B">
        <w:rPr>
          <w:b/>
          <w:caps/>
        </w:rPr>
        <w:t>COP12)</w:t>
      </w:r>
      <w:r w:rsidR="008568AF" w:rsidRPr="00651C0F">
        <w:rPr>
          <w:rStyle w:val="FootnoteReference"/>
          <w:b/>
          <w:caps/>
          <w:vertAlign w:val="superscript"/>
        </w:rPr>
        <w:footnoteReference w:customMarkFollows="1" w:id="2"/>
        <w:t>1</w:t>
      </w:r>
    </w:p>
    <w:p w14:paraId="37993C50" w14:textId="35D40CEE" w:rsidR="00593041" w:rsidRPr="0012213E" w:rsidRDefault="00593041" w:rsidP="00E44651">
      <w:pPr>
        <w:jc w:val="center"/>
        <w:rPr>
          <w:b/>
          <w:caps/>
          <w:lang w:val="fr-FR"/>
        </w:rPr>
      </w:pPr>
    </w:p>
    <w:p w14:paraId="0CAB927F" w14:textId="77777777" w:rsidR="00593041" w:rsidRPr="0012213E" w:rsidRDefault="00593041" w:rsidP="00593041">
      <w:pPr>
        <w:jc w:val="center"/>
        <w:rPr>
          <w:b/>
          <w:caps/>
          <w:lang w:val="fr-FR"/>
        </w:rPr>
      </w:pPr>
    </w:p>
    <w:p w14:paraId="1D612BB0" w14:textId="270CA500" w:rsidR="0008246C" w:rsidRPr="0012213E" w:rsidRDefault="00E43DFB" w:rsidP="00E44651">
      <w:pPr>
        <w:jc w:val="center"/>
        <w:rPr>
          <w:b/>
          <w:caps/>
          <w:lang w:val="fr-FR"/>
        </w:rPr>
      </w:pPr>
      <w:r w:rsidRPr="0012213E">
        <w:rPr>
          <w:b/>
          <w:bCs/>
          <w:caps/>
          <w:lang w:val="fr-FR"/>
        </w:rPr>
        <w:t>APPROBATION DES PL</w:t>
      </w:r>
      <w:r w:rsidR="008568AF">
        <w:rPr>
          <w:b/>
          <w:bCs/>
          <w:caps/>
          <w:lang w:val="fr-FR"/>
        </w:rPr>
        <w:t>ANS D'ACTION POUR CERTAINES ESPÈ</w:t>
      </w:r>
      <w:r w:rsidRPr="0012213E">
        <w:rPr>
          <w:b/>
          <w:bCs/>
          <w:caps/>
          <w:lang w:val="fr-FR"/>
        </w:rPr>
        <w:t xml:space="preserve">CES D'OISEAUX </w:t>
      </w:r>
      <w:r w:rsidRPr="00E43DFB">
        <w:rPr>
          <w:b/>
          <w:bCs/>
          <w:caps/>
          <w:lang w:val="fr-FR"/>
        </w:rPr>
        <w:t>MIGRATEURS INSCRITES A L'ANNEXE I et II</w:t>
      </w:r>
    </w:p>
    <w:p w14:paraId="2D1FC5EA" w14:textId="494CABA1" w:rsidR="00593041" w:rsidRPr="0012213E" w:rsidRDefault="00593041" w:rsidP="00593041">
      <w:pPr>
        <w:jc w:val="center"/>
        <w:rPr>
          <w:b/>
          <w:lang w:val="fr-FR"/>
        </w:rPr>
      </w:pPr>
    </w:p>
    <w:p w14:paraId="297DFD3C" w14:textId="45F750B7" w:rsidR="00B71AE5" w:rsidRPr="0012213E" w:rsidRDefault="00B71AE5" w:rsidP="009F5EBD">
      <w:pPr>
        <w:widowControl/>
        <w:autoSpaceDE/>
        <w:autoSpaceDN/>
        <w:adjustRightInd/>
        <w:jc w:val="both"/>
        <w:rPr>
          <w:szCs w:val="15"/>
          <w:lang w:val="fr-FR"/>
        </w:rPr>
      </w:pPr>
      <w:r w:rsidRPr="0012213E">
        <w:rPr>
          <w:i/>
          <w:szCs w:val="15"/>
          <w:lang w:val="fr-FR"/>
        </w:rPr>
        <w:t>Prenant</w:t>
      </w:r>
      <w:r w:rsidRPr="0012213E">
        <w:rPr>
          <w:szCs w:val="15"/>
          <w:lang w:val="fr-FR"/>
        </w:rPr>
        <w:t xml:space="preserve"> note de l'ouvrage </w:t>
      </w:r>
      <w:proofErr w:type="spellStart"/>
      <w:r w:rsidRPr="008568AF">
        <w:rPr>
          <w:i/>
          <w:szCs w:val="15"/>
          <w:lang w:val="fr-FR"/>
        </w:rPr>
        <w:t>Globally</w:t>
      </w:r>
      <w:proofErr w:type="spellEnd"/>
      <w:r w:rsidRPr="008568AF">
        <w:rPr>
          <w:i/>
          <w:szCs w:val="15"/>
          <w:lang w:val="fr-FR"/>
        </w:rPr>
        <w:t xml:space="preserve"> </w:t>
      </w:r>
      <w:proofErr w:type="spellStart"/>
      <w:r w:rsidRPr="008568AF">
        <w:rPr>
          <w:i/>
          <w:szCs w:val="15"/>
          <w:lang w:val="fr-FR"/>
        </w:rPr>
        <w:t>Threatened</w:t>
      </w:r>
      <w:proofErr w:type="spellEnd"/>
      <w:r w:rsidRPr="008568AF">
        <w:rPr>
          <w:i/>
          <w:szCs w:val="15"/>
          <w:lang w:val="fr-FR"/>
        </w:rPr>
        <w:t xml:space="preserve"> </w:t>
      </w:r>
      <w:proofErr w:type="spellStart"/>
      <w:r w:rsidRPr="008568AF">
        <w:rPr>
          <w:i/>
          <w:szCs w:val="15"/>
          <w:lang w:val="fr-FR"/>
        </w:rPr>
        <w:t>Birds</w:t>
      </w:r>
      <w:proofErr w:type="spellEnd"/>
      <w:r w:rsidRPr="008568AF">
        <w:rPr>
          <w:i/>
          <w:szCs w:val="15"/>
          <w:lang w:val="fr-FR"/>
        </w:rPr>
        <w:t xml:space="preserve"> in Europe - Action Plans</w:t>
      </w:r>
      <w:r w:rsidRPr="0012213E">
        <w:rPr>
          <w:szCs w:val="15"/>
          <w:lang w:val="fr-FR"/>
        </w:rPr>
        <w:t xml:space="preserve">, publié par le Conseil de l'Europe et la Royal Society for the Protection of </w:t>
      </w:r>
      <w:proofErr w:type="spellStart"/>
      <w:r w:rsidRPr="0012213E">
        <w:rPr>
          <w:szCs w:val="15"/>
          <w:lang w:val="fr-FR"/>
        </w:rPr>
        <w:t>Birds</w:t>
      </w:r>
      <w:proofErr w:type="spellEnd"/>
      <w:r w:rsidRPr="0012213E">
        <w:rPr>
          <w:szCs w:val="15"/>
          <w:lang w:val="fr-FR"/>
        </w:rPr>
        <w:t xml:space="preserve"> (1996), qui regroupe, à l'exception de trois, la totalité des plans d'action déjà préparés par </w:t>
      </w:r>
      <w:proofErr w:type="spellStart"/>
      <w:r w:rsidRPr="0012213E">
        <w:rPr>
          <w:szCs w:val="15"/>
          <w:lang w:val="fr-FR"/>
        </w:rPr>
        <w:t>BirdLife</w:t>
      </w:r>
      <w:proofErr w:type="spellEnd"/>
      <w:r w:rsidRPr="0012213E">
        <w:rPr>
          <w:szCs w:val="15"/>
          <w:lang w:val="fr-FR"/>
        </w:rPr>
        <w:t xml:space="preserve"> International et </w:t>
      </w:r>
      <w:proofErr w:type="spellStart"/>
      <w:r w:rsidRPr="0012213E">
        <w:rPr>
          <w:szCs w:val="15"/>
          <w:lang w:val="fr-FR"/>
        </w:rPr>
        <w:t>Wetlands</w:t>
      </w:r>
      <w:proofErr w:type="spellEnd"/>
      <w:r w:rsidRPr="0012213E">
        <w:rPr>
          <w:szCs w:val="15"/>
          <w:lang w:val="fr-FR"/>
        </w:rPr>
        <w:t xml:space="preserve"> </w:t>
      </w:r>
      <w:proofErr w:type="gramStart"/>
      <w:r w:rsidRPr="0012213E">
        <w:rPr>
          <w:szCs w:val="15"/>
          <w:lang w:val="fr-FR"/>
        </w:rPr>
        <w:t>International;</w:t>
      </w:r>
      <w:proofErr w:type="gramEnd"/>
      <w:r w:rsidRPr="0012213E">
        <w:rPr>
          <w:szCs w:val="15"/>
          <w:lang w:val="fr-FR"/>
        </w:rPr>
        <w:t> </w:t>
      </w:r>
    </w:p>
    <w:p w14:paraId="7EC09687" w14:textId="77777777" w:rsidR="00B71AE5" w:rsidRDefault="00B71AE5" w:rsidP="009F5EBD">
      <w:pPr>
        <w:widowControl/>
        <w:autoSpaceDE/>
        <w:autoSpaceDN/>
        <w:adjustRightInd/>
        <w:jc w:val="both"/>
        <w:rPr>
          <w:i/>
          <w:szCs w:val="15"/>
          <w:lang w:val="fr-FR"/>
        </w:rPr>
      </w:pPr>
    </w:p>
    <w:p w14:paraId="61689E51" w14:textId="77777777" w:rsidR="00B71AE5" w:rsidRPr="0012213E" w:rsidRDefault="00B71AE5" w:rsidP="009F5EBD">
      <w:pPr>
        <w:widowControl/>
        <w:autoSpaceDE/>
        <w:autoSpaceDN/>
        <w:adjustRightInd/>
        <w:jc w:val="both"/>
        <w:rPr>
          <w:lang w:val="fr-FR"/>
        </w:rPr>
      </w:pPr>
      <w:r w:rsidRPr="0012213E">
        <w:rPr>
          <w:i/>
          <w:szCs w:val="15"/>
          <w:lang w:val="fr-FR"/>
        </w:rPr>
        <w:t>Considérant</w:t>
      </w:r>
      <w:r w:rsidRPr="0012213E">
        <w:rPr>
          <w:szCs w:val="15"/>
          <w:lang w:val="fr-FR"/>
        </w:rPr>
        <w:t xml:space="preserve"> que les espèces </w:t>
      </w:r>
      <w:proofErr w:type="spellStart"/>
      <w:r w:rsidRPr="00F165BD">
        <w:rPr>
          <w:i/>
          <w:lang w:val="fr-FR"/>
        </w:rPr>
        <w:t>Pelecanus</w:t>
      </w:r>
      <w:proofErr w:type="spellEnd"/>
      <w:r w:rsidRPr="00F165BD">
        <w:rPr>
          <w:i/>
          <w:lang w:val="fr-FR"/>
        </w:rPr>
        <w:t xml:space="preserve"> </w:t>
      </w:r>
      <w:proofErr w:type="spellStart"/>
      <w:r w:rsidRPr="00F165BD">
        <w:rPr>
          <w:i/>
          <w:lang w:val="fr-FR"/>
        </w:rPr>
        <w:t>crispus</w:t>
      </w:r>
      <w:proofErr w:type="spellEnd"/>
      <w:r w:rsidRPr="00F165BD">
        <w:rPr>
          <w:lang w:val="fr-FR"/>
        </w:rPr>
        <w:t xml:space="preserve">, </w:t>
      </w:r>
      <w:r w:rsidRPr="00F165BD">
        <w:rPr>
          <w:i/>
          <w:lang w:val="fr-FR"/>
        </w:rPr>
        <w:t xml:space="preserve">Anser </w:t>
      </w:r>
      <w:proofErr w:type="spellStart"/>
      <w:r w:rsidRPr="00F165BD">
        <w:rPr>
          <w:i/>
          <w:lang w:val="fr-FR"/>
        </w:rPr>
        <w:t>erythropus</w:t>
      </w:r>
      <w:proofErr w:type="spellEnd"/>
      <w:r w:rsidRPr="00F165BD">
        <w:rPr>
          <w:lang w:val="fr-FR"/>
        </w:rPr>
        <w:t xml:space="preserve">, </w:t>
      </w:r>
      <w:proofErr w:type="spellStart"/>
      <w:r w:rsidRPr="00F165BD">
        <w:rPr>
          <w:i/>
          <w:lang w:val="fr-FR"/>
        </w:rPr>
        <w:t>Branta</w:t>
      </w:r>
      <w:proofErr w:type="spellEnd"/>
      <w:r w:rsidRPr="00F165BD">
        <w:rPr>
          <w:i/>
          <w:lang w:val="fr-FR"/>
        </w:rPr>
        <w:t xml:space="preserve"> </w:t>
      </w:r>
      <w:proofErr w:type="spellStart"/>
      <w:r w:rsidRPr="00F165BD">
        <w:rPr>
          <w:i/>
          <w:lang w:val="fr-FR"/>
        </w:rPr>
        <w:t>ruficollis</w:t>
      </w:r>
      <w:proofErr w:type="spellEnd"/>
      <w:r w:rsidRPr="00F165BD">
        <w:rPr>
          <w:lang w:val="fr-FR"/>
        </w:rPr>
        <w:t xml:space="preserve">, </w:t>
      </w:r>
      <w:proofErr w:type="spellStart"/>
      <w:r w:rsidRPr="00F165BD">
        <w:rPr>
          <w:i/>
          <w:lang w:val="fr-FR"/>
        </w:rPr>
        <w:t>Marmaronetta</w:t>
      </w:r>
      <w:proofErr w:type="spellEnd"/>
      <w:r w:rsidRPr="00F165BD">
        <w:rPr>
          <w:i/>
          <w:lang w:val="fr-FR"/>
        </w:rPr>
        <w:t xml:space="preserve"> </w:t>
      </w:r>
      <w:proofErr w:type="spellStart"/>
      <w:r w:rsidRPr="00F165BD">
        <w:rPr>
          <w:i/>
          <w:lang w:val="fr-FR"/>
        </w:rPr>
        <w:t>angustirostris</w:t>
      </w:r>
      <w:proofErr w:type="spellEnd"/>
      <w:r w:rsidRPr="00F165BD">
        <w:rPr>
          <w:lang w:val="fr-FR"/>
        </w:rPr>
        <w:t xml:space="preserve">, </w:t>
      </w:r>
      <w:proofErr w:type="spellStart"/>
      <w:r w:rsidRPr="00F165BD">
        <w:rPr>
          <w:i/>
          <w:lang w:val="fr-FR"/>
        </w:rPr>
        <w:t>Aythya</w:t>
      </w:r>
      <w:proofErr w:type="spellEnd"/>
      <w:r w:rsidRPr="00F165BD">
        <w:rPr>
          <w:i/>
          <w:lang w:val="fr-FR"/>
        </w:rPr>
        <w:t xml:space="preserve"> </w:t>
      </w:r>
      <w:proofErr w:type="spellStart"/>
      <w:r w:rsidRPr="00F165BD">
        <w:rPr>
          <w:i/>
          <w:lang w:val="fr-FR"/>
        </w:rPr>
        <w:t>nyroca</w:t>
      </w:r>
      <w:proofErr w:type="spellEnd"/>
      <w:r w:rsidRPr="00F165BD">
        <w:rPr>
          <w:lang w:val="fr-FR"/>
        </w:rPr>
        <w:t xml:space="preserve">, </w:t>
      </w:r>
      <w:proofErr w:type="spellStart"/>
      <w:r w:rsidRPr="00F165BD">
        <w:rPr>
          <w:i/>
          <w:lang w:val="fr-FR"/>
        </w:rPr>
        <w:t>Polysticta</w:t>
      </w:r>
      <w:proofErr w:type="spellEnd"/>
      <w:r w:rsidRPr="00F165BD">
        <w:rPr>
          <w:i/>
          <w:lang w:val="fr-FR"/>
        </w:rPr>
        <w:t xml:space="preserve"> </w:t>
      </w:r>
      <w:proofErr w:type="spellStart"/>
      <w:r w:rsidRPr="00F165BD">
        <w:rPr>
          <w:i/>
          <w:lang w:val="fr-FR"/>
        </w:rPr>
        <w:t>stelleri</w:t>
      </w:r>
      <w:proofErr w:type="spellEnd"/>
      <w:r w:rsidRPr="00F165BD">
        <w:rPr>
          <w:lang w:val="fr-FR"/>
        </w:rPr>
        <w:t xml:space="preserve">, </w:t>
      </w:r>
      <w:proofErr w:type="spellStart"/>
      <w:r w:rsidRPr="00F165BD">
        <w:rPr>
          <w:i/>
          <w:lang w:val="fr-FR"/>
        </w:rPr>
        <w:t>Oxyura</w:t>
      </w:r>
      <w:proofErr w:type="spellEnd"/>
      <w:r w:rsidRPr="00F165BD">
        <w:rPr>
          <w:i/>
          <w:lang w:val="fr-FR"/>
        </w:rPr>
        <w:t xml:space="preserve"> </w:t>
      </w:r>
      <w:proofErr w:type="spellStart"/>
      <w:r w:rsidRPr="00F165BD">
        <w:rPr>
          <w:i/>
          <w:lang w:val="fr-FR"/>
        </w:rPr>
        <w:t>leucocephala</w:t>
      </w:r>
      <w:proofErr w:type="spellEnd"/>
      <w:r w:rsidRPr="00F165BD">
        <w:rPr>
          <w:lang w:val="fr-FR"/>
        </w:rPr>
        <w:t xml:space="preserve">, </w:t>
      </w:r>
      <w:r w:rsidRPr="00F165BD">
        <w:rPr>
          <w:i/>
          <w:lang w:val="fr-FR"/>
        </w:rPr>
        <w:t xml:space="preserve">Aquila </w:t>
      </w:r>
      <w:proofErr w:type="spellStart"/>
      <w:r w:rsidRPr="00F165BD">
        <w:rPr>
          <w:i/>
          <w:lang w:val="fr-FR"/>
        </w:rPr>
        <w:t>heliaca</w:t>
      </w:r>
      <w:proofErr w:type="spellEnd"/>
      <w:r w:rsidRPr="00F165BD">
        <w:rPr>
          <w:lang w:val="fr-FR"/>
        </w:rPr>
        <w:t xml:space="preserve">, </w:t>
      </w:r>
      <w:r w:rsidRPr="00F165BD">
        <w:rPr>
          <w:i/>
          <w:lang w:val="fr-FR"/>
        </w:rPr>
        <w:t xml:space="preserve">Aquila </w:t>
      </w:r>
      <w:proofErr w:type="spellStart"/>
      <w:r w:rsidRPr="00F165BD">
        <w:rPr>
          <w:i/>
          <w:lang w:val="fr-FR"/>
        </w:rPr>
        <w:t>clanga</w:t>
      </w:r>
      <w:proofErr w:type="spellEnd"/>
      <w:r w:rsidRPr="00F165BD">
        <w:rPr>
          <w:lang w:val="fr-FR"/>
        </w:rPr>
        <w:t xml:space="preserve">, </w:t>
      </w:r>
      <w:r w:rsidRPr="00F165BD">
        <w:rPr>
          <w:i/>
          <w:lang w:val="fr-FR"/>
        </w:rPr>
        <w:t xml:space="preserve">Falco </w:t>
      </w:r>
      <w:proofErr w:type="spellStart"/>
      <w:r w:rsidRPr="00F165BD">
        <w:rPr>
          <w:i/>
          <w:lang w:val="fr-FR"/>
        </w:rPr>
        <w:t>naumanni</w:t>
      </w:r>
      <w:proofErr w:type="spellEnd"/>
      <w:r w:rsidRPr="00F165BD">
        <w:rPr>
          <w:lang w:val="fr-FR"/>
        </w:rPr>
        <w:t xml:space="preserve">, </w:t>
      </w:r>
      <w:r w:rsidRPr="00F165BD">
        <w:rPr>
          <w:i/>
          <w:lang w:val="fr-FR"/>
        </w:rPr>
        <w:t>Otis tarda</w:t>
      </w:r>
      <w:r w:rsidRPr="00F165BD">
        <w:rPr>
          <w:lang w:val="fr-FR"/>
        </w:rPr>
        <w:t xml:space="preserve">, </w:t>
      </w:r>
      <w:r w:rsidRPr="00F165BD">
        <w:rPr>
          <w:i/>
          <w:lang w:val="fr-FR"/>
        </w:rPr>
        <w:t xml:space="preserve">Numenius </w:t>
      </w:r>
      <w:proofErr w:type="spellStart"/>
      <w:r w:rsidRPr="00F165BD">
        <w:rPr>
          <w:i/>
          <w:lang w:val="fr-FR"/>
        </w:rPr>
        <w:t>tenuirostris</w:t>
      </w:r>
      <w:proofErr w:type="spellEnd"/>
      <w:r w:rsidRPr="00F165BD">
        <w:rPr>
          <w:lang w:val="fr-FR"/>
        </w:rPr>
        <w:t xml:space="preserve">, </w:t>
      </w:r>
      <w:proofErr w:type="spellStart"/>
      <w:r w:rsidRPr="00F165BD">
        <w:rPr>
          <w:i/>
          <w:lang w:val="fr-FR"/>
        </w:rPr>
        <w:t>Larus</w:t>
      </w:r>
      <w:proofErr w:type="spellEnd"/>
      <w:r w:rsidRPr="00F165BD">
        <w:rPr>
          <w:i/>
          <w:lang w:val="fr-FR"/>
        </w:rPr>
        <w:t xml:space="preserve"> </w:t>
      </w:r>
      <w:proofErr w:type="spellStart"/>
      <w:r w:rsidRPr="00F165BD">
        <w:rPr>
          <w:i/>
          <w:lang w:val="fr-FR"/>
        </w:rPr>
        <w:t>audouinii</w:t>
      </w:r>
      <w:proofErr w:type="spellEnd"/>
      <w:r w:rsidRPr="00F165BD">
        <w:rPr>
          <w:lang w:val="fr-FR"/>
        </w:rPr>
        <w:t xml:space="preserve"> et </w:t>
      </w:r>
      <w:proofErr w:type="spellStart"/>
      <w:r w:rsidRPr="00F165BD">
        <w:rPr>
          <w:i/>
          <w:lang w:val="fr-FR"/>
        </w:rPr>
        <w:t>Acrocephalus</w:t>
      </w:r>
      <w:proofErr w:type="spellEnd"/>
      <w:r w:rsidRPr="00F165BD">
        <w:rPr>
          <w:i/>
          <w:lang w:val="fr-FR"/>
        </w:rPr>
        <w:t xml:space="preserve"> </w:t>
      </w:r>
      <w:proofErr w:type="spellStart"/>
      <w:r w:rsidRPr="00F165BD">
        <w:rPr>
          <w:i/>
          <w:lang w:val="fr-FR"/>
        </w:rPr>
        <w:t>paludicola</w:t>
      </w:r>
      <w:proofErr w:type="spellEnd"/>
      <w:r w:rsidRPr="0012213E">
        <w:rPr>
          <w:szCs w:val="15"/>
          <w:lang w:val="fr-FR"/>
        </w:rPr>
        <w:t xml:space="preserve"> sont inscrites à l'Annexe I de la CMS et que les espèces  </w:t>
      </w:r>
      <w:proofErr w:type="spellStart"/>
      <w:r w:rsidRPr="00F165BD">
        <w:rPr>
          <w:i/>
          <w:lang w:val="fr-FR"/>
        </w:rPr>
        <w:t>Phalacrocorax</w:t>
      </w:r>
      <w:proofErr w:type="spellEnd"/>
      <w:r w:rsidRPr="00F165BD">
        <w:rPr>
          <w:i/>
          <w:lang w:val="fr-FR"/>
        </w:rPr>
        <w:t xml:space="preserve"> </w:t>
      </w:r>
      <w:proofErr w:type="spellStart"/>
      <w:r w:rsidRPr="00F165BD">
        <w:rPr>
          <w:i/>
          <w:lang w:val="fr-FR"/>
        </w:rPr>
        <w:t>pygmeus</w:t>
      </w:r>
      <w:proofErr w:type="spellEnd"/>
      <w:r w:rsidRPr="00F165BD">
        <w:rPr>
          <w:lang w:val="fr-FR"/>
        </w:rPr>
        <w:t xml:space="preserve">, </w:t>
      </w:r>
      <w:proofErr w:type="spellStart"/>
      <w:r w:rsidRPr="00F165BD">
        <w:rPr>
          <w:i/>
          <w:lang w:val="fr-FR"/>
        </w:rPr>
        <w:t>Aegypius</w:t>
      </w:r>
      <w:proofErr w:type="spellEnd"/>
      <w:r w:rsidRPr="00F165BD">
        <w:rPr>
          <w:i/>
          <w:lang w:val="fr-FR"/>
        </w:rPr>
        <w:t xml:space="preserve"> </w:t>
      </w:r>
      <w:proofErr w:type="spellStart"/>
      <w:r w:rsidRPr="00F165BD">
        <w:rPr>
          <w:i/>
          <w:lang w:val="fr-FR"/>
        </w:rPr>
        <w:t>monachus</w:t>
      </w:r>
      <w:proofErr w:type="spellEnd"/>
      <w:r w:rsidRPr="00F165BD">
        <w:rPr>
          <w:lang w:val="fr-FR"/>
        </w:rPr>
        <w:t xml:space="preserve">, </w:t>
      </w:r>
      <w:r w:rsidRPr="00F165BD">
        <w:rPr>
          <w:i/>
          <w:lang w:val="fr-FR"/>
        </w:rPr>
        <w:t xml:space="preserve">Aquila </w:t>
      </w:r>
      <w:proofErr w:type="spellStart"/>
      <w:r w:rsidRPr="00F165BD">
        <w:rPr>
          <w:i/>
          <w:lang w:val="fr-FR"/>
        </w:rPr>
        <w:t>adalberti</w:t>
      </w:r>
      <w:proofErr w:type="spellEnd"/>
      <w:r w:rsidRPr="00F165BD">
        <w:rPr>
          <w:lang w:val="fr-FR"/>
        </w:rPr>
        <w:t xml:space="preserve"> et </w:t>
      </w:r>
      <w:proofErr w:type="spellStart"/>
      <w:r w:rsidRPr="00F165BD">
        <w:rPr>
          <w:i/>
          <w:lang w:val="fr-FR"/>
        </w:rPr>
        <w:t>Crex</w:t>
      </w:r>
      <w:proofErr w:type="spellEnd"/>
      <w:r w:rsidRPr="00F165BD">
        <w:rPr>
          <w:i/>
          <w:lang w:val="fr-FR"/>
        </w:rPr>
        <w:t xml:space="preserve"> </w:t>
      </w:r>
      <w:proofErr w:type="spellStart"/>
      <w:r w:rsidRPr="00F165BD">
        <w:rPr>
          <w:i/>
          <w:lang w:val="fr-FR"/>
        </w:rPr>
        <w:t>crex</w:t>
      </w:r>
      <w:proofErr w:type="spellEnd"/>
      <w:r w:rsidRPr="0012213E">
        <w:rPr>
          <w:szCs w:val="15"/>
          <w:lang w:val="fr-FR"/>
        </w:rPr>
        <w:t xml:space="preserve"> sont inscrites à l'Annexe II, et qu'il existe des plans d'action pour toutes ces espèces;</w:t>
      </w:r>
    </w:p>
    <w:p w14:paraId="3E4BD895" w14:textId="77777777" w:rsidR="00B71AE5" w:rsidRDefault="00B71AE5" w:rsidP="009F5EBD">
      <w:pPr>
        <w:widowControl/>
        <w:autoSpaceDE/>
        <w:autoSpaceDN/>
        <w:adjustRightInd/>
        <w:jc w:val="both"/>
        <w:rPr>
          <w:i/>
          <w:szCs w:val="15"/>
          <w:lang w:val="fr-FR"/>
        </w:rPr>
      </w:pPr>
    </w:p>
    <w:p w14:paraId="058E7A1F" w14:textId="77777777" w:rsidR="00B71AE5" w:rsidRPr="0012213E" w:rsidRDefault="00B71AE5" w:rsidP="009F5EBD">
      <w:pPr>
        <w:widowControl/>
        <w:autoSpaceDE/>
        <w:autoSpaceDN/>
        <w:adjustRightInd/>
        <w:jc w:val="both"/>
        <w:rPr>
          <w:lang w:val="fr-FR"/>
        </w:rPr>
      </w:pPr>
      <w:r w:rsidRPr="0012213E">
        <w:rPr>
          <w:i/>
          <w:szCs w:val="15"/>
          <w:lang w:val="fr-FR"/>
        </w:rPr>
        <w:t>Considérant également</w:t>
      </w:r>
      <w:r w:rsidRPr="0012213E">
        <w:rPr>
          <w:szCs w:val="15"/>
          <w:lang w:val="fr-FR"/>
        </w:rPr>
        <w:t xml:space="preserve"> que ces plans d'action sont indispensables pour améliorer l'état de conservation de ces espèces et sont pleinement conformes aux objectifs de la </w:t>
      </w:r>
      <w:proofErr w:type="gramStart"/>
      <w:r w:rsidRPr="0012213E">
        <w:rPr>
          <w:szCs w:val="15"/>
          <w:lang w:val="fr-FR"/>
        </w:rPr>
        <w:t>Convention;</w:t>
      </w:r>
      <w:proofErr w:type="gramEnd"/>
    </w:p>
    <w:p w14:paraId="494D8749" w14:textId="77777777" w:rsidR="00B71AE5" w:rsidRDefault="00B71AE5" w:rsidP="009F5EBD">
      <w:pPr>
        <w:widowControl/>
        <w:autoSpaceDE/>
        <w:autoSpaceDN/>
        <w:adjustRightInd/>
        <w:jc w:val="both"/>
        <w:rPr>
          <w:i/>
          <w:szCs w:val="15"/>
          <w:lang w:val="fr-FR"/>
        </w:rPr>
      </w:pPr>
    </w:p>
    <w:p w14:paraId="45EFB1EE" w14:textId="77777777" w:rsidR="00B71AE5" w:rsidRDefault="00B71AE5" w:rsidP="009F5EBD">
      <w:pPr>
        <w:widowControl/>
        <w:autoSpaceDE/>
        <w:autoSpaceDN/>
        <w:adjustRightInd/>
        <w:jc w:val="both"/>
        <w:rPr>
          <w:szCs w:val="15"/>
          <w:lang w:val="fr-FR"/>
        </w:rPr>
      </w:pPr>
      <w:r w:rsidRPr="0012213E">
        <w:rPr>
          <w:i/>
          <w:szCs w:val="15"/>
          <w:lang w:val="fr-FR"/>
        </w:rPr>
        <w:t>Constatant</w:t>
      </w:r>
      <w:r w:rsidRPr="0012213E">
        <w:rPr>
          <w:szCs w:val="15"/>
          <w:lang w:val="fr-FR"/>
        </w:rPr>
        <w:t xml:space="preserve"> que bon nombre des espèces mentionnées ci-dessus figurent dans le récent Accord sur la</w:t>
      </w:r>
      <w:r>
        <w:rPr>
          <w:szCs w:val="15"/>
          <w:lang w:val="fr-FR"/>
        </w:rPr>
        <w:t xml:space="preserve"> </w:t>
      </w:r>
      <w:r w:rsidRPr="0012213E">
        <w:rPr>
          <w:szCs w:val="15"/>
          <w:lang w:val="fr-FR"/>
        </w:rPr>
        <w:t xml:space="preserve">conservation des oiseaux d'eaux migrateurs d'Afrique-Eurasie (sigle </w:t>
      </w:r>
      <w:proofErr w:type="gramStart"/>
      <w:r w:rsidRPr="0012213E">
        <w:rPr>
          <w:szCs w:val="15"/>
          <w:lang w:val="fr-FR"/>
        </w:rPr>
        <w:t>anglais:</w:t>
      </w:r>
      <w:proofErr w:type="gramEnd"/>
      <w:r w:rsidRPr="0012213E">
        <w:rPr>
          <w:szCs w:val="15"/>
          <w:lang w:val="fr-FR"/>
        </w:rPr>
        <w:t xml:space="preserve"> AEWA), qui deviendra le principal instrument de la conservation des oiseaux d'eaux dans la région;</w:t>
      </w:r>
    </w:p>
    <w:p w14:paraId="61BA75FE" w14:textId="77777777" w:rsidR="00B71AE5" w:rsidRPr="0012213E" w:rsidRDefault="00B71AE5" w:rsidP="009F5EBD">
      <w:pPr>
        <w:widowControl/>
        <w:autoSpaceDE/>
        <w:autoSpaceDN/>
        <w:adjustRightInd/>
        <w:jc w:val="both"/>
        <w:rPr>
          <w:szCs w:val="15"/>
          <w:lang w:val="fr-FR"/>
        </w:rPr>
      </w:pPr>
    </w:p>
    <w:p w14:paraId="1789D9EB" w14:textId="05B09115" w:rsidR="00B71AE5" w:rsidRDefault="00B71AE5" w:rsidP="009F5EBD">
      <w:pPr>
        <w:widowControl/>
        <w:autoSpaceDE/>
        <w:autoSpaceDN/>
        <w:adjustRightInd/>
        <w:jc w:val="both"/>
        <w:rPr>
          <w:szCs w:val="15"/>
          <w:lang w:val="fr-FR"/>
        </w:rPr>
      </w:pPr>
      <w:r w:rsidRPr="0012213E">
        <w:rPr>
          <w:i/>
          <w:szCs w:val="15"/>
          <w:lang w:val="fr-FR"/>
        </w:rPr>
        <w:t>Consciente</w:t>
      </w:r>
      <w:r w:rsidRPr="0012213E">
        <w:rPr>
          <w:szCs w:val="15"/>
          <w:lang w:val="fr-FR"/>
        </w:rPr>
        <w:t xml:space="preserve"> de la situation critique de l'espèce </w:t>
      </w:r>
      <w:r w:rsidRPr="0012213E">
        <w:rPr>
          <w:i/>
          <w:szCs w:val="15"/>
          <w:lang w:val="fr-FR"/>
        </w:rPr>
        <w:t xml:space="preserve">Numenius </w:t>
      </w:r>
      <w:proofErr w:type="spellStart"/>
      <w:r w:rsidRPr="0012213E">
        <w:rPr>
          <w:i/>
          <w:szCs w:val="15"/>
          <w:lang w:val="fr-FR"/>
        </w:rPr>
        <w:t>tenuirostris</w:t>
      </w:r>
      <w:proofErr w:type="spellEnd"/>
      <w:r w:rsidRPr="0012213E">
        <w:rPr>
          <w:szCs w:val="15"/>
          <w:lang w:val="fr-FR"/>
        </w:rPr>
        <w:t xml:space="preserve"> et prenant note du Mémorandum</w:t>
      </w:r>
      <w:r>
        <w:rPr>
          <w:szCs w:val="15"/>
          <w:lang w:val="fr-FR"/>
        </w:rPr>
        <w:t xml:space="preserve"> </w:t>
      </w:r>
      <w:r w:rsidRPr="0012213E">
        <w:rPr>
          <w:szCs w:val="15"/>
          <w:lang w:val="fr-FR"/>
        </w:rPr>
        <w:t xml:space="preserve">d'accord sur cette espèce élaboré sous l'égide de la CMS et signé par </w:t>
      </w:r>
      <w:r w:rsidRPr="00B71AE5">
        <w:rPr>
          <w:szCs w:val="15"/>
          <w:lang w:val="fr-FR"/>
        </w:rPr>
        <w:t xml:space="preserve">18 </w:t>
      </w:r>
      <w:proofErr w:type="gramStart"/>
      <w:r w:rsidRPr="0012213E">
        <w:rPr>
          <w:szCs w:val="15"/>
          <w:lang w:val="fr-FR"/>
        </w:rPr>
        <w:t>pays;</w:t>
      </w:r>
      <w:proofErr w:type="gramEnd"/>
    </w:p>
    <w:p w14:paraId="793BDAB7" w14:textId="06385C00" w:rsidR="008568AF" w:rsidRDefault="008568AF" w:rsidP="009F5EBD">
      <w:pPr>
        <w:jc w:val="center"/>
        <w:rPr>
          <w:szCs w:val="15"/>
          <w:lang w:val="fr-FR"/>
        </w:rPr>
      </w:pPr>
    </w:p>
    <w:p w14:paraId="3B2E2F83" w14:textId="77777777" w:rsidR="008568AF" w:rsidRDefault="008568AF" w:rsidP="009F5EBD">
      <w:pPr>
        <w:jc w:val="center"/>
        <w:rPr>
          <w:szCs w:val="15"/>
          <w:lang w:val="fr-FR"/>
        </w:rPr>
      </w:pPr>
    </w:p>
    <w:p w14:paraId="07BB9A77" w14:textId="77777777" w:rsidR="008568AF" w:rsidRDefault="00B71AE5" w:rsidP="009F5EBD">
      <w:pPr>
        <w:jc w:val="center"/>
        <w:rPr>
          <w:i/>
          <w:lang w:val="fr-FR"/>
        </w:rPr>
      </w:pPr>
      <w:r w:rsidRPr="0012213E">
        <w:rPr>
          <w:i/>
          <w:lang w:val="fr-FR"/>
        </w:rPr>
        <w:t xml:space="preserve">La Conférence des Parties à la </w:t>
      </w:r>
    </w:p>
    <w:p w14:paraId="1E79D9C6" w14:textId="7230BBB3" w:rsidR="00B71AE5" w:rsidRDefault="00B71AE5" w:rsidP="008568AF">
      <w:pPr>
        <w:jc w:val="center"/>
        <w:rPr>
          <w:i/>
          <w:lang w:val="fr-FR"/>
        </w:rPr>
      </w:pPr>
      <w:r w:rsidRPr="0012213E">
        <w:rPr>
          <w:i/>
          <w:lang w:val="fr-FR"/>
        </w:rPr>
        <w:t>Convention sur la conservation des espèces migratrices appartenant à la faune sauvage</w:t>
      </w:r>
    </w:p>
    <w:p w14:paraId="71A6D3EE" w14:textId="77777777" w:rsidR="00B71AE5" w:rsidRPr="0012213E" w:rsidRDefault="00B71AE5" w:rsidP="009F5EBD">
      <w:pPr>
        <w:jc w:val="center"/>
        <w:rPr>
          <w:lang w:val="fr-FR"/>
        </w:rPr>
      </w:pPr>
    </w:p>
    <w:p w14:paraId="43A44CC2" w14:textId="57ABD2A8" w:rsidR="00B71AE5" w:rsidRPr="00967FAD" w:rsidRDefault="00B71AE5" w:rsidP="00967FAD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360" w:hanging="360"/>
        <w:jc w:val="both"/>
        <w:rPr>
          <w:szCs w:val="15"/>
          <w:lang w:val="fr-FR"/>
        </w:rPr>
      </w:pPr>
      <w:r w:rsidRPr="00967FAD">
        <w:rPr>
          <w:i/>
          <w:szCs w:val="15"/>
          <w:lang w:val="fr-FR"/>
        </w:rPr>
        <w:t>Encourage </w:t>
      </w:r>
      <w:r w:rsidRPr="00967FAD">
        <w:rPr>
          <w:szCs w:val="15"/>
          <w:lang w:val="fr-FR"/>
        </w:rPr>
        <w:t xml:space="preserve">les Parties qui sont des Etats de l'aire de répartition des espèces mentionnées ci-dessus à appuyer l'exécution de ces plans </w:t>
      </w:r>
      <w:proofErr w:type="gramStart"/>
      <w:r w:rsidRPr="00967FAD">
        <w:rPr>
          <w:szCs w:val="15"/>
          <w:lang w:val="fr-FR"/>
        </w:rPr>
        <w:t>d'action;</w:t>
      </w:r>
      <w:proofErr w:type="gramEnd"/>
    </w:p>
    <w:p w14:paraId="241513F8" w14:textId="77777777" w:rsidR="00967FAD" w:rsidRPr="00967FAD" w:rsidRDefault="00967FAD" w:rsidP="00967FAD">
      <w:pPr>
        <w:pStyle w:val="ListParagraph"/>
        <w:widowControl/>
        <w:autoSpaceDE/>
        <w:autoSpaceDN/>
        <w:adjustRightInd/>
        <w:ind w:left="1080"/>
        <w:jc w:val="both"/>
        <w:rPr>
          <w:szCs w:val="15"/>
          <w:lang w:val="fr-FR"/>
        </w:rPr>
      </w:pPr>
    </w:p>
    <w:p w14:paraId="1121816D" w14:textId="579608D3" w:rsidR="00B71AE5" w:rsidRPr="0012213E" w:rsidRDefault="00B71AE5" w:rsidP="00967FAD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360" w:hanging="360"/>
        <w:jc w:val="both"/>
        <w:rPr>
          <w:szCs w:val="15"/>
          <w:lang w:val="fr-FR"/>
        </w:rPr>
      </w:pPr>
      <w:r w:rsidRPr="0012213E">
        <w:rPr>
          <w:i/>
          <w:szCs w:val="15"/>
          <w:lang w:val="fr-FR"/>
        </w:rPr>
        <w:t>Encourage </w:t>
      </w:r>
      <w:r w:rsidRPr="0012213E">
        <w:rPr>
          <w:szCs w:val="15"/>
          <w:lang w:val="fr-FR"/>
        </w:rPr>
        <w:t xml:space="preserve">les Etats de l'aire de répartition de l'AEWA qui n'auraient pas encore signé cet important Accord à le faire afin d'assurer une meilleure gestion des oiseaux d'eaux dont ils se partagent </w:t>
      </w:r>
      <w:proofErr w:type="gramStart"/>
      <w:r w:rsidRPr="0012213E">
        <w:rPr>
          <w:szCs w:val="15"/>
          <w:lang w:val="fr-FR"/>
        </w:rPr>
        <w:t>l'aire;</w:t>
      </w:r>
      <w:proofErr w:type="gramEnd"/>
    </w:p>
    <w:p w14:paraId="70EC41F6" w14:textId="77777777" w:rsidR="00B71AE5" w:rsidRDefault="00B71AE5" w:rsidP="009F5EBD">
      <w:pPr>
        <w:widowControl/>
        <w:autoSpaceDE/>
        <w:autoSpaceDN/>
        <w:adjustRightInd/>
        <w:jc w:val="both"/>
        <w:rPr>
          <w:strike/>
          <w:szCs w:val="15"/>
          <w:lang w:val="fr-FR"/>
        </w:rPr>
      </w:pPr>
    </w:p>
    <w:p w14:paraId="429F3620" w14:textId="7998F6A1" w:rsidR="00B71AE5" w:rsidRPr="0012213E" w:rsidRDefault="00B71AE5" w:rsidP="00967FAD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360" w:hanging="360"/>
        <w:jc w:val="both"/>
        <w:rPr>
          <w:szCs w:val="15"/>
          <w:lang w:val="fr-FR"/>
        </w:rPr>
      </w:pPr>
      <w:r w:rsidRPr="0012213E">
        <w:rPr>
          <w:i/>
          <w:szCs w:val="15"/>
          <w:lang w:val="fr-FR"/>
        </w:rPr>
        <w:t>Prie </w:t>
      </w:r>
      <w:r w:rsidRPr="0012213E">
        <w:rPr>
          <w:szCs w:val="15"/>
          <w:lang w:val="fr-FR"/>
        </w:rPr>
        <w:t>le Secrétariat et le Conseil scientifique d'apporter l'appui nécessaire à ces activités.</w:t>
      </w:r>
    </w:p>
    <w:p w14:paraId="519BEE54" w14:textId="77777777" w:rsidR="0079075D" w:rsidRPr="0012213E" w:rsidRDefault="0079075D" w:rsidP="00D605A4">
      <w:pPr>
        <w:tabs>
          <w:tab w:val="left" w:pos="1020"/>
        </w:tabs>
        <w:rPr>
          <w:lang w:val="fr-FR"/>
        </w:rPr>
      </w:pPr>
      <w:bookmarkStart w:id="0" w:name="_GoBack"/>
      <w:bookmarkEnd w:id="0"/>
    </w:p>
    <w:sectPr w:rsidR="0079075D" w:rsidRPr="0012213E" w:rsidSect="0052082F">
      <w:headerReference w:type="first" r:id="rId19"/>
      <w:footerReference w:type="first" r:id="rId20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DCAE8" w14:textId="77777777" w:rsidR="004E251B" w:rsidRDefault="004E251B">
      <w:r>
        <w:separator/>
      </w:r>
    </w:p>
  </w:endnote>
  <w:endnote w:type="continuationSeparator" w:id="0">
    <w:p w14:paraId="277F2E58" w14:textId="77777777" w:rsidR="004E251B" w:rsidRDefault="004E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A8B8" w14:textId="77777777" w:rsidR="00354A9C" w:rsidRPr="00922791" w:rsidRDefault="00354A9C" w:rsidP="00056DC1">
    <w:pPr>
      <w:pStyle w:val="Footer"/>
      <w:ind w:right="-367"/>
      <w:jc w:val="center"/>
      <w:rPr>
        <w:sz w:val="18"/>
        <w:szCs w:val="18"/>
      </w:rPr>
    </w:pPr>
    <w:r w:rsidRPr="00922791">
      <w:rPr>
        <w:sz w:val="18"/>
        <w:szCs w:val="18"/>
      </w:rPr>
      <w:fldChar w:fldCharType="begin"/>
    </w:r>
    <w:r w:rsidRPr="00922791">
      <w:rPr>
        <w:sz w:val="18"/>
        <w:szCs w:val="18"/>
      </w:rPr>
      <w:instrText xml:space="preserve"> PAGE   \* MERGEFORMAT </w:instrText>
    </w:r>
    <w:r w:rsidRPr="00922791">
      <w:rPr>
        <w:sz w:val="18"/>
        <w:szCs w:val="18"/>
      </w:rPr>
      <w:fldChar w:fldCharType="separate"/>
    </w:r>
    <w:r w:rsidR="00420040">
      <w:rPr>
        <w:noProof/>
        <w:sz w:val="18"/>
        <w:szCs w:val="18"/>
      </w:rPr>
      <w:t>2</w:t>
    </w:r>
    <w:r w:rsidRPr="00922791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3DBB" w14:textId="7FCA991D" w:rsidR="00354A9C" w:rsidRPr="00922791" w:rsidRDefault="00354A9C" w:rsidP="00056DC1">
    <w:pPr>
      <w:pStyle w:val="Footer"/>
      <w:ind w:right="-367"/>
      <w:jc w:val="center"/>
      <w:rPr>
        <w:sz w:val="18"/>
        <w:szCs w:val="18"/>
      </w:rPr>
    </w:pPr>
    <w:r w:rsidRPr="00922791">
      <w:rPr>
        <w:sz w:val="18"/>
        <w:szCs w:val="18"/>
      </w:rPr>
      <w:fldChar w:fldCharType="begin"/>
    </w:r>
    <w:r w:rsidRPr="00922791">
      <w:rPr>
        <w:sz w:val="18"/>
        <w:szCs w:val="18"/>
      </w:rPr>
      <w:instrText xml:space="preserve"> PAGE   \* MERGEFORMAT </w:instrText>
    </w:r>
    <w:r w:rsidRPr="00922791">
      <w:rPr>
        <w:sz w:val="18"/>
        <w:szCs w:val="18"/>
      </w:rPr>
      <w:fldChar w:fldCharType="separate"/>
    </w:r>
    <w:r w:rsidR="00F54941">
      <w:rPr>
        <w:noProof/>
        <w:sz w:val="18"/>
        <w:szCs w:val="18"/>
      </w:rPr>
      <w:t>3</w:t>
    </w:r>
    <w:r w:rsidRPr="00922791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A321" w14:textId="37E883C3" w:rsidR="00593041" w:rsidRPr="00332843" w:rsidRDefault="00593041" w:rsidP="000669DF">
    <w:pPr>
      <w:pStyle w:val="Footer"/>
      <w:jc w:val="center"/>
      <w:rPr>
        <w:sz w:val="18"/>
        <w:szCs w:val="18"/>
      </w:rPr>
    </w:pPr>
    <w:r w:rsidRPr="00332843">
      <w:rPr>
        <w:sz w:val="18"/>
        <w:szCs w:val="18"/>
      </w:rPr>
      <w:fldChar w:fldCharType="begin"/>
    </w:r>
    <w:r w:rsidRPr="00332843">
      <w:rPr>
        <w:sz w:val="18"/>
        <w:szCs w:val="18"/>
      </w:rPr>
      <w:instrText xml:space="preserve"> PAGE   \* MERGEFORMAT </w:instrText>
    </w:r>
    <w:r w:rsidRPr="00332843">
      <w:rPr>
        <w:sz w:val="18"/>
        <w:szCs w:val="18"/>
      </w:rPr>
      <w:fldChar w:fldCharType="separate"/>
    </w:r>
    <w:r w:rsidR="00F54941">
      <w:rPr>
        <w:noProof/>
        <w:sz w:val="18"/>
        <w:szCs w:val="18"/>
      </w:rPr>
      <w:t>2</w:t>
    </w:r>
    <w:r w:rsidRPr="00332843">
      <w:rPr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E596" w14:textId="0005E78F" w:rsidR="00D605A4" w:rsidRPr="00D605A4" w:rsidRDefault="00D605A4">
    <w:pPr>
      <w:pStyle w:val="Footer"/>
      <w:jc w:val="center"/>
      <w:rPr>
        <w:sz w:val="18"/>
        <w:szCs w:val="18"/>
      </w:rPr>
    </w:pPr>
    <w:r w:rsidRPr="00D605A4">
      <w:rPr>
        <w:sz w:val="18"/>
        <w:szCs w:val="18"/>
      </w:rPr>
      <w:fldChar w:fldCharType="begin"/>
    </w:r>
    <w:r w:rsidRPr="00D605A4">
      <w:rPr>
        <w:sz w:val="18"/>
        <w:szCs w:val="18"/>
      </w:rPr>
      <w:instrText xml:space="preserve"> PAGE   \* MERGEFORMAT </w:instrText>
    </w:r>
    <w:r w:rsidRPr="00D605A4">
      <w:rPr>
        <w:sz w:val="18"/>
        <w:szCs w:val="18"/>
      </w:rPr>
      <w:fldChar w:fldCharType="separate"/>
    </w:r>
    <w:r w:rsidR="00F54941">
      <w:rPr>
        <w:noProof/>
        <w:sz w:val="18"/>
        <w:szCs w:val="18"/>
      </w:rPr>
      <w:t>4</w:t>
    </w:r>
    <w:r w:rsidRPr="00D605A4">
      <w:rPr>
        <w:noProof/>
        <w:sz w:val="18"/>
        <w:szCs w:val="18"/>
      </w:rPr>
      <w:fldChar w:fldCharType="end"/>
    </w:r>
  </w:p>
  <w:p w14:paraId="3B018E79" w14:textId="77777777"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E91C7" w14:textId="77777777" w:rsidR="004E251B" w:rsidRDefault="004E251B">
      <w:r>
        <w:separator/>
      </w:r>
    </w:p>
  </w:footnote>
  <w:footnote w:type="continuationSeparator" w:id="0">
    <w:p w14:paraId="46B153C6" w14:textId="77777777" w:rsidR="004E251B" w:rsidRDefault="004E251B">
      <w:r>
        <w:continuationSeparator/>
      </w:r>
    </w:p>
  </w:footnote>
  <w:footnote w:id="1">
    <w:p w14:paraId="46CCD513" w14:textId="314F7852" w:rsidR="0074637F" w:rsidRPr="00817B66" w:rsidRDefault="0074637F" w:rsidP="00817B66">
      <w:pPr>
        <w:pStyle w:val="HTMLPreformatted"/>
        <w:rPr>
          <w:rFonts w:ascii="Arial" w:hAnsi="Arial" w:cs="Arial"/>
          <w:sz w:val="22"/>
          <w:szCs w:val="22"/>
        </w:rPr>
      </w:pPr>
      <w:r w:rsidRPr="00817B66">
        <w:rPr>
          <w:rStyle w:val="FootnoteReference"/>
          <w:rFonts w:ascii="Arial" w:hAnsi="Arial" w:cs="Arial"/>
          <w:sz w:val="22"/>
          <w:vertAlign w:val="superscript"/>
        </w:rPr>
        <w:t>1</w:t>
      </w:r>
      <w:r w:rsidRPr="00817B66">
        <w:rPr>
          <w:rFonts w:ascii="Arial" w:hAnsi="Arial" w:cs="Arial"/>
          <w:sz w:val="22"/>
        </w:rPr>
        <w:t xml:space="preserve"> </w:t>
      </w:r>
      <w:r w:rsidR="00817B66" w:rsidRPr="00817B66">
        <w:rPr>
          <w:rFonts w:ascii="Arial" w:hAnsi="Arial" w:cs="Arial"/>
          <w:sz w:val="22"/>
          <w:lang w:val="fr-FR"/>
        </w:rPr>
        <w:t>Précédemment Recommandation</w:t>
      </w:r>
      <w:r w:rsidR="00490850">
        <w:rPr>
          <w:rFonts w:ascii="Arial" w:hAnsi="Arial" w:cs="Arial"/>
          <w:sz w:val="22"/>
          <w:lang w:val="fr-FR"/>
        </w:rPr>
        <w:t xml:space="preserve"> </w:t>
      </w:r>
      <w:r w:rsidR="00E43DFB">
        <w:rPr>
          <w:rFonts w:ascii="Arial" w:hAnsi="Arial" w:cs="Arial"/>
          <w:sz w:val="22"/>
          <w:lang w:val="fr-FR"/>
        </w:rPr>
        <w:t>5</w:t>
      </w:r>
      <w:r w:rsidR="00490850">
        <w:rPr>
          <w:rFonts w:ascii="Arial" w:hAnsi="Arial" w:cs="Arial"/>
          <w:sz w:val="22"/>
          <w:lang w:val="fr-FR"/>
        </w:rPr>
        <w:t>.</w:t>
      </w:r>
      <w:r w:rsidR="00E43DFB">
        <w:rPr>
          <w:rFonts w:ascii="Arial" w:hAnsi="Arial" w:cs="Arial"/>
          <w:sz w:val="22"/>
          <w:lang w:val="fr-FR"/>
        </w:rPr>
        <w:t>1</w:t>
      </w:r>
      <w:r w:rsidR="00817B66" w:rsidRPr="00817B66">
        <w:rPr>
          <w:rFonts w:ascii="Arial" w:hAnsi="Arial" w:cs="Arial"/>
          <w:sz w:val="22"/>
          <w:szCs w:val="22"/>
          <w:lang w:val="fr-FR"/>
        </w:rPr>
        <w:t>.</w:t>
      </w:r>
    </w:p>
  </w:footnote>
  <w:footnote w:id="2">
    <w:p w14:paraId="73C229E9" w14:textId="18399F02" w:rsidR="008568AF" w:rsidRPr="004B20A1" w:rsidRDefault="008568AF" w:rsidP="008568AF">
      <w:pPr>
        <w:pStyle w:val="FootnoteText"/>
        <w:rPr>
          <w:sz w:val="18"/>
          <w:szCs w:val="18"/>
        </w:rPr>
      </w:pPr>
      <w:r w:rsidRPr="004B20A1">
        <w:rPr>
          <w:rStyle w:val="FootnoteReference"/>
          <w:rFonts w:cs="Arial"/>
          <w:sz w:val="18"/>
          <w:szCs w:val="18"/>
          <w:vertAlign w:val="superscript"/>
        </w:rPr>
        <w:t>1</w:t>
      </w:r>
      <w:r w:rsidRPr="004B20A1">
        <w:rPr>
          <w:sz w:val="18"/>
          <w:szCs w:val="18"/>
          <w:vertAlign w:val="superscript"/>
        </w:rPr>
        <w:t xml:space="preserve"> </w:t>
      </w:r>
      <w:proofErr w:type="spellStart"/>
      <w:r w:rsidRPr="004B20A1">
        <w:rPr>
          <w:sz w:val="18"/>
          <w:szCs w:val="18"/>
        </w:rPr>
        <w:t>Pr</w:t>
      </w:r>
      <w:r>
        <w:rPr>
          <w:sz w:val="18"/>
          <w:szCs w:val="18"/>
        </w:rPr>
        <w:t>écédemment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Recomma</w:t>
      </w:r>
      <w:r w:rsidRPr="004B20A1">
        <w:rPr>
          <w:sz w:val="18"/>
          <w:szCs w:val="18"/>
        </w:rPr>
        <w:t>ndation</w:t>
      </w:r>
      <w:proofErr w:type="spellEnd"/>
      <w:r w:rsidRPr="004B20A1">
        <w:rPr>
          <w:sz w:val="18"/>
          <w:szCs w:val="18"/>
        </w:rPr>
        <w:t xml:space="preserve"> 5.1.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06E74" w14:textId="77777777" w:rsidR="00354A9C" w:rsidRPr="00922791" w:rsidRDefault="00354A9C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b w:val="0"/>
        <w:i/>
        <w:sz w:val="18"/>
        <w:szCs w:val="18"/>
        <w:lang w:val="en-US"/>
      </w:rPr>
    </w:pPr>
    <w:r w:rsidRPr="00922791">
      <w:rPr>
        <w:b w:val="0"/>
        <w:i/>
        <w:sz w:val="18"/>
        <w:szCs w:val="18"/>
        <w:lang w:val="en-US"/>
      </w:rPr>
      <w:t>U</w:t>
    </w:r>
    <w:r w:rsidR="002D5EC0" w:rsidRPr="00922791">
      <w:rPr>
        <w:b w:val="0"/>
        <w:i/>
        <w:sz w:val="18"/>
        <w:szCs w:val="18"/>
        <w:lang w:val="en-US"/>
      </w:rPr>
      <w:t>NEP/CMS/COP12</w:t>
    </w:r>
    <w:r w:rsidRPr="00922791">
      <w:rPr>
        <w:b w:val="0"/>
        <w:i/>
        <w:sz w:val="18"/>
        <w:szCs w:val="18"/>
        <w:lang w:val="en-US"/>
      </w:rPr>
      <w:t>/Doc.6.</w:t>
    </w:r>
    <w:r w:rsidR="002D5EC0" w:rsidRPr="00922791">
      <w:rPr>
        <w:b w:val="0"/>
        <w:i/>
        <w:sz w:val="18"/>
        <w:szCs w:val="18"/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C2B4C" w14:textId="77777777" w:rsidR="00254721" w:rsidRPr="00922791" w:rsidRDefault="00254721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b w:val="0"/>
        <w:i/>
        <w:sz w:val="18"/>
        <w:szCs w:val="18"/>
        <w:lang w:val="en-US"/>
      </w:rPr>
    </w:pPr>
    <w:r w:rsidRPr="00922791">
      <w:rPr>
        <w:b w:val="0"/>
        <w:i/>
        <w:sz w:val="18"/>
        <w:szCs w:val="18"/>
        <w:lang w:val="en-US"/>
      </w:rPr>
      <w:t>UNEP/CMS/COP11/Doc</w:t>
    </w:r>
    <w:r w:rsidR="00354A9C" w:rsidRPr="00922791">
      <w:rPr>
        <w:b w:val="0"/>
        <w:i/>
        <w:sz w:val="18"/>
        <w:szCs w:val="18"/>
        <w:lang w:val="en-US"/>
      </w:rPr>
      <w:t>.6.</w:t>
    </w:r>
    <w:r w:rsidR="00056DC1" w:rsidRPr="00922791">
      <w:rPr>
        <w:b w:val="0"/>
        <w:i/>
        <w:sz w:val="18"/>
        <w:szCs w:val="18"/>
        <w:lang w:val="en-US"/>
      </w:rPr>
      <w:t>1</w:t>
    </w:r>
  </w:p>
  <w:p w14:paraId="1CA60BF5" w14:textId="77777777" w:rsidR="00254721" w:rsidRPr="00354A9C" w:rsidRDefault="00254721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C2450" w14:textId="77777777" w:rsidR="00FA61AF" w:rsidRDefault="009A4CD2">
    <w:pPr>
      <w:pStyle w:val="Header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20CC7700" wp14:editId="5EFDFF42">
          <wp:simplePos x="0" y="0"/>
          <wp:positionH relativeFrom="column">
            <wp:posOffset>-169545</wp:posOffset>
          </wp:positionH>
          <wp:positionV relativeFrom="paragraph">
            <wp:posOffset>-59055</wp:posOffset>
          </wp:positionV>
          <wp:extent cx="945515" cy="510540"/>
          <wp:effectExtent l="0" t="0" r="0" b="0"/>
          <wp:wrapTight wrapText="bothSides">
            <wp:wrapPolygon edited="0">
              <wp:start x="2176" y="2418"/>
              <wp:lineTo x="1306" y="14507"/>
              <wp:lineTo x="1306" y="18537"/>
              <wp:lineTo x="20019" y="18537"/>
              <wp:lineTo x="19584" y="5642"/>
              <wp:lineTo x="19148" y="2418"/>
              <wp:lineTo x="2176" y="2418"/>
            </wp:wrapPolygon>
          </wp:wrapTight>
          <wp:docPr id="18" name="Picture 18" descr="UNEnvironment_Logo_Frenc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Frenc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51367306" wp14:editId="30E7842C">
          <wp:simplePos x="0" y="0"/>
          <wp:positionH relativeFrom="column">
            <wp:posOffset>727710</wp:posOffset>
          </wp:positionH>
          <wp:positionV relativeFrom="paragraph">
            <wp:posOffset>-75565</wp:posOffset>
          </wp:positionV>
          <wp:extent cx="431165" cy="441325"/>
          <wp:effectExtent l="0" t="0" r="6985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86931" w14:textId="77777777" w:rsidR="00593041" w:rsidRPr="00922791" w:rsidRDefault="00593041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b w:val="0"/>
        <w:i/>
        <w:sz w:val="18"/>
        <w:szCs w:val="18"/>
        <w:lang w:val="en-US"/>
      </w:rPr>
    </w:pPr>
    <w:r w:rsidRPr="00922791">
      <w:rPr>
        <w:b w:val="0"/>
        <w:i/>
        <w:sz w:val="18"/>
        <w:szCs w:val="18"/>
        <w:lang w:val="en-US"/>
      </w:rPr>
      <w:t>U</w:t>
    </w:r>
    <w:r>
      <w:rPr>
        <w:b w:val="0"/>
        <w:i/>
        <w:sz w:val="18"/>
        <w:szCs w:val="18"/>
        <w:lang w:val="en-US"/>
      </w:rPr>
      <w:t>NEP/CMS/COP12</w:t>
    </w:r>
    <w:r w:rsidRPr="00922791">
      <w:rPr>
        <w:b w:val="0"/>
        <w:i/>
        <w:sz w:val="18"/>
        <w:szCs w:val="18"/>
        <w:lang w:val="en-US"/>
      </w:rPr>
      <w:t>/Doc</w:t>
    </w:r>
    <w:r>
      <w:rPr>
        <w:b w:val="0"/>
        <w:i/>
        <w:sz w:val="18"/>
        <w:szCs w:val="18"/>
        <w:lang w:val="en-US"/>
      </w:rPr>
      <w:t>.20.3.12/Annex 1</w:t>
    </w:r>
  </w:p>
  <w:p w14:paraId="72E845B4" w14:textId="77777777" w:rsidR="00593041" w:rsidRPr="00332843" w:rsidRDefault="00593041" w:rsidP="000669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A2C5A" w14:textId="3239E328" w:rsidR="00593041" w:rsidRPr="00F165BD" w:rsidRDefault="00F54941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b w:val="0"/>
        <w:i/>
        <w:sz w:val="18"/>
        <w:szCs w:val="18"/>
        <w:lang w:val="fr-FR"/>
      </w:rPr>
    </w:pPr>
    <w:r>
      <w:rPr>
        <w:b w:val="0"/>
        <w:i/>
        <w:sz w:val="18"/>
        <w:szCs w:val="18"/>
        <w:lang w:val="fr-FR"/>
      </w:rPr>
      <w:t>UNEP</w:t>
    </w:r>
    <w:r w:rsidR="00593041" w:rsidRPr="00F165BD">
      <w:rPr>
        <w:b w:val="0"/>
        <w:i/>
        <w:sz w:val="18"/>
        <w:szCs w:val="18"/>
        <w:lang w:val="fr-FR"/>
      </w:rPr>
      <w:t>/CMS/COP12/Doc.21.1.</w:t>
    </w:r>
    <w:r w:rsidR="00315922" w:rsidRPr="00F165BD">
      <w:rPr>
        <w:b w:val="0"/>
        <w:i/>
        <w:sz w:val="18"/>
        <w:szCs w:val="18"/>
        <w:lang w:val="fr-FR"/>
      </w:rPr>
      <w:t>4</w:t>
    </w:r>
    <w:r w:rsidR="00593041" w:rsidRPr="00F165BD">
      <w:rPr>
        <w:b w:val="0"/>
        <w:i/>
        <w:sz w:val="18"/>
        <w:szCs w:val="18"/>
        <w:lang w:val="fr-FR"/>
      </w:rPr>
      <w:t>/Annexe 1</w:t>
    </w:r>
  </w:p>
  <w:p w14:paraId="48343EFA" w14:textId="77777777" w:rsidR="00593041" w:rsidRPr="00F165BD" w:rsidRDefault="00593041" w:rsidP="000669DF">
    <w:pPr>
      <w:jc w:val="right"/>
      <w:rPr>
        <w:i/>
        <w:szCs w:val="20"/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589F9" w14:textId="7011F5E2" w:rsidR="00593041" w:rsidRPr="00F165BD" w:rsidRDefault="00F165BD" w:rsidP="00F165BD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b w:val="0"/>
        <w:i/>
        <w:sz w:val="18"/>
        <w:szCs w:val="18"/>
        <w:lang w:val="fr-FR"/>
      </w:rPr>
    </w:pPr>
    <w:r>
      <w:rPr>
        <w:b w:val="0"/>
        <w:i/>
        <w:sz w:val="18"/>
        <w:szCs w:val="18"/>
        <w:lang w:val="fr-FR"/>
      </w:rPr>
      <w:t>UNEP</w:t>
    </w:r>
    <w:r w:rsidR="00593041" w:rsidRPr="00F165BD">
      <w:rPr>
        <w:b w:val="0"/>
        <w:i/>
        <w:sz w:val="18"/>
        <w:szCs w:val="18"/>
        <w:lang w:val="fr-FR"/>
      </w:rPr>
      <w:t>/CMS/COP12/Doc.21.1.</w:t>
    </w:r>
    <w:r w:rsidR="00315922" w:rsidRPr="00F165BD">
      <w:rPr>
        <w:b w:val="0"/>
        <w:i/>
        <w:sz w:val="18"/>
        <w:szCs w:val="18"/>
        <w:lang w:val="fr-FR"/>
      </w:rPr>
      <w:t>4</w:t>
    </w:r>
    <w:r w:rsidR="00593041" w:rsidRPr="00F165BD">
      <w:rPr>
        <w:b w:val="0"/>
        <w:i/>
        <w:sz w:val="18"/>
        <w:szCs w:val="18"/>
        <w:lang w:val="fr-FR"/>
      </w:rPr>
      <w:t>/Annexe 1</w:t>
    </w:r>
  </w:p>
  <w:p w14:paraId="35CB1B5B" w14:textId="77777777" w:rsidR="00593041" w:rsidRPr="00F165BD" w:rsidRDefault="00593041" w:rsidP="000669DF">
    <w:pPr>
      <w:pStyle w:val="Header"/>
      <w:rPr>
        <w:lang w:val="fr-FR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73980" w14:textId="52F076A7" w:rsidR="00D605A4" w:rsidRPr="00F165BD" w:rsidRDefault="008568AF" w:rsidP="00D605A4">
    <w:pPr>
      <w:pStyle w:val="Header"/>
      <w:pBdr>
        <w:bottom w:val="single" w:sz="4" w:space="1" w:color="auto"/>
      </w:pBdr>
      <w:rPr>
        <w:i/>
        <w:sz w:val="18"/>
        <w:szCs w:val="18"/>
        <w:lang w:val="fr-FR"/>
      </w:rPr>
    </w:pPr>
    <w:r>
      <w:rPr>
        <w:i/>
        <w:sz w:val="18"/>
        <w:szCs w:val="18"/>
        <w:lang w:val="fr-FR"/>
      </w:rPr>
      <w:t>UNEP</w:t>
    </w:r>
    <w:r w:rsidR="00D605A4" w:rsidRPr="00F165BD">
      <w:rPr>
        <w:i/>
        <w:sz w:val="18"/>
        <w:szCs w:val="18"/>
        <w:lang w:val="fr-FR"/>
      </w:rPr>
      <w:t>/CMS/COP12/Doc.</w:t>
    </w:r>
    <w:r w:rsidR="00B408EF" w:rsidRPr="00F165BD">
      <w:rPr>
        <w:i/>
        <w:sz w:val="18"/>
        <w:szCs w:val="18"/>
        <w:lang w:val="fr-FR"/>
      </w:rPr>
      <w:t>21.1.</w:t>
    </w:r>
    <w:r w:rsidR="00315922" w:rsidRPr="00F165BD">
      <w:rPr>
        <w:i/>
        <w:sz w:val="18"/>
        <w:szCs w:val="18"/>
        <w:lang w:val="fr-FR"/>
      </w:rPr>
      <w:t>4</w:t>
    </w:r>
    <w:r w:rsidR="00B408EF" w:rsidRPr="00F165BD">
      <w:rPr>
        <w:i/>
        <w:sz w:val="18"/>
        <w:szCs w:val="18"/>
        <w:lang w:val="fr-FR"/>
      </w:rPr>
      <w:t>/Annex</w:t>
    </w:r>
    <w:r w:rsidR="00EC4891" w:rsidRPr="00F165BD">
      <w:rPr>
        <w:i/>
        <w:sz w:val="18"/>
        <w:szCs w:val="18"/>
        <w:lang w:val="fr-FR"/>
      </w:rPr>
      <w:t>e</w:t>
    </w:r>
    <w:r w:rsidR="00B408EF" w:rsidRPr="00F165BD">
      <w:rPr>
        <w:i/>
        <w:sz w:val="18"/>
        <w:szCs w:val="18"/>
        <w:lang w:val="fr-FR"/>
      </w:rPr>
      <w:t xml:space="preserve"> </w:t>
    </w:r>
    <w:r w:rsidR="00496B06" w:rsidRPr="00F165BD">
      <w:rPr>
        <w:i/>
        <w:sz w:val="18"/>
        <w:szCs w:val="18"/>
        <w:lang w:val="fr-F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6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68121E6"/>
    <w:multiLevelType w:val="hybridMultilevel"/>
    <w:tmpl w:val="0C6E3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0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2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4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5BC7C2D"/>
    <w:multiLevelType w:val="hybridMultilevel"/>
    <w:tmpl w:val="067AE5C6"/>
    <w:lvl w:ilvl="0" w:tplc="77BCF5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0"/>
  </w:num>
  <w:num w:numId="4">
    <w:abstractNumId w:val="22"/>
  </w:num>
  <w:num w:numId="5">
    <w:abstractNumId w:val="11"/>
  </w:num>
  <w:num w:numId="6">
    <w:abstractNumId w:val="31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0"/>
  </w:num>
  <w:num w:numId="9">
    <w:abstractNumId w:val="7"/>
  </w:num>
  <w:num w:numId="10">
    <w:abstractNumId w:val="21"/>
  </w:num>
  <w:num w:numId="11">
    <w:abstractNumId w:val="35"/>
  </w:num>
  <w:num w:numId="12">
    <w:abstractNumId w:val="3"/>
  </w:num>
  <w:num w:numId="13">
    <w:abstractNumId w:val="17"/>
  </w:num>
  <w:num w:numId="14">
    <w:abstractNumId w:val="33"/>
  </w:num>
  <w:num w:numId="15">
    <w:abstractNumId w:val="2"/>
  </w:num>
  <w:num w:numId="16">
    <w:abstractNumId w:val="9"/>
  </w:num>
  <w:num w:numId="17">
    <w:abstractNumId w:val="36"/>
  </w:num>
  <w:num w:numId="18">
    <w:abstractNumId w:val="20"/>
  </w:num>
  <w:num w:numId="19">
    <w:abstractNumId w:val="34"/>
  </w:num>
  <w:num w:numId="20">
    <w:abstractNumId w:val="41"/>
  </w:num>
  <w:num w:numId="21">
    <w:abstractNumId w:val="4"/>
  </w:num>
  <w:num w:numId="22">
    <w:abstractNumId w:val="15"/>
  </w:num>
  <w:num w:numId="23">
    <w:abstractNumId w:val="24"/>
  </w:num>
  <w:num w:numId="24">
    <w:abstractNumId w:val="14"/>
  </w:num>
  <w:num w:numId="25">
    <w:abstractNumId w:val="28"/>
  </w:num>
  <w:num w:numId="26">
    <w:abstractNumId w:val="0"/>
  </w:num>
  <w:num w:numId="27">
    <w:abstractNumId w:val="38"/>
  </w:num>
  <w:num w:numId="28">
    <w:abstractNumId w:val="6"/>
  </w:num>
  <w:num w:numId="29">
    <w:abstractNumId w:val="19"/>
  </w:num>
  <w:num w:numId="30">
    <w:abstractNumId w:val="12"/>
  </w:num>
  <w:num w:numId="31">
    <w:abstractNumId w:val="26"/>
  </w:num>
  <w:num w:numId="32">
    <w:abstractNumId w:val="25"/>
  </w:num>
  <w:num w:numId="33">
    <w:abstractNumId w:val="5"/>
  </w:num>
  <w:num w:numId="34">
    <w:abstractNumId w:val="16"/>
  </w:num>
  <w:num w:numId="35">
    <w:abstractNumId w:val="13"/>
  </w:num>
  <w:num w:numId="36">
    <w:abstractNumId w:val="29"/>
  </w:num>
  <w:num w:numId="37">
    <w:abstractNumId w:val="32"/>
  </w:num>
  <w:num w:numId="38">
    <w:abstractNumId w:val="8"/>
  </w:num>
  <w:num w:numId="39">
    <w:abstractNumId w:val="27"/>
  </w:num>
  <w:num w:numId="40">
    <w:abstractNumId w:val="39"/>
  </w:num>
  <w:num w:numId="41">
    <w:abstractNumId w:val="23"/>
  </w:num>
  <w:num w:numId="42">
    <w:abstractNumId w:val="1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pt-P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36C53"/>
    <w:rsid w:val="000518C2"/>
    <w:rsid w:val="00056DC1"/>
    <w:rsid w:val="00060156"/>
    <w:rsid w:val="00070BBC"/>
    <w:rsid w:val="00073C92"/>
    <w:rsid w:val="00080F03"/>
    <w:rsid w:val="0008246C"/>
    <w:rsid w:val="000900E1"/>
    <w:rsid w:val="0009076A"/>
    <w:rsid w:val="000B6220"/>
    <w:rsid w:val="000C21B1"/>
    <w:rsid w:val="000C3C87"/>
    <w:rsid w:val="000C7460"/>
    <w:rsid w:val="000E01C1"/>
    <w:rsid w:val="000F1156"/>
    <w:rsid w:val="000F52BA"/>
    <w:rsid w:val="00105176"/>
    <w:rsid w:val="001111AA"/>
    <w:rsid w:val="001151A3"/>
    <w:rsid w:val="0012213E"/>
    <w:rsid w:val="0012294F"/>
    <w:rsid w:val="001245DF"/>
    <w:rsid w:val="00130BFD"/>
    <w:rsid w:val="001419C7"/>
    <w:rsid w:val="00150AC4"/>
    <w:rsid w:val="00162D88"/>
    <w:rsid w:val="00166ABA"/>
    <w:rsid w:val="001743FD"/>
    <w:rsid w:val="00174FEF"/>
    <w:rsid w:val="001764E6"/>
    <w:rsid w:val="001808F1"/>
    <w:rsid w:val="001A33B6"/>
    <w:rsid w:val="001C6038"/>
    <w:rsid w:val="001F60A1"/>
    <w:rsid w:val="00200A67"/>
    <w:rsid w:val="00201F88"/>
    <w:rsid w:val="00202332"/>
    <w:rsid w:val="002210F4"/>
    <w:rsid w:val="00231548"/>
    <w:rsid w:val="00234857"/>
    <w:rsid w:val="00254721"/>
    <w:rsid w:val="00260772"/>
    <w:rsid w:val="00263159"/>
    <w:rsid w:val="00275105"/>
    <w:rsid w:val="002779F7"/>
    <w:rsid w:val="00282C88"/>
    <w:rsid w:val="002B0649"/>
    <w:rsid w:val="002C187A"/>
    <w:rsid w:val="002C20F1"/>
    <w:rsid w:val="002D2863"/>
    <w:rsid w:val="002D5EC0"/>
    <w:rsid w:val="002E3DEA"/>
    <w:rsid w:val="002E7CC2"/>
    <w:rsid w:val="002F6F9B"/>
    <w:rsid w:val="003022B9"/>
    <w:rsid w:val="00312F2C"/>
    <w:rsid w:val="00315922"/>
    <w:rsid w:val="003331C6"/>
    <w:rsid w:val="00345044"/>
    <w:rsid w:val="00351095"/>
    <w:rsid w:val="00354A9C"/>
    <w:rsid w:val="0035546C"/>
    <w:rsid w:val="00364973"/>
    <w:rsid w:val="00372347"/>
    <w:rsid w:val="00372D16"/>
    <w:rsid w:val="003779D4"/>
    <w:rsid w:val="00382398"/>
    <w:rsid w:val="003909E4"/>
    <w:rsid w:val="003A0D8F"/>
    <w:rsid w:val="003A3E30"/>
    <w:rsid w:val="003A4176"/>
    <w:rsid w:val="003A70FE"/>
    <w:rsid w:val="003B0C35"/>
    <w:rsid w:val="003B219E"/>
    <w:rsid w:val="003E21B3"/>
    <w:rsid w:val="00402CA0"/>
    <w:rsid w:val="00407FD5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90850"/>
    <w:rsid w:val="00496B06"/>
    <w:rsid w:val="004B6CFD"/>
    <w:rsid w:val="004C204D"/>
    <w:rsid w:val="004D0436"/>
    <w:rsid w:val="004D0936"/>
    <w:rsid w:val="004E251B"/>
    <w:rsid w:val="004F243D"/>
    <w:rsid w:val="004F3D8D"/>
    <w:rsid w:val="005076F1"/>
    <w:rsid w:val="00512B91"/>
    <w:rsid w:val="005158EB"/>
    <w:rsid w:val="0052082F"/>
    <w:rsid w:val="00525892"/>
    <w:rsid w:val="00542FCC"/>
    <w:rsid w:val="00553795"/>
    <w:rsid w:val="00555B89"/>
    <w:rsid w:val="0055762E"/>
    <w:rsid w:val="005612BD"/>
    <w:rsid w:val="00565445"/>
    <w:rsid w:val="00575334"/>
    <w:rsid w:val="00576C8E"/>
    <w:rsid w:val="00593041"/>
    <w:rsid w:val="00593736"/>
    <w:rsid w:val="005B0F06"/>
    <w:rsid w:val="005B6141"/>
    <w:rsid w:val="005C0A7F"/>
    <w:rsid w:val="005C3F15"/>
    <w:rsid w:val="005E4313"/>
    <w:rsid w:val="005F3989"/>
    <w:rsid w:val="005F4303"/>
    <w:rsid w:val="005F722B"/>
    <w:rsid w:val="00601B52"/>
    <w:rsid w:val="0060280B"/>
    <w:rsid w:val="00604422"/>
    <w:rsid w:val="00644060"/>
    <w:rsid w:val="00651341"/>
    <w:rsid w:val="00667726"/>
    <w:rsid w:val="006815B2"/>
    <w:rsid w:val="00682B31"/>
    <w:rsid w:val="006864E1"/>
    <w:rsid w:val="006B1037"/>
    <w:rsid w:val="006E56AD"/>
    <w:rsid w:val="006E5763"/>
    <w:rsid w:val="006F6A33"/>
    <w:rsid w:val="007101BB"/>
    <w:rsid w:val="00713308"/>
    <w:rsid w:val="00727E01"/>
    <w:rsid w:val="00744E85"/>
    <w:rsid w:val="0074637F"/>
    <w:rsid w:val="00757614"/>
    <w:rsid w:val="007641A9"/>
    <w:rsid w:val="007656CB"/>
    <w:rsid w:val="0077212A"/>
    <w:rsid w:val="007728B4"/>
    <w:rsid w:val="0077622E"/>
    <w:rsid w:val="00777913"/>
    <w:rsid w:val="00777FE4"/>
    <w:rsid w:val="0079075D"/>
    <w:rsid w:val="007C1468"/>
    <w:rsid w:val="007C41D7"/>
    <w:rsid w:val="007E63BC"/>
    <w:rsid w:val="007F16FB"/>
    <w:rsid w:val="007F1BBA"/>
    <w:rsid w:val="00804007"/>
    <w:rsid w:val="0081600F"/>
    <w:rsid w:val="00817B66"/>
    <w:rsid w:val="0082722D"/>
    <w:rsid w:val="008274F7"/>
    <w:rsid w:val="008441F9"/>
    <w:rsid w:val="00846A99"/>
    <w:rsid w:val="00846DEE"/>
    <w:rsid w:val="008568AF"/>
    <w:rsid w:val="008641D1"/>
    <w:rsid w:val="00872F67"/>
    <w:rsid w:val="00893346"/>
    <w:rsid w:val="008A0D8D"/>
    <w:rsid w:val="008A3AC6"/>
    <w:rsid w:val="008B1A69"/>
    <w:rsid w:val="008C1A39"/>
    <w:rsid w:val="008C4AFF"/>
    <w:rsid w:val="008E7DFB"/>
    <w:rsid w:val="008F7327"/>
    <w:rsid w:val="00902CB0"/>
    <w:rsid w:val="009076C8"/>
    <w:rsid w:val="00915BBE"/>
    <w:rsid w:val="00921D62"/>
    <w:rsid w:val="00922791"/>
    <w:rsid w:val="00927CD6"/>
    <w:rsid w:val="00933572"/>
    <w:rsid w:val="009363C7"/>
    <w:rsid w:val="00945FFB"/>
    <w:rsid w:val="00967FAD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4C4F"/>
    <w:rsid w:val="009F54DA"/>
    <w:rsid w:val="00A06984"/>
    <w:rsid w:val="00A1324E"/>
    <w:rsid w:val="00A27BE3"/>
    <w:rsid w:val="00A339B9"/>
    <w:rsid w:val="00A40EDF"/>
    <w:rsid w:val="00A568DF"/>
    <w:rsid w:val="00A73A79"/>
    <w:rsid w:val="00A91596"/>
    <w:rsid w:val="00A93C52"/>
    <w:rsid w:val="00A96EDC"/>
    <w:rsid w:val="00AA7368"/>
    <w:rsid w:val="00AA7A90"/>
    <w:rsid w:val="00AB4FF9"/>
    <w:rsid w:val="00AC04C7"/>
    <w:rsid w:val="00AE7B21"/>
    <w:rsid w:val="00AF1980"/>
    <w:rsid w:val="00AF2021"/>
    <w:rsid w:val="00B3114B"/>
    <w:rsid w:val="00B408EF"/>
    <w:rsid w:val="00B471BD"/>
    <w:rsid w:val="00B50C2D"/>
    <w:rsid w:val="00B64904"/>
    <w:rsid w:val="00B71AE5"/>
    <w:rsid w:val="00BA60CE"/>
    <w:rsid w:val="00BC5607"/>
    <w:rsid w:val="00BE0D1D"/>
    <w:rsid w:val="00BE2448"/>
    <w:rsid w:val="00BE24D4"/>
    <w:rsid w:val="00BE3810"/>
    <w:rsid w:val="00BF2BE7"/>
    <w:rsid w:val="00C04519"/>
    <w:rsid w:val="00C05102"/>
    <w:rsid w:val="00C13FA6"/>
    <w:rsid w:val="00C169ED"/>
    <w:rsid w:val="00C30324"/>
    <w:rsid w:val="00C5484D"/>
    <w:rsid w:val="00C618F2"/>
    <w:rsid w:val="00C63A47"/>
    <w:rsid w:val="00C73207"/>
    <w:rsid w:val="00C7602A"/>
    <w:rsid w:val="00C80BE5"/>
    <w:rsid w:val="00C82ED9"/>
    <w:rsid w:val="00C8458A"/>
    <w:rsid w:val="00C87D68"/>
    <w:rsid w:val="00C9281B"/>
    <w:rsid w:val="00CA367A"/>
    <w:rsid w:val="00CB1D26"/>
    <w:rsid w:val="00CC4C21"/>
    <w:rsid w:val="00CC57AD"/>
    <w:rsid w:val="00CE5B83"/>
    <w:rsid w:val="00CF6EDD"/>
    <w:rsid w:val="00CF7AAF"/>
    <w:rsid w:val="00D05922"/>
    <w:rsid w:val="00D42AE1"/>
    <w:rsid w:val="00D605A4"/>
    <w:rsid w:val="00D61B13"/>
    <w:rsid w:val="00D7746A"/>
    <w:rsid w:val="00D82F91"/>
    <w:rsid w:val="00D8376F"/>
    <w:rsid w:val="00D838FE"/>
    <w:rsid w:val="00D8406F"/>
    <w:rsid w:val="00D859C7"/>
    <w:rsid w:val="00D9021F"/>
    <w:rsid w:val="00DA1080"/>
    <w:rsid w:val="00DA12C2"/>
    <w:rsid w:val="00DB30A6"/>
    <w:rsid w:val="00DD6A9E"/>
    <w:rsid w:val="00DF67FF"/>
    <w:rsid w:val="00E23367"/>
    <w:rsid w:val="00E30B00"/>
    <w:rsid w:val="00E31B92"/>
    <w:rsid w:val="00E43DFB"/>
    <w:rsid w:val="00E44651"/>
    <w:rsid w:val="00E475D4"/>
    <w:rsid w:val="00E74D1C"/>
    <w:rsid w:val="00E8776E"/>
    <w:rsid w:val="00E9237A"/>
    <w:rsid w:val="00EA0B88"/>
    <w:rsid w:val="00EA1ACA"/>
    <w:rsid w:val="00EB2285"/>
    <w:rsid w:val="00EC4294"/>
    <w:rsid w:val="00EC4891"/>
    <w:rsid w:val="00EC681E"/>
    <w:rsid w:val="00ED02D3"/>
    <w:rsid w:val="00ED5E31"/>
    <w:rsid w:val="00EE64C1"/>
    <w:rsid w:val="00EF193B"/>
    <w:rsid w:val="00F05AA0"/>
    <w:rsid w:val="00F061CB"/>
    <w:rsid w:val="00F165BD"/>
    <w:rsid w:val="00F24050"/>
    <w:rsid w:val="00F248AA"/>
    <w:rsid w:val="00F31539"/>
    <w:rsid w:val="00F444EC"/>
    <w:rsid w:val="00F45FE3"/>
    <w:rsid w:val="00F54941"/>
    <w:rsid w:val="00F54D03"/>
    <w:rsid w:val="00F6347A"/>
    <w:rsid w:val="00F6492A"/>
    <w:rsid w:val="00F7503A"/>
    <w:rsid w:val="00F81FEF"/>
    <w:rsid w:val="00F901E4"/>
    <w:rsid w:val="00F978B9"/>
    <w:rsid w:val="00FA61AF"/>
    <w:rsid w:val="00FB0E0A"/>
    <w:rsid w:val="00FC59CE"/>
    <w:rsid w:val="00FD3A06"/>
    <w:rsid w:val="00FD7D14"/>
    <w:rsid w:val="00FE79B8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88AA32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213E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b/>
      <w:bCs/>
      <w:sz w:val="3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paragraph" w:customStyle="1" w:styleId="p1">
    <w:name w:val="p1"/>
    <w:basedOn w:val="Normal"/>
    <w:rsid w:val="00EF193B"/>
    <w:pPr>
      <w:widowControl/>
      <w:autoSpaceDE/>
      <w:autoSpaceDN/>
      <w:adjustRightInd/>
    </w:pPr>
    <w:rPr>
      <w:sz w:val="17"/>
      <w:szCs w:val="17"/>
    </w:rPr>
  </w:style>
  <w:style w:type="character" w:customStyle="1" w:styleId="apple-converted-space">
    <w:name w:val="apple-converted-space"/>
    <w:basedOn w:val="DefaultParagraphFont"/>
    <w:rsid w:val="00EF193B"/>
  </w:style>
  <w:style w:type="paragraph" w:styleId="HTMLPreformatted">
    <w:name w:val="HTML Preformatted"/>
    <w:basedOn w:val="Normal"/>
    <w:link w:val="HTMLPreformattedChar"/>
    <w:uiPriority w:val="99"/>
    <w:unhideWhenUsed/>
    <w:rsid w:val="00817B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7B66"/>
    <w:rPr>
      <w:rFonts w:ascii="Courier New" w:hAnsi="Courier New" w:cs="Courier New"/>
      <w:sz w:val="20"/>
      <w:szCs w:val="20"/>
    </w:rPr>
  </w:style>
  <w:style w:type="character" w:customStyle="1" w:styleId="file">
    <w:name w:val="file"/>
    <w:basedOn w:val="DefaultParagraphFont"/>
    <w:rsid w:val="0040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int/sites/default/files/document/Rec5.1_F_0_0.pdf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://www.cms.int/sites/default/files/document/Rec5.1_F_0_0.pdf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3</TotalTime>
  <Pages>4</Pages>
  <Words>868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barbara.schoenberg@cms.int</dc:creator>
  <cp:keywords/>
  <cp:lastModifiedBy>Ximena Cancino</cp:lastModifiedBy>
  <cp:revision>3</cp:revision>
  <cp:lastPrinted>2017-01-20T10:09:00Z</cp:lastPrinted>
  <dcterms:created xsi:type="dcterms:W3CDTF">2017-06-22T09:31:00Z</dcterms:created>
  <dcterms:modified xsi:type="dcterms:W3CDTF">2017-07-11T14:53:00Z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