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7835AF" w:rsidRPr="00992727" w:rsidRDefault="007835AF" w:rsidP="007835AF">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7835AF" w:rsidRPr="00420040" w:rsidRDefault="007835AF" w:rsidP="007835AF">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rsidR="0081600F" w:rsidRPr="00420040" w:rsidRDefault="007835AF" w:rsidP="007835AF">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675494">
        <w:rPr>
          <w:rFonts w:ascii="Arial" w:hAnsi="Arial" w:cs="Arial"/>
          <w:iCs/>
          <w:sz w:val="22"/>
          <w:szCs w:val="22"/>
          <w:lang w:val="pt-PT"/>
        </w:rPr>
        <w:t>21.1.24</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835AF" w:rsidRPr="002F6F9B" w:rsidTr="002C3D0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835AF" w:rsidRPr="00FA61AF" w:rsidRDefault="007835AF" w:rsidP="007835AF">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rsidR="007835AF" w:rsidRPr="002F6F9B" w:rsidRDefault="007835AF" w:rsidP="007835AF">
            <w:pPr>
              <w:tabs>
                <w:tab w:val="left" w:pos="-1057"/>
                <w:tab w:val="left" w:pos="-720"/>
                <w:tab w:val="left" w:pos="0"/>
                <w:tab w:val="left" w:pos="141"/>
                <w:tab w:val="left" w:pos="720"/>
                <w:tab w:val="right" w:pos="9072"/>
              </w:tabs>
              <w:rPr>
                <w:rFonts w:ascii="Arial" w:hAnsi="Arial" w:cs="Arial"/>
                <w:sz w:val="22"/>
                <w:szCs w:val="22"/>
                <w:lang w:val="en-GB"/>
              </w:rPr>
            </w:pPr>
          </w:p>
        </w:tc>
      </w:tr>
      <w:tr w:rsidR="007835AF" w:rsidRPr="003904EB" w:rsidTr="002C3D0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835AF" w:rsidRPr="00682B31" w:rsidRDefault="007835AF" w:rsidP="007835AF">
            <w:pPr>
              <w:rPr>
                <w:rFonts w:ascii="Arial" w:hAnsi="Arial" w:cs="Arial"/>
                <w:sz w:val="22"/>
                <w:szCs w:val="22"/>
                <w:lang w:val="en-GB"/>
              </w:rPr>
            </w:pPr>
            <w:r w:rsidRPr="00682B31">
              <w:rPr>
                <w:rFonts w:ascii="Arial" w:hAnsi="Arial" w:cs="Arial"/>
                <w:noProof/>
                <w:sz w:val="22"/>
                <w:szCs w:val="22"/>
              </w:rPr>
              <w:drawing>
                <wp:inline distT="0" distB="0" distL="0" distR="0" wp14:anchorId="3670A485" wp14:editId="1A6442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7835AF" w:rsidRPr="00682B31" w:rsidRDefault="007835AF" w:rsidP="007835A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835AF" w:rsidRPr="00682B31"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7835AF" w:rsidRPr="003904EB"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3904EB">
              <w:rPr>
                <w:rFonts w:ascii="Arial" w:hAnsi="Arial" w:cs="Arial"/>
                <w:bCs w:val="0"/>
                <w:sz w:val="28"/>
                <w:szCs w:val="28"/>
                <w:lang w:val="es-ES"/>
              </w:rPr>
              <w:t>CONVENCIÓN SOBRE</w:t>
            </w:r>
          </w:p>
          <w:p w:rsidR="007835AF" w:rsidRPr="003904EB"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3904EB">
              <w:rPr>
                <w:rFonts w:ascii="Arial" w:hAnsi="Arial" w:cs="Arial"/>
                <w:bCs w:val="0"/>
                <w:sz w:val="28"/>
                <w:szCs w:val="28"/>
                <w:lang w:val="es-ES"/>
              </w:rPr>
              <w:t>LAS ESPECIES</w:t>
            </w:r>
          </w:p>
          <w:p w:rsidR="007835AF" w:rsidRPr="003904EB"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3904EB">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835AF" w:rsidRPr="003904EB" w:rsidRDefault="007835AF" w:rsidP="007835AF">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7835AF" w:rsidRPr="00992727" w:rsidRDefault="007835AF"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7835AF" w:rsidRPr="00992727" w:rsidRDefault="007835AF" w:rsidP="007835AF">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7835AF" w:rsidRPr="00992727" w:rsidRDefault="003904EB"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7835AF" w:rsidRPr="00992727">
              <w:rPr>
                <w:rFonts w:ascii="Arial" w:hAnsi="Arial" w:cs="Arial"/>
                <w:sz w:val="22"/>
                <w:szCs w:val="22"/>
                <w:lang w:val="es-ES"/>
              </w:rPr>
              <w:t>CMS/COP12/Doc.</w:t>
            </w:r>
            <w:r w:rsidR="007835AF">
              <w:rPr>
                <w:rFonts w:ascii="Arial" w:hAnsi="Arial" w:cs="Arial"/>
                <w:sz w:val="22"/>
                <w:szCs w:val="22"/>
                <w:lang w:val="es-ES"/>
              </w:rPr>
              <w:t>21.</w:t>
            </w:r>
            <w:r w:rsidR="00675494">
              <w:rPr>
                <w:rFonts w:ascii="Arial" w:hAnsi="Arial" w:cs="Arial"/>
                <w:sz w:val="22"/>
                <w:szCs w:val="22"/>
                <w:lang w:val="es-ES"/>
              </w:rPr>
              <w:t>1.24</w:t>
            </w:r>
          </w:p>
          <w:p w:rsidR="007835AF" w:rsidRPr="00992727" w:rsidRDefault="003904EB"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13 de julio </w:t>
            </w:r>
            <w:r w:rsidR="007835AF">
              <w:rPr>
                <w:rFonts w:ascii="Arial" w:hAnsi="Arial" w:cs="Arial"/>
                <w:sz w:val="22"/>
                <w:szCs w:val="22"/>
                <w:lang w:val="es-ES"/>
              </w:rPr>
              <w:t>de 2017</w:t>
            </w:r>
          </w:p>
          <w:p w:rsidR="007835AF" w:rsidRPr="00992727" w:rsidRDefault="007835AF" w:rsidP="007835AF">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7835AF" w:rsidRPr="009F0FA2" w:rsidRDefault="007835AF" w:rsidP="007835AF">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7835AF" w:rsidRPr="009F0FA2" w:rsidRDefault="007835AF" w:rsidP="007835AF">
            <w:pPr>
              <w:rPr>
                <w:rFonts w:ascii="Arial" w:hAnsi="Arial" w:cs="Arial"/>
                <w:sz w:val="22"/>
                <w:szCs w:val="22"/>
                <w:lang w:val="es-ES"/>
              </w:rPr>
            </w:pPr>
            <w:r w:rsidRPr="009F0FA2">
              <w:rPr>
                <w:rFonts w:ascii="Arial" w:hAnsi="Arial" w:cs="Arial"/>
                <w:sz w:val="22"/>
                <w:szCs w:val="22"/>
                <w:lang w:val="es-ES"/>
              </w:rPr>
              <w:t>Original: Inglés</w:t>
            </w:r>
          </w:p>
          <w:p w:rsidR="007835AF" w:rsidRPr="00992727" w:rsidRDefault="007835AF" w:rsidP="007835AF">
            <w:pPr>
              <w:rPr>
                <w:rFonts w:ascii="Arial" w:hAnsi="Arial" w:cs="Arial"/>
                <w:sz w:val="12"/>
                <w:szCs w:val="12"/>
                <w:lang w:val="es-ES"/>
              </w:rPr>
            </w:pPr>
          </w:p>
        </w:tc>
      </w:tr>
    </w:tbl>
    <w:p w:rsidR="007835AF" w:rsidRPr="003904EB" w:rsidRDefault="007835AF" w:rsidP="007835AF">
      <w:pPr>
        <w:tabs>
          <w:tab w:val="left" w:pos="7020"/>
        </w:tabs>
        <w:rPr>
          <w:rFonts w:ascii="Arial" w:hAnsi="Arial" w:cs="Arial"/>
          <w:sz w:val="22"/>
          <w:szCs w:val="22"/>
          <w:lang w:val="es-ES"/>
        </w:rPr>
      </w:pPr>
    </w:p>
    <w:p w:rsidR="007835AF" w:rsidRDefault="007835AF" w:rsidP="007835AF">
      <w:pPr>
        <w:tabs>
          <w:tab w:val="left" w:pos="7020"/>
        </w:tabs>
        <w:rPr>
          <w:rFonts w:ascii="Arial" w:hAnsi="Arial" w:cs="Arial"/>
          <w:sz w:val="22"/>
          <w:szCs w:val="22"/>
          <w:lang w:val="es-ES"/>
        </w:rPr>
      </w:pPr>
    </w:p>
    <w:p w:rsidR="003904EB" w:rsidRPr="003904EB" w:rsidRDefault="003904EB" w:rsidP="007835AF">
      <w:pPr>
        <w:tabs>
          <w:tab w:val="left" w:pos="7020"/>
        </w:tabs>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widowControl/>
        <w:autoSpaceDE/>
        <w:autoSpaceDN/>
        <w:adjustRightInd/>
        <w:jc w:val="center"/>
        <w:rPr>
          <w:rFonts w:ascii="Arial" w:hAnsi="Arial" w:cs="Arial"/>
          <w:caps/>
          <w:sz w:val="22"/>
          <w:szCs w:val="22"/>
          <w:lang w:val="es-ES"/>
        </w:rPr>
      </w:pPr>
      <w:r w:rsidRPr="003904EB">
        <w:rPr>
          <w:rFonts w:ascii="Arial" w:hAnsi="Arial" w:cs="Arial"/>
          <w:b/>
          <w:bCs/>
          <w:caps/>
          <w:sz w:val="22"/>
          <w:szCs w:val="22"/>
          <w:lang w:val="es-ES"/>
        </w:rPr>
        <w:t xml:space="preserve">Resoluciones que han de </w:t>
      </w:r>
      <w:r w:rsidR="003904EB">
        <w:rPr>
          <w:rFonts w:ascii="Arial" w:hAnsi="Arial" w:cs="Arial"/>
          <w:b/>
          <w:bCs/>
          <w:caps/>
          <w:sz w:val="22"/>
          <w:szCs w:val="22"/>
          <w:lang w:val="es-ES"/>
        </w:rPr>
        <w:t>REVOC</w:t>
      </w:r>
      <w:r w:rsidRPr="003904EB">
        <w:rPr>
          <w:rFonts w:ascii="Arial" w:hAnsi="Arial" w:cs="Arial"/>
          <w:b/>
          <w:bCs/>
          <w:caps/>
          <w:sz w:val="22"/>
          <w:szCs w:val="22"/>
          <w:lang w:val="es-ES"/>
        </w:rPr>
        <w:t>arse en parte</w:t>
      </w:r>
    </w:p>
    <w:p w:rsidR="007835AF" w:rsidRPr="003904EB" w:rsidRDefault="007835AF" w:rsidP="007835AF">
      <w:pPr>
        <w:widowControl/>
        <w:autoSpaceDE/>
        <w:autoSpaceDN/>
        <w:adjustRightInd/>
        <w:rPr>
          <w:rFonts w:ascii="Arial" w:hAnsi="Arial" w:cs="Arial"/>
          <w:sz w:val="22"/>
          <w:szCs w:val="22"/>
          <w:lang w:val="es-ES"/>
        </w:rPr>
      </w:pPr>
    </w:p>
    <w:p w:rsidR="007835AF" w:rsidRPr="003904EB" w:rsidRDefault="007835AF" w:rsidP="007835AF">
      <w:pPr>
        <w:widowControl/>
        <w:autoSpaceDE/>
        <w:autoSpaceDN/>
        <w:adjustRightInd/>
        <w:jc w:val="center"/>
        <w:rPr>
          <w:rFonts w:ascii="Arial" w:hAnsi="Arial" w:cs="Arial"/>
          <w:b/>
          <w:bCs/>
          <w:caps/>
          <w:sz w:val="22"/>
          <w:szCs w:val="22"/>
          <w:lang w:val="es-ES"/>
        </w:rPr>
      </w:pPr>
      <w:r w:rsidRPr="003904EB">
        <w:rPr>
          <w:rFonts w:ascii="Arial" w:hAnsi="Arial" w:cs="Arial"/>
          <w:b/>
          <w:caps/>
          <w:sz w:val="22"/>
          <w:szCs w:val="22"/>
          <w:lang w:val="es-ES"/>
        </w:rPr>
        <w:t xml:space="preserve">Resolución 10.25, </w:t>
      </w:r>
      <w:r w:rsidRPr="003904EB">
        <w:rPr>
          <w:rFonts w:ascii="Arial" w:hAnsi="Arial" w:cs="Arial"/>
          <w:b/>
          <w:bCs/>
          <w:caps/>
          <w:sz w:val="22"/>
          <w:szCs w:val="22"/>
          <w:lang w:val="es-ES"/>
        </w:rPr>
        <w:t>MEJORA DE LA IMPLICACIÓN CON EL FONDO PARA EL MEDIO AMBIENTE MUNDIAL</w:t>
      </w:r>
    </w:p>
    <w:p w:rsidR="007835AF" w:rsidRPr="003904EB" w:rsidRDefault="007835AF" w:rsidP="007835AF">
      <w:pPr>
        <w:jc w:val="center"/>
        <w:rPr>
          <w:rFonts w:ascii="Arial" w:hAnsi="Arial" w:cs="Arial"/>
          <w:sz w:val="12"/>
          <w:szCs w:val="12"/>
          <w:lang w:val="es-ES"/>
        </w:rPr>
      </w:pPr>
    </w:p>
    <w:p w:rsidR="007835AF" w:rsidRPr="003904EB" w:rsidRDefault="007835AF" w:rsidP="007835AF">
      <w:pPr>
        <w:pStyle w:val="p1"/>
        <w:jc w:val="center"/>
        <w:rPr>
          <w:rFonts w:ascii="Arial" w:hAnsi="Arial" w:cs="Arial"/>
          <w:sz w:val="22"/>
          <w:szCs w:val="22"/>
          <w:lang w:val="es-ES"/>
        </w:rPr>
      </w:pPr>
      <w:r w:rsidRPr="003904EB">
        <w:rPr>
          <w:rFonts w:ascii="Arial" w:hAnsi="Arial" w:cs="Arial"/>
          <w:i/>
          <w:iCs/>
          <w:sz w:val="22"/>
          <w:szCs w:val="22"/>
          <w:lang w:val="es-ES"/>
        </w:rPr>
        <w:t>(Preparado por la Secretaría de la CMS</w:t>
      </w:r>
      <w:r w:rsidRPr="003904EB">
        <w:rPr>
          <w:rFonts w:ascii="Arial" w:hAnsi="Arial" w:cs="Arial"/>
          <w:i/>
          <w:sz w:val="22"/>
          <w:szCs w:val="22"/>
          <w:lang w:val="es-ES"/>
        </w:rPr>
        <w:t>)</w:t>
      </w:r>
    </w:p>
    <w:p w:rsidR="007835AF" w:rsidRPr="003904EB" w:rsidRDefault="007835AF" w:rsidP="007835AF">
      <w:pPr>
        <w:jc w:val="both"/>
        <w:rPr>
          <w:rFonts w:ascii="Arial" w:hAnsi="Arial" w:cs="Arial"/>
          <w:sz w:val="22"/>
          <w:szCs w:val="22"/>
          <w:lang w:val="es-ES"/>
        </w:rPr>
      </w:pPr>
    </w:p>
    <w:p w:rsidR="007835AF" w:rsidRPr="003904EB" w:rsidRDefault="007835AF" w:rsidP="007835AF">
      <w:pPr>
        <w:tabs>
          <w:tab w:val="left" w:pos="8295"/>
        </w:tabs>
        <w:jc w:val="both"/>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3904EB" w:rsidP="007835AF">
      <w:pPr>
        <w:rPr>
          <w:rFonts w:ascii="Arial" w:hAnsi="Arial" w:cs="Arial"/>
          <w:sz w:val="22"/>
          <w:szCs w:val="22"/>
          <w:lang w:val="es-ES"/>
        </w:rPr>
      </w:pPr>
      <w:r w:rsidRPr="00977AC4">
        <w:rPr>
          <w:rFonts w:ascii="Arial" w:hAnsi="Arial" w:cs="Arial"/>
          <w:noProof/>
          <w:sz w:val="22"/>
          <w:szCs w:val="22"/>
        </w:rPr>
        <mc:AlternateContent>
          <mc:Choice Requires="wps">
            <w:drawing>
              <wp:anchor distT="0" distB="0" distL="114300" distR="114300" simplePos="0" relativeHeight="251659264" behindDoc="0" locked="0" layoutInCell="1" allowOverlap="1" wp14:anchorId="061CB529" wp14:editId="43043727">
                <wp:simplePos x="0" y="0"/>
                <wp:positionH relativeFrom="column">
                  <wp:posOffset>789305</wp:posOffset>
                </wp:positionH>
                <wp:positionV relativeFrom="paragraph">
                  <wp:posOffset>162560</wp:posOffset>
                </wp:positionV>
                <wp:extent cx="4305300" cy="1447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47800"/>
                        </a:xfrm>
                        <a:prstGeom prst="rect">
                          <a:avLst/>
                        </a:prstGeom>
                        <a:solidFill>
                          <a:srgbClr val="FFFFFF"/>
                        </a:solidFill>
                        <a:ln w="3175">
                          <a:solidFill>
                            <a:srgbClr val="000000"/>
                          </a:solidFill>
                          <a:miter lim="800000"/>
                          <a:headEnd/>
                          <a:tailEnd/>
                        </a:ln>
                      </wps:spPr>
                      <wps:txbx>
                        <w:txbxContent>
                          <w:p w:rsidR="007835AF" w:rsidRPr="003904EB" w:rsidRDefault="007835AF" w:rsidP="007835AF">
                            <w:pPr>
                              <w:rPr>
                                <w:rFonts w:ascii="Arial" w:hAnsi="Arial" w:cs="Arial"/>
                                <w:sz w:val="22"/>
                                <w:szCs w:val="22"/>
                                <w:lang w:val="es-ES"/>
                              </w:rPr>
                            </w:pPr>
                            <w:r w:rsidRPr="003904EB">
                              <w:rPr>
                                <w:rFonts w:ascii="Arial" w:hAnsi="Arial" w:cs="Arial"/>
                                <w:sz w:val="22"/>
                                <w:szCs w:val="22"/>
                                <w:lang w:val="es-ES"/>
                              </w:rPr>
                              <w:t>Resumen:</w:t>
                            </w:r>
                          </w:p>
                          <w:p w:rsidR="007835AF" w:rsidRPr="003904EB" w:rsidRDefault="007835AF" w:rsidP="007835AF">
                            <w:pPr>
                              <w:rPr>
                                <w:rFonts w:ascii="Arial" w:hAnsi="Arial" w:cs="Arial"/>
                                <w:sz w:val="22"/>
                                <w:szCs w:val="22"/>
                                <w:lang w:val="es-ES"/>
                              </w:rPr>
                            </w:pPr>
                          </w:p>
                          <w:p w:rsidR="007835AF" w:rsidRPr="003904EB" w:rsidRDefault="007835AF" w:rsidP="003904EB">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Pr="003904EB">
                              <w:rPr>
                                <w:rFonts w:ascii="Arial" w:hAnsi="Arial" w:cs="Arial"/>
                                <w:sz w:val="22"/>
                                <w:szCs w:val="22"/>
                                <w:lang w:val="es-ES"/>
                              </w:rPr>
                              <w:instrText>HYPERLINK "http://www.cms.int/en/document/enhancing-engagement-global-environment-facility-0"</w:instrText>
                            </w:r>
                            <w:r>
                              <w:rPr>
                                <w:rFonts w:ascii="Arial" w:hAnsi="Arial" w:cs="Arial"/>
                                <w:sz w:val="22"/>
                                <w:szCs w:val="22"/>
                              </w:rPr>
                              <w:fldChar w:fldCharType="separate"/>
                            </w:r>
                            <w:r w:rsidRPr="003904EB">
                              <w:rPr>
                                <w:rStyle w:val="Hyperlink"/>
                                <w:rFonts w:ascii="Arial" w:hAnsi="Arial" w:cs="Arial"/>
                                <w:sz w:val="22"/>
                                <w:szCs w:val="22"/>
                                <w:lang w:val="es-ES"/>
                              </w:rPr>
                              <w:t xml:space="preserve">Resolución 10.25, </w:t>
                            </w:r>
                            <w:r w:rsidRPr="003904EB">
                              <w:rPr>
                                <w:rStyle w:val="Hyperlink"/>
                                <w:rFonts w:ascii="Arial" w:hAnsi="Arial" w:cs="Arial"/>
                                <w:i/>
                                <w:sz w:val="22"/>
                                <w:szCs w:val="22"/>
                                <w:lang w:val="es-ES"/>
                              </w:rPr>
                              <w:t>Mejora de la implicación con el fondo para el medio ambiente mundial.</w:t>
                            </w:r>
                          </w:p>
                          <w:p w:rsidR="007835AF" w:rsidRDefault="007835AF" w:rsidP="003904EB">
                            <w:pPr>
                              <w:jc w:val="both"/>
                              <w:rPr>
                                <w:rFonts w:ascii="Arial" w:hAnsi="Arial" w:cs="Arial"/>
                                <w:sz w:val="22"/>
                                <w:szCs w:val="22"/>
                              </w:rPr>
                            </w:pPr>
                            <w:r>
                              <w:rPr>
                                <w:rFonts w:ascii="Arial" w:hAnsi="Arial" w:cs="Arial"/>
                                <w:sz w:val="22"/>
                                <w:szCs w:val="22"/>
                              </w:rPr>
                              <w:fldChar w:fldCharType="end"/>
                            </w:r>
                          </w:p>
                          <w:p w:rsidR="003904EB" w:rsidRPr="003904EB" w:rsidRDefault="003904EB" w:rsidP="003904EB">
                            <w:pPr>
                              <w:jc w:val="both"/>
                              <w:rPr>
                                <w:rFonts w:ascii="Arial" w:hAnsi="Arial" w:cs="Arial"/>
                                <w:sz w:val="21"/>
                                <w:szCs w:val="21"/>
                                <w:lang w:val="es-ES"/>
                              </w:rPr>
                            </w:pPr>
                            <w:r w:rsidRPr="003904EB">
                              <w:rPr>
                                <w:rFonts w:ascii="Arial" w:hAnsi="Arial" w:cs="Arial"/>
                                <w:sz w:val="22"/>
                                <w:szCs w:val="22"/>
                                <w:lang w:val="es-ES"/>
                              </w:rPr>
                              <w:t xml:space="preserve">Este documento </w:t>
                            </w:r>
                            <w:r>
                              <w:rPr>
                                <w:rFonts w:ascii="Arial" w:hAnsi="Arial" w:cs="Arial"/>
                                <w:sz w:val="22"/>
                                <w:szCs w:val="22"/>
                                <w:lang w:val="es-ES"/>
                              </w:rPr>
                              <w:t>ademá</w:t>
                            </w:r>
                            <w:r w:rsidRPr="003904EB">
                              <w:rPr>
                                <w:rFonts w:ascii="Arial" w:hAnsi="Arial" w:cs="Arial"/>
                                <w:sz w:val="22"/>
                                <w:szCs w:val="22"/>
                                <w:lang w:val="es-ES"/>
                              </w:rPr>
                              <w:t>s propone mover dos p</w:t>
                            </w:r>
                            <w:r>
                              <w:rPr>
                                <w:rFonts w:ascii="Arial" w:hAnsi="Arial" w:cs="Arial"/>
                                <w:sz w:val="22"/>
                                <w:szCs w:val="22"/>
                                <w:lang w:val="es-ES"/>
                              </w:rPr>
                              <w:t>árrafos relativos a</w:t>
                            </w:r>
                            <w:r w:rsidR="009C50B7">
                              <w:rPr>
                                <w:rFonts w:ascii="Arial" w:hAnsi="Arial" w:cs="Arial"/>
                                <w:sz w:val="22"/>
                                <w:szCs w:val="22"/>
                                <w:lang w:val="es-ES"/>
                              </w:rPr>
                              <w:t xml:space="preserve">l Fondo para el Medio Ambiente Mundial de la Resolución 11.20, </w:t>
                            </w:r>
                            <w:r w:rsidR="009C50B7" w:rsidRPr="009C50B7">
                              <w:rPr>
                                <w:rFonts w:ascii="Arial" w:hAnsi="Arial" w:cs="Arial"/>
                                <w:i/>
                                <w:sz w:val="22"/>
                                <w:szCs w:val="22"/>
                                <w:lang w:val="es-ES"/>
                              </w:rPr>
                              <w:t>Sinergias y Asociaciones</w:t>
                            </w:r>
                            <w:r w:rsidR="009C50B7">
                              <w:rPr>
                                <w:rFonts w:ascii="Arial" w:hAnsi="Arial" w:cs="Arial"/>
                                <w:sz w:val="22"/>
                                <w:szCs w:val="22"/>
                                <w:lang w:val="es-ES"/>
                              </w:rPr>
                              <w:t>, a la Resolución 10.25.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B529" id="_x0000_t202" coordsize="21600,21600" o:spt="202" path="m,l,21600r21600,l21600,xe">
                <v:stroke joinstyle="miter"/>
                <v:path gradientshapeok="t" o:connecttype="rect"/>
              </v:shapetype>
              <v:shape id="Text Box 4" o:spid="_x0000_s1026" type="#_x0000_t202" style="position:absolute;margin-left:62.15pt;margin-top:12.8pt;width:33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4AKAIAAFEEAAAOAAAAZHJzL2Uyb0RvYy54bWysVNtu2zAMfR+wfxD0vti5LZ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" strokeweight=".25pt">
                <v:textbox>
                  <w:txbxContent>
                    <w:p w:rsidR="007835AF" w:rsidRPr="003904EB" w:rsidRDefault="007835AF" w:rsidP="007835AF">
                      <w:pPr>
                        <w:rPr>
                          <w:rFonts w:ascii="Arial" w:hAnsi="Arial" w:cs="Arial"/>
                          <w:sz w:val="22"/>
                          <w:szCs w:val="22"/>
                          <w:lang w:val="es-ES"/>
                        </w:rPr>
                      </w:pPr>
                      <w:r w:rsidRPr="003904EB">
                        <w:rPr>
                          <w:rFonts w:ascii="Arial" w:hAnsi="Arial" w:cs="Arial"/>
                          <w:sz w:val="22"/>
                          <w:szCs w:val="22"/>
                          <w:lang w:val="es-ES"/>
                        </w:rPr>
                        <w:t>Resumen:</w:t>
                      </w:r>
                    </w:p>
                    <w:p w:rsidR="007835AF" w:rsidRPr="003904EB" w:rsidRDefault="007835AF" w:rsidP="007835AF">
                      <w:pPr>
                        <w:rPr>
                          <w:rFonts w:ascii="Arial" w:hAnsi="Arial" w:cs="Arial"/>
                          <w:sz w:val="22"/>
                          <w:szCs w:val="22"/>
                          <w:lang w:val="es-ES"/>
                        </w:rPr>
                      </w:pPr>
                    </w:p>
                    <w:p w:rsidR="007835AF" w:rsidRPr="003904EB" w:rsidRDefault="007835AF" w:rsidP="003904EB">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Pr="003904EB">
                        <w:rPr>
                          <w:rFonts w:ascii="Arial" w:hAnsi="Arial" w:cs="Arial"/>
                          <w:sz w:val="22"/>
                          <w:szCs w:val="22"/>
                          <w:lang w:val="es-ES"/>
                        </w:rPr>
                        <w:instrText>HYPERLINK "http://www.cms.int/en/document/enhancing-engagement-global-environment-facility-0"</w:instrText>
                      </w:r>
                      <w:r>
                        <w:rPr>
                          <w:rFonts w:ascii="Arial" w:hAnsi="Arial" w:cs="Arial"/>
                          <w:sz w:val="22"/>
                          <w:szCs w:val="22"/>
                        </w:rPr>
                        <w:fldChar w:fldCharType="separate"/>
                      </w:r>
                      <w:r w:rsidRPr="003904EB">
                        <w:rPr>
                          <w:rStyle w:val="Hyperlink"/>
                          <w:rFonts w:ascii="Arial" w:hAnsi="Arial" w:cs="Arial"/>
                          <w:sz w:val="22"/>
                          <w:szCs w:val="22"/>
                          <w:lang w:val="es-ES"/>
                        </w:rPr>
                        <w:t xml:space="preserve">Resolución 10.25, </w:t>
                      </w:r>
                      <w:r w:rsidRPr="003904EB">
                        <w:rPr>
                          <w:rStyle w:val="Hyperlink"/>
                          <w:rFonts w:ascii="Arial" w:hAnsi="Arial" w:cs="Arial"/>
                          <w:i/>
                          <w:sz w:val="22"/>
                          <w:szCs w:val="22"/>
                          <w:lang w:val="es-ES"/>
                        </w:rPr>
                        <w:t>Mejora de la implicación con el fondo para el medio ambiente mundial.</w:t>
                      </w:r>
                    </w:p>
                    <w:p w:rsidR="007835AF" w:rsidRDefault="007835AF" w:rsidP="003904EB">
                      <w:pPr>
                        <w:jc w:val="both"/>
                        <w:rPr>
                          <w:rFonts w:ascii="Arial" w:hAnsi="Arial" w:cs="Arial"/>
                          <w:sz w:val="22"/>
                          <w:szCs w:val="22"/>
                        </w:rPr>
                      </w:pPr>
                      <w:r>
                        <w:rPr>
                          <w:rFonts w:ascii="Arial" w:hAnsi="Arial" w:cs="Arial"/>
                          <w:sz w:val="22"/>
                          <w:szCs w:val="22"/>
                        </w:rPr>
                        <w:fldChar w:fldCharType="end"/>
                      </w:r>
                    </w:p>
                    <w:p w:rsidR="003904EB" w:rsidRPr="003904EB" w:rsidRDefault="003904EB" w:rsidP="003904EB">
                      <w:pPr>
                        <w:jc w:val="both"/>
                        <w:rPr>
                          <w:rFonts w:ascii="Arial" w:hAnsi="Arial" w:cs="Arial"/>
                          <w:sz w:val="21"/>
                          <w:szCs w:val="21"/>
                          <w:lang w:val="es-ES"/>
                        </w:rPr>
                      </w:pPr>
                      <w:r w:rsidRPr="003904EB">
                        <w:rPr>
                          <w:rFonts w:ascii="Arial" w:hAnsi="Arial" w:cs="Arial"/>
                          <w:sz w:val="22"/>
                          <w:szCs w:val="22"/>
                          <w:lang w:val="es-ES"/>
                        </w:rPr>
                        <w:t xml:space="preserve">Este documento </w:t>
                      </w:r>
                      <w:r>
                        <w:rPr>
                          <w:rFonts w:ascii="Arial" w:hAnsi="Arial" w:cs="Arial"/>
                          <w:sz w:val="22"/>
                          <w:szCs w:val="22"/>
                          <w:lang w:val="es-ES"/>
                        </w:rPr>
                        <w:t>ademá</w:t>
                      </w:r>
                      <w:r w:rsidRPr="003904EB">
                        <w:rPr>
                          <w:rFonts w:ascii="Arial" w:hAnsi="Arial" w:cs="Arial"/>
                          <w:sz w:val="22"/>
                          <w:szCs w:val="22"/>
                          <w:lang w:val="es-ES"/>
                        </w:rPr>
                        <w:t>s propone mover dos p</w:t>
                      </w:r>
                      <w:r>
                        <w:rPr>
                          <w:rFonts w:ascii="Arial" w:hAnsi="Arial" w:cs="Arial"/>
                          <w:sz w:val="22"/>
                          <w:szCs w:val="22"/>
                          <w:lang w:val="es-ES"/>
                        </w:rPr>
                        <w:t>árrafos relativos a</w:t>
                      </w:r>
                      <w:r w:rsidR="009C50B7">
                        <w:rPr>
                          <w:rFonts w:ascii="Arial" w:hAnsi="Arial" w:cs="Arial"/>
                          <w:sz w:val="22"/>
                          <w:szCs w:val="22"/>
                          <w:lang w:val="es-ES"/>
                        </w:rPr>
                        <w:t xml:space="preserve">l Fondo para el Medio Ambiente Mundial de la Resolución 11.20, </w:t>
                      </w:r>
                      <w:r w:rsidR="009C50B7" w:rsidRPr="009C50B7">
                        <w:rPr>
                          <w:rFonts w:ascii="Arial" w:hAnsi="Arial" w:cs="Arial"/>
                          <w:i/>
                          <w:sz w:val="22"/>
                          <w:szCs w:val="22"/>
                          <w:lang w:val="es-ES"/>
                        </w:rPr>
                        <w:t>Sinergias y Asociaciones</w:t>
                      </w:r>
                      <w:r w:rsidR="009C50B7">
                        <w:rPr>
                          <w:rFonts w:ascii="Arial" w:hAnsi="Arial" w:cs="Arial"/>
                          <w:sz w:val="22"/>
                          <w:szCs w:val="22"/>
                          <w:lang w:val="es-ES"/>
                        </w:rPr>
                        <w:t>, a la Resolución 10.25.</w:t>
                      </w:r>
                    </w:p>
                  </w:txbxContent>
                </v:textbox>
              </v:shape>
            </w:pict>
          </mc:Fallback>
        </mc:AlternateContent>
      </w: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rPr>
          <w:rFonts w:ascii="Arial" w:hAnsi="Arial" w:cs="Arial"/>
          <w:sz w:val="22"/>
          <w:szCs w:val="22"/>
          <w:lang w:val="es-ES"/>
        </w:rPr>
      </w:pPr>
    </w:p>
    <w:p w:rsidR="007835AF" w:rsidRPr="003904EB" w:rsidRDefault="007835AF" w:rsidP="007835AF">
      <w:pPr>
        <w:tabs>
          <w:tab w:val="left" w:pos="1020"/>
        </w:tabs>
        <w:rPr>
          <w:rFonts w:ascii="Arial" w:hAnsi="Arial" w:cs="Arial"/>
          <w:sz w:val="22"/>
          <w:szCs w:val="22"/>
          <w:lang w:val="es-ES"/>
        </w:rPr>
        <w:sectPr w:rsidR="007835AF" w:rsidRPr="003904EB" w:rsidSect="000B04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009" w:right="1412" w:bottom="1151" w:left="1412" w:header="432" w:footer="432" w:gutter="0"/>
          <w:cols w:space="720"/>
          <w:noEndnote/>
          <w:titlePg/>
          <w:docGrid w:linePitch="272"/>
        </w:sectPr>
      </w:pPr>
    </w:p>
    <w:p w:rsidR="007835AF" w:rsidRPr="003904EB" w:rsidRDefault="007835AF" w:rsidP="007835AF">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3904EB">
        <w:rPr>
          <w:rFonts w:ascii="Arial" w:hAnsi="Arial" w:cs="Arial"/>
          <w:b/>
          <w:caps/>
          <w:sz w:val="22"/>
          <w:szCs w:val="22"/>
          <w:lang w:val="es-ES"/>
        </w:rPr>
        <w:lastRenderedPageBreak/>
        <w:t>AnexO 1</w:t>
      </w:r>
    </w:p>
    <w:p w:rsidR="007835AF" w:rsidRPr="003904EB" w:rsidRDefault="007835AF" w:rsidP="007835AF">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rsidR="007835AF" w:rsidRPr="002C3D0A" w:rsidRDefault="007835AF" w:rsidP="007835AF">
      <w:pPr>
        <w:jc w:val="center"/>
        <w:rPr>
          <w:rFonts w:ascii="Arial" w:hAnsi="Arial" w:cs="Arial"/>
          <w:sz w:val="22"/>
          <w:szCs w:val="22"/>
          <w:lang w:val="es-ES"/>
        </w:rPr>
      </w:pPr>
      <w:r w:rsidRPr="002C3D0A">
        <w:rPr>
          <w:rFonts w:ascii="Arial" w:hAnsi="Arial" w:cs="Arial"/>
          <w:sz w:val="22"/>
          <w:szCs w:val="22"/>
          <w:lang w:val="es-ES"/>
        </w:rPr>
        <w:t>PROYECTO DE RESOLUCIÓN</w:t>
      </w:r>
    </w:p>
    <w:p w:rsidR="007835AF" w:rsidRPr="003904EB" w:rsidRDefault="007835AF" w:rsidP="007835AF">
      <w:pPr>
        <w:contextualSpacing/>
        <w:jc w:val="both"/>
        <w:outlineLvl w:val="0"/>
        <w:rPr>
          <w:rFonts w:ascii="Arial" w:hAnsi="Arial" w:cs="Arial"/>
          <w:b/>
          <w:sz w:val="22"/>
          <w:szCs w:val="22"/>
          <w:lang w:val="es-ES"/>
        </w:rPr>
      </w:pPr>
    </w:p>
    <w:p w:rsidR="007835AF" w:rsidRPr="000160CA" w:rsidRDefault="007835AF" w:rsidP="007835AF">
      <w:pPr>
        <w:jc w:val="center"/>
        <w:rPr>
          <w:rFonts w:ascii="Arial" w:hAnsi="Arial" w:cs="Arial"/>
          <w:b/>
          <w:sz w:val="22"/>
          <w:szCs w:val="22"/>
          <w:u w:val="single"/>
        </w:rPr>
      </w:pPr>
      <w:r w:rsidRPr="000160CA">
        <w:rPr>
          <w:rFonts w:ascii="Arial" w:hAnsi="Arial" w:cs="Arial"/>
          <w:b/>
          <w:sz w:val="22"/>
          <w:szCs w:val="22"/>
          <w:lang w:val="es-ES"/>
        </w:rPr>
        <w:t>RESOLUCIÓN</w:t>
      </w:r>
      <w:r w:rsidRPr="003904EB">
        <w:rPr>
          <w:rFonts w:ascii="Arial" w:hAnsi="Arial" w:cs="Arial"/>
          <w:b/>
          <w:sz w:val="22"/>
          <w:szCs w:val="22"/>
          <w:lang w:val="es-ES"/>
        </w:rPr>
        <w:t xml:space="preserve"> 10.25 </w:t>
      </w:r>
      <w:r w:rsidRPr="003904EB">
        <w:rPr>
          <w:rFonts w:ascii="Arial" w:hAnsi="Arial" w:cs="Arial"/>
          <w:b/>
          <w:sz w:val="22"/>
          <w:szCs w:val="22"/>
          <w:u w:val="single"/>
          <w:lang w:val="es-ES"/>
        </w:rPr>
        <w:t xml:space="preserve">(REV. </w:t>
      </w:r>
      <w:r w:rsidRPr="000160CA">
        <w:rPr>
          <w:rFonts w:ascii="Arial" w:hAnsi="Arial" w:cs="Arial"/>
          <w:b/>
          <w:sz w:val="22"/>
          <w:szCs w:val="22"/>
          <w:u w:val="single"/>
        </w:rPr>
        <w:t>COP12)</w:t>
      </w:r>
    </w:p>
    <w:p w:rsidR="000676F4" w:rsidRDefault="000676F4" w:rsidP="0048197A">
      <w:pPr>
        <w:jc w:val="both"/>
        <w:rPr>
          <w:rFonts w:ascii="Arial" w:hAnsi="Arial" w:cs="Arial"/>
          <w:b/>
          <w:sz w:val="22"/>
          <w:szCs w:val="22"/>
        </w:rPr>
      </w:pPr>
    </w:p>
    <w:p w:rsidR="007835AF" w:rsidRPr="003904EB" w:rsidRDefault="007835AF" w:rsidP="0048197A">
      <w:pPr>
        <w:jc w:val="both"/>
        <w:rPr>
          <w:rFonts w:ascii="Arial" w:hAnsi="Arial" w:cs="Arial"/>
          <w:b/>
          <w:bCs/>
          <w:caps/>
          <w:sz w:val="22"/>
          <w:szCs w:val="22"/>
          <w:lang w:val="es-ES"/>
        </w:rPr>
      </w:pPr>
      <w:r w:rsidRPr="003904EB">
        <w:rPr>
          <w:rFonts w:ascii="Arial" w:hAnsi="Arial" w:cs="Arial"/>
          <w:b/>
          <w:bCs/>
          <w:caps/>
          <w:sz w:val="22"/>
          <w:szCs w:val="22"/>
          <w:lang w:val="es-ES"/>
        </w:rPr>
        <w:t>MEJORA DE LA IMPLICACIÓN CON EL FONDO PARA EL MEDIO AMBIENTE MUNDIAL</w:t>
      </w:r>
    </w:p>
    <w:p w:rsidR="007835AF" w:rsidRPr="003904EB" w:rsidRDefault="007835AF" w:rsidP="0048197A">
      <w:pPr>
        <w:jc w:val="both"/>
        <w:rPr>
          <w:rFonts w:ascii="Arial" w:hAnsi="Arial" w:cs="Arial"/>
          <w:b/>
          <w:sz w:val="22"/>
          <w:szCs w:val="22"/>
          <w:lang w:val="es-ES"/>
        </w:rPr>
      </w:pPr>
    </w:p>
    <w:p w:rsidR="0048197A" w:rsidRPr="003904EB" w:rsidRDefault="0048197A" w:rsidP="0048197A">
      <w:pPr>
        <w:jc w:val="both"/>
        <w:rPr>
          <w:rFonts w:ascii="Arial" w:hAnsi="Arial" w:cs="Arial"/>
          <w:i/>
          <w:sz w:val="22"/>
          <w:szCs w:val="22"/>
          <w:lang w:val="es-ES"/>
        </w:rPr>
      </w:pPr>
      <w:r w:rsidRPr="003904EB">
        <w:rPr>
          <w:rFonts w:ascii="Arial" w:hAnsi="Arial" w:cs="Arial"/>
          <w:i/>
          <w:sz w:val="22"/>
          <w:szCs w:val="22"/>
          <w:lang w:val="es-ES"/>
        </w:rPr>
        <w:t>NB:</w:t>
      </w:r>
      <w:r w:rsidRPr="003904EB">
        <w:rPr>
          <w:rFonts w:ascii="Arial" w:hAnsi="Arial" w:cs="Arial"/>
          <w:i/>
          <w:sz w:val="22"/>
          <w:szCs w:val="22"/>
          <w:lang w:val="es-ES"/>
        </w:rPr>
        <w:tab/>
      </w:r>
      <w:r w:rsidR="007835AF" w:rsidRPr="00C079EF">
        <w:rPr>
          <w:rFonts w:ascii="Arial" w:hAnsi="Arial" w:cs="Arial"/>
          <w:i/>
          <w:iCs/>
          <w:color w:val="000000" w:themeColor="text1"/>
          <w:sz w:val="22"/>
          <w:szCs w:val="22"/>
          <w:lang w:val="es-ES"/>
        </w:rPr>
        <w:t xml:space="preserve">El texto nuevo está </w:t>
      </w:r>
      <w:r w:rsidR="007835AF" w:rsidRPr="00C079EF">
        <w:rPr>
          <w:rFonts w:ascii="Arial" w:hAnsi="Arial" w:cs="Arial"/>
          <w:i/>
          <w:iCs/>
          <w:color w:val="000000" w:themeColor="text1"/>
          <w:sz w:val="22"/>
          <w:szCs w:val="22"/>
          <w:u w:val="single"/>
          <w:lang w:val="es-ES"/>
        </w:rPr>
        <w:t>subrayado</w:t>
      </w:r>
      <w:r w:rsidR="007835AF" w:rsidRPr="00C079EF">
        <w:rPr>
          <w:rFonts w:ascii="Arial" w:hAnsi="Arial" w:cs="Arial"/>
          <w:i/>
          <w:iCs/>
          <w:color w:val="000000" w:themeColor="text1"/>
          <w:sz w:val="22"/>
          <w:szCs w:val="22"/>
          <w:lang w:val="es-ES"/>
        </w:rPr>
        <w:t xml:space="preserve">. El texto a eliminar aparece </w:t>
      </w:r>
      <w:r w:rsidR="007835AF" w:rsidRPr="00C079EF">
        <w:rPr>
          <w:rFonts w:ascii="Arial" w:hAnsi="Arial" w:cs="Arial"/>
          <w:i/>
          <w:iCs/>
          <w:strike/>
          <w:color w:val="000000" w:themeColor="text1"/>
          <w:sz w:val="22"/>
          <w:szCs w:val="22"/>
          <w:lang w:val="es-ES"/>
        </w:rPr>
        <w:t>tachado</w:t>
      </w:r>
      <w:r w:rsidR="007835AF" w:rsidRPr="003904EB">
        <w:rPr>
          <w:rFonts w:ascii="Arial" w:hAnsi="Arial" w:cs="Arial"/>
          <w:i/>
          <w:sz w:val="22"/>
          <w:szCs w:val="22"/>
          <w:lang w:val="es-ES"/>
        </w:rPr>
        <w:t>.</w:t>
      </w:r>
    </w:p>
    <w:p w:rsidR="0048197A" w:rsidRPr="003904EB"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7835AF" w:rsidRPr="00977AC4" w:rsidTr="00774542">
        <w:trPr>
          <w:tblHeader/>
        </w:trPr>
        <w:tc>
          <w:tcPr>
            <w:tcW w:w="6737" w:type="dxa"/>
            <w:shd w:val="clear" w:color="auto" w:fill="D9D9D9" w:themeFill="background1" w:themeFillShade="D9"/>
          </w:tcPr>
          <w:p w:rsidR="007835AF" w:rsidRPr="00977AC4" w:rsidRDefault="007835AF" w:rsidP="002C3D0A">
            <w:pPr>
              <w:rPr>
                <w:rFonts w:ascii="Arial" w:hAnsi="Arial" w:cs="Arial"/>
                <w:b/>
                <w:sz w:val="22"/>
                <w:szCs w:val="22"/>
              </w:rPr>
            </w:pPr>
            <w:r>
              <w:rPr>
                <w:rFonts w:ascii="Arial" w:hAnsi="Arial" w:cs="Arial"/>
                <w:b/>
                <w:sz w:val="22"/>
                <w:szCs w:val="22"/>
              </w:rPr>
              <w:t>Párrafo</w:t>
            </w:r>
          </w:p>
        </w:tc>
        <w:tc>
          <w:tcPr>
            <w:tcW w:w="2119" w:type="dxa"/>
            <w:shd w:val="clear" w:color="auto" w:fill="D9D9D9" w:themeFill="background1" w:themeFillShade="D9"/>
          </w:tcPr>
          <w:p w:rsidR="007835AF" w:rsidRPr="00977AC4" w:rsidRDefault="007835AF" w:rsidP="002C3D0A">
            <w:pPr>
              <w:rPr>
                <w:rFonts w:ascii="Arial" w:hAnsi="Arial" w:cs="Arial"/>
                <w:b/>
                <w:sz w:val="22"/>
                <w:szCs w:val="22"/>
              </w:rPr>
            </w:pPr>
            <w:r w:rsidRPr="000160CA">
              <w:rPr>
                <w:rFonts w:ascii="Arial" w:hAnsi="Arial" w:cs="Arial"/>
                <w:b/>
                <w:sz w:val="22"/>
                <w:szCs w:val="22"/>
              </w:rPr>
              <w:t>Com</w:t>
            </w:r>
            <w:r>
              <w:rPr>
                <w:rFonts w:ascii="Arial" w:hAnsi="Arial" w:cs="Arial"/>
                <w:b/>
                <w:sz w:val="22"/>
                <w:szCs w:val="22"/>
              </w:rPr>
              <w:t>entarios</w:t>
            </w:r>
          </w:p>
        </w:tc>
      </w:tr>
      <w:tr w:rsidR="006D02CB" w:rsidRPr="00977AC4" w:rsidTr="00AB6E86">
        <w:trPr>
          <w:trHeight w:val="1312"/>
        </w:trPr>
        <w:tc>
          <w:tcPr>
            <w:tcW w:w="6737" w:type="dxa"/>
            <w:shd w:val="clear" w:color="auto" w:fill="auto"/>
          </w:tcPr>
          <w:p w:rsidR="006D02CB" w:rsidRPr="003904EB" w:rsidRDefault="00AB6E86" w:rsidP="00AB6E86">
            <w:pPr>
              <w:widowControl/>
              <w:autoSpaceDE/>
              <w:autoSpaceDN/>
              <w:adjustRightInd/>
              <w:jc w:val="both"/>
              <w:rPr>
                <w:rStyle w:val="QuickFormat1"/>
                <w:rFonts w:ascii="Arial" w:hAnsi="Arial" w:cs="Arial"/>
                <w:sz w:val="22"/>
                <w:szCs w:val="22"/>
                <w:lang w:val="es-ES"/>
              </w:rPr>
            </w:pPr>
            <w:r w:rsidRPr="003904EB">
              <w:rPr>
                <w:rFonts w:ascii="Arial" w:hAnsi="Arial" w:cs="Arial"/>
                <w:i/>
                <w:iCs/>
                <w:sz w:val="22"/>
                <w:szCs w:val="22"/>
                <w:lang w:val="es-ES"/>
              </w:rPr>
              <w:t xml:space="preserve">Consciente </w:t>
            </w:r>
            <w:r w:rsidRPr="003904EB">
              <w:rPr>
                <w:rFonts w:ascii="Arial" w:hAnsi="Arial" w:cs="Arial"/>
                <w:sz w:val="22"/>
                <w:szCs w:val="22"/>
                <w:lang w:val="es-ES"/>
              </w:rPr>
              <w:t>del papel fundamental que desempeñan las especies migratorias en la prestación de servicios de los ecosistemas para el bienestar humano, y la necesidad de coordinar la respuesta internacional a las presiones transfronterizas que amenazan su supervivencia; </w:t>
            </w:r>
          </w:p>
        </w:tc>
        <w:tc>
          <w:tcPr>
            <w:tcW w:w="2119" w:type="dxa"/>
            <w:shd w:val="clear" w:color="auto" w:fill="auto"/>
          </w:tcPr>
          <w:p w:rsidR="006D02CB" w:rsidRPr="00977AC4" w:rsidRDefault="00E06DC2" w:rsidP="00844F6D">
            <w:pPr>
              <w:rPr>
                <w:rFonts w:ascii="Arial" w:hAnsi="Arial" w:cs="Arial"/>
                <w:sz w:val="22"/>
                <w:szCs w:val="22"/>
              </w:rPr>
            </w:pPr>
            <w:r>
              <w:rPr>
                <w:rFonts w:ascii="Arial" w:hAnsi="Arial" w:cs="Arial"/>
                <w:sz w:val="22"/>
                <w:szCs w:val="22"/>
              </w:rPr>
              <w:t>Mantener</w:t>
            </w:r>
          </w:p>
        </w:tc>
      </w:tr>
      <w:tr w:rsidR="00AB7626" w:rsidRPr="00977AC4" w:rsidTr="00774542">
        <w:tc>
          <w:tcPr>
            <w:tcW w:w="6737" w:type="dxa"/>
            <w:shd w:val="clear" w:color="auto" w:fill="auto"/>
          </w:tcPr>
          <w:p w:rsidR="00D54E33"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Tomando nota </w:t>
            </w:r>
            <w:r w:rsidRPr="003904EB">
              <w:rPr>
                <w:rFonts w:ascii="Arial" w:hAnsi="Arial" w:cs="Arial"/>
                <w:sz w:val="22"/>
                <w:szCs w:val="22"/>
                <w:lang w:val="es-ES"/>
              </w:rPr>
              <w:t>de que la versión actualizada del Plan Estratégico de la CMS para el periodo 2006-2014 (PNUMA/CMS/Conf.10.22) identifica la futura financiación de los programas de la Convención y la necesidad de diversificar las fuentes de ingresos como principales retos para los próximos tres años, y que los recursos disponibles para pequeñas subvenciones de la CMS han disminuido considerablemente; </w:t>
            </w:r>
          </w:p>
        </w:tc>
        <w:tc>
          <w:tcPr>
            <w:tcW w:w="2119" w:type="dxa"/>
            <w:shd w:val="clear" w:color="auto" w:fill="auto"/>
          </w:tcPr>
          <w:p w:rsidR="00D54E33" w:rsidRPr="00977AC4" w:rsidRDefault="00E06DC2" w:rsidP="00844F6D">
            <w:pPr>
              <w:rPr>
                <w:rFonts w:ascii="Arial" w:hAnsi="Arial" w:cs="Arial"/>
                <w:sz w:val="22"/>
                <w:szCs w:val="22"/>
              </w:rPr>
            </w:pPr>
            <w:r>
              <w:rPr>
                <w:rFonts w:ascii="Arial" w:hAnsi="Arial" w:cs="Arial"/>
                <w:sz w:val="22"/>
                <w:szCs w:val="22"/>
              </w:rPr>
              <w:t>Mantener</w:t>
            </w:r>
          </w:p>
        </w:tc>
      </w:tr>
      <w:tr w:rsidR="00AB7626" w:rsidRPr="00977AC4" w:rsidTr="00774542">
        <w:tc>
          <w:tcPr>
            <w:tcW w:w="6737" w:type="dxa"/>
            <w:shd w:val="clear" w:color="auto" w:fill="auto"/>
          </w:tcPr>
          <w:p w:rsidR="00D54E33"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Consciente </w:t>
            </w:r>
            <w:r w:rsidRPr="003904EB">
              <w:rPr>
                <w:rFonts w:ascii="Arial" w:hAnsi="Arial" w:cs="Arial"/>
                <w:sz w:val="22"/>
                <w:szCs w:val="22"/>
                <w:lang w:val="es-ES"/>
              </w:rPr>
              <w:t>de que estas limitaciones de recursos tienen un efecto de restricción proporcionalmente mayor en los países en desarrollo, mientras que al mismo tiempo, estos países son sede de parte de la biodiversidad más rica y más vulnerable del mundo, incluidas las especies migratorias;</w:t>
            </w:r>
          </w:p>
        </w:tc>
        <w:tc>
          <w:tcPr>
            <w:tcW w:w="2119" w:type="dxa"/>
            <w:shd w:val="clear" w:color="auto" w:fill="auto"/>
          </w:tcPr>
          <w:p w:rsidR="00D54E33" w:rsidRPr="00977AC4" w:rsidRDefault="00E06DC2" w:rsidP="00844F6D">
            <w:pPr>
              <w:rPr>
                <w:rFonts w:ascii="Arial" w:hAnsi="Arial" w:cs="Arial"/>
                <w:sz w:val="22"/>
                <w:szCs w:val="22"/>
              </w:rPr>
            </w:pPr>
            <w:r>
              <w:rPr>
                <w:rFonts w:ascii="Arial" w:hAnsi="Arial" w:cs="Arial"/>
                <w:sz w:val="22"/>
                <w:szCs w:val="22"/>
              </w:rPr>
              <w:t>Mantener</w:t>
            </w:r>
          </w:p>
        </w:tc>
      </w:tr>
      <w:tr w:rsidR="00AB7626" w:rsidRPr="00977AC4" w:rsidTr="00774542">
        <w:tc>
          <w:tcPr>
            <w:tcW w:w="6737" w:type="dxa"/>
            <w:shd w:val="clear" w:color="auto" w:fill="auto"/>
          </w:tcPr>
          <w:p w:rsidR="00D54E33"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Recordando </w:t>
            </w:r>
            <w:r w:rsidRPr="003904EB">
              <w:rPr>
                <w:rFonts w:ascii="Arial" w:hAnsi="Arial" w:cs="Arial"/>
                <w:sz w:val="22"/>
                <w:szCs w:val="22"/>
                <w:lang w:val="es-ES"/>
              </w:rPr>
              <w:t>que la Conferencia de las Partes del Convenio sobre la Diversidad Biológica en sus decisiones VI/20 y X/20 ha reconocido la CMS como su socio principal en la conservación y uso sostenible de especies migratorias, que ha sido acordado un Programa de trabajo conjunto entre las dos Convenciones, y que la conservación basada en las especies en un elemento importante de las metas globales de Aichi para la biodiversidad, incluyendo la Meta 12, que tiene por objeto la prevención para el año 2020 de la extinción de especies amenazadas conocidas y la mejora y el mantenimiento de su estado de conservación;</w:t>
            </w:r>
          </w:p>
        </w:tc>
        <w:tc>
          <w:tcPr>
            <w:tcW w:w="2119" w:type="dxa"/>
            <w:shd w:val="clear" w:color="auto" w:fill="auto"/>
          </w:tcPr>
          <w:p w:rsidR="00D54E33" w:rsidRPr="00977AC4" w:rsidRDefault="00E06DC2" w:rsidP="00844F6D">
            <w:pPr>
              <w:rPr>
                <w:rFonts w:ascii="Arial" w:hAnsi="Arial" w:cs="Arial"/>
                <w:sz w:val="22"/>
                <w:szCs w:val="22"/>
              </w:rPr>
            </w:pPr>
            <w:r>
              <w:rPr>
                <w:rFonts w:ascii="Arial" w:hAnsi="Arial" w:cs="Arial"/>
                <w:sz w:val="22"/>
                <w:szCs w:val="22"/>
              </w:rPr>
              <w:t>Mantener</w:t>
            </w:r>
          </w:p>
        </w:tc>
      </w:tr>
      <w:tr w:rsidR="00AB7626" w:rsidRPr="00977AC4" w:rsidTr="00774542">
        <w:tc>
          <w:tcPr>
            <w:tcW w:w="6737" w:type="dxa"/>
            <w:shd w:val="clear" w:color="auto" w:fill="auto"/>
          </w:tcPr>
          <w:p w:rsidR="00D54E33"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Preocupada </w:t>
            </w:r>
            <w:r w:rsidRPr="003904EB">
              <w:rPr>
                <w:rFonts w:ascii="Arial" w:hAnsi="Arial" w:cs="Arial"/>
                <w:sz w:val="22"/>
                <w:szCs w:val="22"/>
                <w:lang w:val="es-ES"/>
              </w:rPr>
              <w:t>porque no ha sido fácil para las actuales estructuras, estrategias, programas, procedimientos y asignaciones de fondos del Fondo para el Medio Ambiente Mundial (FMAM) proporcionar apoyo a los proyectos y programas dirigidos a la conservación y uso sostenible de especies migratorias, tanto por el énfasis estratégico de las decisiones tomadas dentro del Fondo, en general, y porque el Fondo hasta ahora no ha sido designado como un mecanismo financiero para la CMS </w:t>
            </w:r>
          </w:p>
        </w:tc>
        <w:tc>
          <w:tcPr>
            <w:tcW w:w="2119" w:type="dxa"/>
            <w:shd w:val="clear" w:color="auto" w:fill="auto"/>
          </w:tcPr>
          <w:p w:rsidR="00D54E33" w:rsidRPr="00977AC4" w:rsidRDefault="00E06DC2" w:rsidP="00844F6D">
            <w:pPr>
              <w:rPr>
                <w:rFonts w:ascii="Arial" w:hAnsi="Arial" w:cs="Arial"/>
                <w:sz w:val="22"/>
                <w:szCs w:val="22"/>
              </w:rPr>
            </w:pPr>
            <w:r>
              <w:rPr>
                <w:rFonts w:ascii="Arial" w:hAnsi="Arial" w:cs="Arial"/>
                <w:sz w:val="22"/>
                <w:szCs w:val="22"/>
              </w:rPr>
              <w:t>Mantener</w:t>
            </w:r>
          </w:p>
        </w:tc>
      </w:tr>
      <w:tr w:rsidR="0005519A" w:rsidRPr="00977AC4" w:rsidTr="00774542">
        <w:tc>
          <w:tcPr>
            <w:tcW w:w="6737" w:type="dxa"/>
            <w:shd w:val="clear" w:color="auto" w:fill="auto"/>
          </w:tcPr>
          <w:p w:rsidR="0005519A"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Acogiendo con beneplácito </w:t>
            </w:r>
            <w:r w:rsidRPr="003904EB">
              <w:rPr>
                <w:rFonts w:ascii="Arial" w:hAnsi="Arial" w:cs="Arial"/>
                <w:sz w:val="22"/>
                <w:szCs w:val="22"/>
                <w:lang w:val="es-ES"/>
              </w:rPr>
              <w:t>la decisión del 41º Consejo del FMAM de solicitar a la Secretaría del FMAM organizar una reunión de convenciones relacionadas con biodiversidad con la Secretaría del Convenio sobre la Biodiversidad para facilitar la coordinación de sus prioridades para su inclusión en la estrategia de programación FMAM-6; </w:t>
            </w:r>
          </w:p>
        </w:tc>
        <w:tc>
          <w:tcPr>
            <w:tcW w:w="2119" w:type="dxa"/>
            <w:shd w:val="clear" w:color="auto" w:fill="auto"/>
          </w:tcPr>
          <w:p w:rsidR="0005519A" w:rsidRPr="00977AC4" w:rsidRDefault="00E06DC2" w:rsidP="00844F6D">
            <w:pPr>
              <w:rPr>
                <w:rFonts w:ascii="Arial" w:hAnsi="Arial" w:cs="Arial"/>
                <w:sz w:val="22"/>
                <w:szCs w:val="22"/>
              </w:rPr>
            </w:pPr>
            <w:r>
              <w:rPr>
                <w:rFonts w:ascii="Arial" w:hAnsi="Arial" w:cs="Arial"/>
                <w:sz w:val="22"/>
                <w:szCs w:val="22"/>
              </w:rPr>
              <w:t>Mantener</w:t>
            </w:r>
          </w:p>
        </w:tc>
      </w:tr>
      <w:tr w:rsidR="0005519A" w:rsidRPr="00977AC4" w:rsidTr="00774542">
        <w:tc>
          <w:tcPr>
            <w:tcW w:w="6737" w:type="dxa"/>
            <w:shd w:val="clear" w:color="auto" w:fill="auto"/>
          </w:tcPr>
          <w:p w:rsidR="0005519A"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Teniendo en cuenta </w:t>
            </w:r>
            <w:r w:rsidRPr="003904EB">
              <w:rPr>
                <w:rFonts w:ascii="Arial" w:hAnsi="Arial" w:cs="Arial"/>
                <w:sz w:val="22"/>
                <w:szCs w:val="22"/>
                <w:lang w:val="es-ES"/>
              </w:rPr>
              <w:t>la revisión del compromiso pasado y potencialmente futuro con el FMAM presentado a la Conferencia de las Partes por la Secretaría en el documento PNUMA/CMS/Conf.10.41; </w:t>
            </w:r>
          </w:p>
        </w:tc>
        <w:tc>
          <w:tcPr>
            <w:tcW w:w="2119" w:type="dxa"/>
            <w:shd w:val="clear" w:color="auto" w:fill="auto"/>
          </w:tcPr>
          <w:p w:rsidR="0005519A" w:rsidRPr="00977AC4" w:rsidRDefault="00E06DC2" w:rsidP="00844F6D">
            <w:pPr>
              <w:rPr>
                <w:rFonts w:ascii="Arial" w:hAnsi="Arial" w:cs="Arial"/>
                <w:sz w:val="22"/>
                <w:szCs w:val="22"/>
              </w:rPr>
            </w:pPr>
            <w:r>
              <w:rPr>
                <w:rFonts w:ascii="Arial" w:hAnsi="Arial" w:cs="Arial"/>
                <w:sz w:val="22"/>
                <w:szCs w:val="22"/>
              </w:rPr>
              <w:t>Mantener</w:t>
            </w:r>
          </w:p>
        </w:tc>
      </w:tr>
      <w:tr w:rsidR="00C53D57" w:rsidRPr="003904EB" w:rsidTr="005A1C56">
        <w:tc>
          <w:tcPr>
            <w:tcW w:w="8856" w:type="dxa"/>
            <w:gridSpan w:val="2"/>
            <w:shd w:val="clear" w:color="auto" w:fill="D9D9D9" w:themeFill="background1" w:themeFillShade="D9"/>
          </w:tcPr>
          <w:p w:rsidR="00C53D57" w:rsidRPr="003904EB" w:rsidRDefault="007835AF" w:rsidP="00AB6E86">
            <w:pPr>
              <w:jc w:val="center"/>
              <w:rPr>
                <w:rFonts w:ascii="Arial" w:hAnsi="Arial" w:cs="Arial"/>
                <w:sz w:val="22"/>
                <w:szCs w:val="22"/>
                <w:lang w:val="es-ES"/>
              </w:rPr>
            </w:pPr>
            <w:r w:rsidRPr="00AB6E86">
              <w:rPr>
                <w:rFonts w:ascii="Arial" w:hAnsi="Arial" w:cs="Arial"/>
                <w:bCs/>
                <w:i/>
                <w:iCs/>
                <w:sz w:val="22"/>
                <w:szCs w:val="22"/>
                <w:lang w:val="es-ES"/>
              </w:rPr>
              <w:lastRenderedPageBreak/>
              <w:t>La Conferencia de las Partes de la</w:t>
            </w:r>
            <w:r w:rsidRPr="00AB6E86">
              <w:rPr>
                <w:rFonts w:ascii="Arial" w:hAnsi="Arial" w:cs="Arial"/>
                <w:bCs/>
                <w:sz w:val="22"/>
                <w:szCs w:val="22"/>
                <w:lang w:val="es-ES"/>
              </w:rPr>
              <w:t xml:space="preserve"> </w:t>
            </w:r>
            <w:r w:rsidRPr="00AB6E86">
              <w:rPr>
                <w:rFonts w:ascii="Arial" w:hAnsi="Arial" w:cs="Arial"/>
                <w:bCs/>
                <w:i/>
                <w:iCs/>
                <w:sz w:val="22"/>
                <w:szCs w:val="22"/>
                <w:lang w:val="es-ES"/>
              </w:rPr>
              <w:t>Convención sobre la Conservación de Especies Migratorias de Animales Silvestres</w:t>
            </w:r>
          </w:p>
        </w:tc>
      </w:tr>
      <w:tr w:rsidR="00C53D57" w:rsidRPr="00977AC4" w:rsidTr="00774542">
        <w:tc>
          <w:tcPr>
            <w:tcW w:w="6737" w:type="dxa"/>
            <w:shd w:val="clear" w:color="auto" w:fill="auto"/>
          </w:tcPr>
          <w:p w:rsidR="00C53D57" w:rsidRPr="003904EB" w:rsidRDefault="00C53D57" w:rsidP="00AB6E86">
            <w:pPr>
              <w:pStyle w:val="p1"/>
              <w:jc w:val="both"/>
              <w:rPr>
                <w:rFonts w:ascii="Arial" w:hAnsi="Arial" w:cs="Arial"/>
                <w:sz w:val="22"/>
                <w:szCs w:val="22"/>
                <w:lang w:val="es-ES"/>
              </w:rPr>
            </w:pPr>
            <w:r w:rsidRPr="003904EB">
              <w:rPr>
                <w:rFonts w:ascii="Arial" w:hAnsi="Arial" w:cs="Arial"/>
                <w:sz w:val="22"/>
                <w:szCs w:val="22"/>
                <w:lang w:val="es-ES"/>
              </w:rPr>
              <w:t xml:space="preserve">1. </w:t>
            </w:r>
            <w:r w:rsidR="00AB6E86" w:rsidRPr="003904EB">
              <w:rPr>
                <w:rFonts w:ascii="Arial" w:hAnsi="Arial" w:cs="Arial"/>
                <w:i/>
                <w:iCs/>
                <w:sz w:val="22"/>
                <w:szCs w:val="22"/>
                <w:lang w:val="es-ES"/>
              </w:rPr>
              <w:t xml:space="preserve">Alienta </w:t>
            </w:r>
            <w:r w:rsidR="00AB6E86" w:rsidRPr="003904EB">
              <w:rPr>
                <w:rFonts w:ascii="Arial" w:hAnsi="Arial" w:cs="Arial"/>
                <w:sz w:val="22"/>
                <w:szCs w:val="22"/>
                <w:lang w:val="es-ES"/>
              </w:rPr>
              <w:t>a los Puntos Focales de la CMS a buscar oportunidades para mejorar el diálogo a nivel nacional y regional con los Puntos Focales del CBD y del FMAM, con miras a centrar la atención en la priorización y procesos relevantes de toma de decisiones para la financiación del FMAM a nivel nacional y regional, de las necesidades de las especies migratorias y las oportunidades para su conservación y utilización sostenible; </w:t>
            </w:r>
          </w:p>
        </w:tc>
        <w:tc>
          <w:tcPr>
            <w:tcW w:w="2119" w:type="dxa"/>
            <w:shd w:val="clear" w:color="auto" w:fill="auto"/>
          </w:tcPr>
          <w:p w:rsidR="00C53D57" w:rsidRPr="00977AC4" w:rsidRDefault="00E06DC2" w:rsidP="00143928">
            <w:pPr>
              <w:rPr>
                <w:rFonts w:ascii="Arial" w:hAnsi="Arial" w:cs="Arial"/>
                <w:sz w:val="22"/>
                <w:szCs w:val="22"/>
              </w:rPr>
            </w:pPr>
            <w:r>
              <w:rPr>
                <w:rFonts w:ascii="Arial" w:hAnsi="Arial" w:cs="Arial"/>
                <w:sz w:val="22"/>
                <w:szCs w:val="22"/>
              </w:rPr>
              <w:t>Mantener</w:t>
            </w:r>
          </w:p>
        </w:tc>
      </w:tr>
      <w:tr w:rsidR="00C53D57" w:rsidRPr="00977AC4" w:rsidTr="00E365CF">
        <w:trPr>
          <w:trHeight w:val="619"/>
        </w:trPr>
        <w:tc>
          <w:tcPr>
            <w:tcW w:w="6737" w:type="dxa"/>
            <w:shd w:val="clear" w:color="auto" w:fill="auto"/>
          </w:tcPr>
          <w:p w:rsidR="00AB6E86" w:rsidRPr="003904EB" w:rsidRDefault="00C53D57" w:rsidP="00AB6E86">
            <w:pPr>
              <w:pStyle w:val="p1"/>
              <w:jc w:val="both"/>
              <w:rPr>
                <w:rFonts w:ascii="Arial" w:hAnsi="Arial" w:cs="Arial"/>
                <w:sz w:val="22"/>
                <w:szCs w:val="22"/>
                <w:lang w:val="es-ES"/>
              </w:rPr>
            </w:pPr>
            <w:r w:rsidRPr="003904EB">
              <w:rPr>
                <w:rFonts w:ascii="Arial" w:hAnsi="Arial" w:cs="Arial"/>
                <w:sz w:val="22"/>
                <w:szCs w:val="22"/>
                <w:lang w:val="es-ES"/>
              </w:rPr>
              <w:t xml:space="preserve">2. </w:t>
            </w:r>
            <w:r w:rsidR="00AB6E86" w:rsidRPr="003904EB">
              <w:rPr>
                <w:rFonts w:ascii="Arial" w:hAnsi="Arial" w:cs="Arial"/>
                <w:i/>
                <w:iCs/>
                <w:sz w:val="22"/>
                <w:szCs w:val="22"/>
                <w:lang w:val="es-ES"/>
              </w:rPr>
              <w:t xml:space="preserve">Alienta además </w:t>
            </w:r>
            <w:r w:rsidR="00AB6E86" w:rsidRPr="003904EB">
              <w:rPr>
                <w:rFonts w:ascii="Arial" w:hAnsi="Arial" w:cs="Arial"/>
                <w:sz w:val="22"/>
                <w:szCs w:val="22"/>
                <w:lang w:val="es-ES"/>
              </w:rPr>
              <w:t>a las Partes interesadas a mejorar la colaboración con los Puntos Focales Nacionales para el CBD y FMAM con el fin de poner en práctica las opciones disponibles bajo la actual estructura del FMAM, según lo establecido en el documento PNUMA/CMS/Conf.10.41, y en concreto a: </w:t>
            </w:r>
          </w:p>
          <w:p w:rsidR="00AB6E86" w:rsidRPr="003904EB" w:rsidRDefault="00AB6E86" w:rsidP="00AB6E86">
            <w:pPr>
              <w:widowControl/>
              <w:autoSpaceDE/>
              <w:autoSpaceDN/>
              <w:adjustRightInd/>
              <w:jc w:val="both"/>
              <w:rPr>
                <w:rFonts w:ascii="Arial" w:hAnsi="Arial" w:cs="Arial"/>
                <w:sz w:val="22"/>
                <w:szCs w:val="22"/>
                <w:lang w:val="es-ES"/>
              </w:rPr>
            </w:pPr>
          </w:p>
          <w:p w:rsidR="00AB6E86" w:rsidRPr="003904EB" w:rsidRDefault="00AB6E86" w:rsidP="00AB6E86">
            <w:pPr>
              <w:widowControl/>
              <w:autoSpaceDE/>
              <w:autoSpaceDN/>
              <w:adjustRightInd/>
              <w:spacing w:after="27"/>
              <w:jc w:val="both"/>
              <w:rPr>
                <w:rFonts w:ascii="Arial" w:hAnsi="Arial" w:cs="Arial"/>
                <w:sz w:val="22"/>
                <w:szCs w:val="22"/>
                <w:lang w:val="es-ES"/>
              </w:rPr>
            </w:pPr>
            <w:r w:rsidRPr="003904EB">
              <w:rPr>
                <w:rFonts w:ascii="Arial" w:hAnsi="Arial" w:cs="Arial"/>
                <w:sz w:val="22"/>
                <w:szCs w:val="22"/>
                <w:lang w:val="es-ES"/>
              </w:rPr>
              <w:t>(a) desarrollar más proyectos basados en el hábitat bajo las estrategias del FMAM </w:t>
            </w:r>
          </w:p>
          <w:p w:rsidR="00AB6E86" w:rsidRPr="003904EB" w:rsidRDefault="00AB6E86" w:rsidP="00AB6E86">
            <w:pPr>
              <w:widowControl/>
              <w:autoSpaceDE/>
              <w:autoSpaceDN/>
              <w:adjustRightInd/>
              <w:spacing w:after="27"/>
              <w:jc w:val="both"/>
              <w:rPr>
                <w:rFonts w:ascii="Arial" w:hAnsi="Arial" w:cs="Arial"/>
                <w:sz w:val="22"/>
                <w:szCs w:val="22"/>
                <w:lang w:val="es-ES"/>
              </w:rPr>
            </w:pPr>
            <w:r w:rsidRPr="003904EB">
              <w:rPr>
                <w:rFonts w:ascii="Arial" w:hAnsi="Arial" w:cs="Arial"/>
                <w:sz w:val="22"/>
                <w:szCs w:val="22"/>
                <w:lang w:val="es-ES"/>
              </w:rPr>
              <w:t>(b) desarrollar más proyectos basados en las especies bajo las estrategias del FMAM </w:t>
            </w:r>
          </w:p>
          <w:p w:rsidR="00AB6E86" w:rsidRPr="003904EB" w:rsidRDefault="00AB6E86" w:rsidP="00AB6E86">
            <w:pPr>
              <w:widowControl/>
              <w:autoSpaceDE/>
              <w:autoSpaceDN/>
              <w:adjustRightInd/>
              <w:spacing w:after="27"/>
              <w:jc w:val="both"/>
              <w:rPr>
                <w:rFonts w:ascii="Arial" w:hAnsi="Arial" w:cs="Arial"/>
                <w:sz w:val="22"/>
                <w:szCs w:val="22"/>
                <w:lang w:val="es-ES"/>
              </w:rPr>
            </w:pPr>
            <w:r w:rsidRPr="003904EB">
              <w:rPr>
                <w:rFonts w:ascii="Arial" w:hAnsi="Arial" w:cs="Arial"/>
                <w:sz w:val="22"/>
                <w:szCs w:val="22"/>
                <w:lang w:val="es-ES"/>
              </w:rPr>
              <w:t>(c) mejorar la colaboración a nivel de Punto Focal Nacional </w:t>
            </w:r>
          </w:p>
          <w:p w:rsidR="00C53D57" w:rsidRPr="003904EB" w:rsidRDefault="00AB6E86" w:rsidP="00AB6E86">
            <w:pPr>
              <w:widowControl/>
              <w:autoSpaceDE/>
              <w:autoSpaceDN/>
              <w:adjustRightInd/>
              <w:jc w:val="both"/>
              <w:rPr>
                <w:rFonts w:ascii="Arial" w:hAnsi="Arial" w:cs="Arial"/>
                <w:sz w:val="22"/>
                <w:szCs w:val="22"/>
                <w:lang w:val="es-ES"/>
              </w:rPr>
            </w:pPr>
            <w:r w:rsidRPr="003904EB">
              <w:rPr>
                <w:rFonts w:ascii="Arial" w:hAnsi="Arial" w:cs="Arial"/>
                <w:sz w:val="22"/>
                <w:szCs w:val="22"/>
                <w:lang w:val="es-ES"/>
              </w:rPr>
              <w:t>(d) integrar los objetivos relevantes en el apoyo a las Estrategias y Planes de Acción Nacionales de Biodiversidad (EPANB); </w:t>
            </w:r>
          </w:p>
        </w:tc>
        <w:tc>
          <w:tcPr>
            <w:tcW w:w="2119" w:type="dxa"/>
            <w:shd w:val="clear" w:color="auto" w:fill="auto"/>
          </w:tcPr>
          <w:p w:rsidR="00C53D57" w:rsidRPr="00977AC4" w:rsidRDefault="00E06DC2" w:rsidP="0032277E">
            <w:pPr>
              <w:rPr>
                <w:rFonts w:ascii="Arial" w:hAnsi="Arial" w:cs="Arial"/>
                <w:sz w:val="22"/>
                <w:szCs w:val="22"/>
              </w:rPr>
            </w:pPr>
            <w:r>
              <w:rPr>
                <w:rFonts w:ascii="Arial" w:hAnsi="Arial" w:cs="Arial"/>
                <w:sz w:val="22"/>
                <w:szCs w:val="22"/>
              </w:rPr>
              <w:t>Mantener</w:t>
            </w:r>
          </w:p>
        </w:tc>
      </w:tr>
      <w:tr w:rsidR="00C53D57" w:rsidRPr="00977AC4" w:rsidTr="00774542">
        <w:tc>
          <w:tcPr>
            <w:tcW w:w="6737" w:type="dxa"/>
            <w:shd w:val="clear" w:color="auto" w:fill="auto"/>
          </w:tcPr>
          <w:p w:rsidR="00C53D57" w:rsidRPr="003904EB" w:rsidRDefault="00C53D57" w:rsidP="00AB6E86">
            <w:pPr>
              <w:pStyle w:val="p1"/>
              <w:jc w:val="both"/>
              <w:rPr>
                <w:rFonts w:ascii="Arial" w:hAnsi="Arial" w:cs="Arial"/>
                <w:sz w:val="22"/>
                <w:szCs w:val="22"/>
                <w:lang w:val="es-ES"/>
              </w:rPr>
            </w:pPr>
            <w:r w:rsidRPr="003904EB">
              <w:rPr>
                <w:rFonts w:ascii="Arial" w:hAnsi="Arial" w:cs="Arial"/>
                <w:iCs/>
                <w:sz w:val="22"/>
                <w:szCs w:val="22"/>
                <w:lang w:val="es-ES"/>
              </w:rPr>
              <w:t>3</w:t>
            </w:r>
            <w:r w:rsidRPr="003904EB">
              <w:rPr>
                <w:rFonts w:ascii="Arial" w:hAnsi="Arial" w:cs="Arial"/>
                <w:i/>
                <w:iCs/>
                <w:sz w:val="22"/>
                <w:szCs w:val="22"/>
                <w:lang w:val="es-ES"/>
              </w:rPr>
              <w:t>.</w:t>
            </w:r>
            <w:r w:rsidR="00AB6E86" w:rsidRPr="003904EB">
              <w:rPr>
                <w:rFonts w:ascii="Arial" w:hAnsi="Arial" w:cs="Arial"/>
                <w:i/>
                <w:iCs/>
                <w:sz w:val="22"/>
                <w:szCs w:val="22"/>
                <w:lang w:val="es-ES"/>
              </w:rPr>
              <w:t xml:space="preserve"> Alienta asimismo </w:t>
            </w:r>
            <w:r w:rsidR="00AB6E86" w:rsidRPr="003904EB">
              <w:rPr>
                <w:rFonts w:ascii="Arial" w:hAnsi="Arial" w:cs="Arial"/>
                <w:sz w:val="22"/>
                <w:szCs w:val="22"/>
                <w:lang w:val="es-ES"/>
              </w:rPr>
              <w:t>a las Partes a incluir prioridades para la implementación de la CMS en sus EPANB, especialmente los proyectos basados en especies y las actividades de creación de capacidad, con el fin de beneficiarse plenamente de la financiación del FMAM disponible para biodiversidad; </w:t>
            </w:r>
          </w:p>
        </w:tc>
        <w:tc>
          <w:tcPr>
            <w:tcW w:w="2119" w:type="dxa"/>
            <w:shd w:val="clear" w:color="auto" w:fill="auto"/>
          </w:tcPr>
          <w:p w:rsidR="00C53D57" w:rsidRPr="00977AC4" w:rsidRDefault="00E06DC2" w:rsidP="00011E41">
            <w:pPr>
              <w:rPr>
                <w:rFonts w:ascii="Arial" w:hAnsi="Arial" w:cs="Arial"/>
                <w:i/>
                <w:sz w:val="22"/>
                <w:szCs w:val="22"/>
              </w:rPr>
            </w:pPr>
            <w:r>
              <w:rPr>
                <w:rFonts w:ascii="Arial" w:hAnsi="Arial" w:cs="Arial"/>
                <w:sz w:val="22"/>
                <w:szCs w:val="22"/>
              </w:rPr>
              <w:t>Mantener</w:t>
            </w:r>
          </w:p>
        </w:tc>
      </w:tr>
      <w:tr w:rsidR="00103129" w:rsidRPr="00103129" w:rsidTr="00774542">
        <w:trPr>
          <w:trHeight w:val="1132"/>
        </w:trPr>
        <w:tc>
          <w:tcPr>
            <w:tcW w:w="6737" w:type="dxa"/>
            <w:shd w:val="clear" w:color="auto" w:fill="auto"/>
          </w:tcPr>
          <w:p w:rsidR="00103129" w:rsidRPr="00103129" w:rsidRDefault="00103129" w:rsidP="00AB6E86">
            <w:pPr>
              <w:pStyle w:val="p1"/>
              <w:jc w:val="both"/>
              <w:rPr>
                <w:rFonts w:ascii="Arial" w:hAnsi="Arial" w:cs="Arial"/>
                <w:iCs/>
                <w:sz w:val="22"/>
                <w:szCs w:val="22"/>
                <w:lang w:val="es-ES"/>
              </w:rPr>
            </w:pPr>
            <w:r w:rsidRPr="00103129">
              <w:rPr>
                <w:rFonts w:ascii="Arial" w:hAnsi="Arial" w:cs="Arial"/>
                <w:iCs/>
                <w:strike/>
                <w:sz w:val="22"/>
                <w:szCs w:val="22"/>
              </w:rPr>
              <w:t>20.</w:t>
            </w:r>
            <w:r w:rsidRPr="00103129">
              <w:rPr>
                <w:rFonts w:ascii="Arial" w:hAnsi="Arial" w:cs="Arial"/>
                <w:iCs/>
                <w:sz w:val="22"/>
                <w:szCs w:val="22"/>
              </w:rPr>
              <w:t xml:space="preserve"> 4. </w:t>
            </w:r>
            <w:r w:rsidRPr="00103129">
              <w:rPr>
                <w:rFonts w:ascii="Arial" w:hAnsi="Arial" w:cs="Arial"/>
                <w:i/>
                <w:iCs/>
                <w:strike/>
                <w:sz w:val="22"/>
                <w:szCs w:val="22"/>
                <w:lang w:val="es-ES"/>
              </w:rPr>
              <w:t>Recordando</w:t>
            </w:r>
            <w:r w:rsidRPr="00103129">
              <w:rPr>
                <w:rFonts w:ascii="Arial" w:hAnsi="Arial" w:cs="Arial"/>
                <w:iCs/>
                <w:strike/>
                <w:sz w:val="22"/>
                <w:szCs w:val="22"/>
                <w:lang w:val="es-ES"/>
              </w:rPr>
              <w:t xml:space="preserve"> la Res.10.25 de la CMS</w:t>
            </w:r>
            <w:r w:rsidRPr="00103129">
              <w:rPr>
                <w:rFonts w:ascii="Arial" w:hAnsi="Arial" w:cs="Arial"/>
                <w:iCs/>
                <w:sz w:val="22"/>
                <w:szCs w:val="22"/>
                <w:u w:val="single"/>
                <w:lang w:val="es-ES"/>
              </w:rPr>
              <w:t xml:space="preserve">, </w:t>
            </w:r>
            <w:r w:rsidRPr="00103129">
              <w:rPr>
                <w:rFonts w:ascii="Arial" w:hAnsi="Arial" w:cs="Arial"/>
                <w:i/>
                <w:iCs/>
                <w:sz w:val="22"/>
                <w:szCs w:val="22"/>
                <w:u w:val="single"/>
                <w:lang w:val="es-ES"/>
              </w:rPr>
              <w:t>Acoge con beneplácito</w:t>
            </w:r>
            <w:r w:rsidRPr="00103129">
              <w:rPr>
                <w:rFonts w:ascii="Arial" w:hAnsi="Arial" w:cs="Arial"/>
                <w:iCs/>
                <w:sz w:val="22"/>
                <w:szCs w:val="22"/>
                <w:u w:val="single"/>
                <w:lang w:val="es-ES"/>
              </w:rPr>
              <w:t xml:space="preserve"> la Decisión XII / 30 de la COP12 del CDB sobre el Fondo para el Medio Ambiente Mundial para mejorar las sinergias programáticas entre los convenios relacionados con la diversidad biológica y pide al Comité Permanente que elabore elementos de asesoramiento al Fondo para el Medio Ambiente Mundial con respecto a la financiación de las prioridades nacionales;</w:t>
            </w:r>
          </w:p>
        </w:tc>
        <w:tc>
          <w:tcPr>
            <w:tcW w:w="2119" w:type="dxa"/>
            <w:shd w:val="clear" w:color="auto" w:fill="auto"/>
          </w:tcPr>
          <w:p w:rsidR="00103129" w:rsidRPr="00103129" w:rsidRDefault="00103129" w:rsidP="00FE499C">
            <w:pPr>
              <w:rPr>
                <w:rFonts w:ascii="Arial" w:hAnsi="Arial" w:cs="Arial"/>
                <w:sz w:val="22"/>
                <w:szCs w:val="22"/>
                <w:lang w:val="es-ES"/>
              </w:rPr>
            </w:pPr>
            <w:r>
              <w:rPr>
                <w:rFonts w:ascii="Arial" w:hAnsi="Arial" w:cs="Arial"/>
                <w:sz w:val="22"/>
                <w:szCs w:val="22"/>
                <w:lang w:val="es-ES"/>
              </w:rPr>
              <w:t xml:space="preserve">Movido aquí desde la Resolución 11.10, </w:t>
            </w:r>
            <w:r w:rsidRPr="00103129">
              <w:rPr>
                <w:rFonts w:ascii="Arial" w:hAnsi="Arial" w:cs="Arial"/>
                <w:i/>
                <w:sz w:val="22"/>
                <w:szCs w:val="22"/>
                <w:lang w:val="es-ES"/>
              </w:rPr>
              <w:t>Sinergias y Asociaciones</w:t>
            </w:r>
            <w:r>
              <w:rPr>
                <w:rFonts w:ascii="Arial" w:hAnsi="Arial" w:cs="Arial"/>
                <w:sz w:val="22"/>
                <w:szCs w:val="22"/>
                <w:lang w:val="es-ES"/>
              </w:rPr>
              <w:t>.</w:t>
            </w:r>
          </w:p>
        </w:tc>
      </w:tr>
      <w:tr w:rsidR="00103129" w:rsidRPr="00103129" w:rsidTr="00774542">
        <w:trPr>
          <w:trHeight w:val="1132"/>
        </w:trPr>
        <w:tc>
          <w:tcPr>
            <w:tcW w:w="6737" w:type="dxa"/>
            <w:shd w:val="clear" w:color="auto" w:fill="auto"/>
          </w:tcPr>
          <w:p w:rsidR="00103129" w:rsidRPr="00103129" w:rsidRDefault="00103129" w:rsidP="00AB6E86">
            <w:pPr>
              <w:pStyle w:val="p1"/>
              <w:jc w:val="both"/>
              <w:rPr>
                <w:rFonts w:ascii="Arial" w:hAnsi="Arial" w:cs="Arial"/>
                <w:iCs/>
                <w:sz w:val="22"/>
                <w:szCs w:val="22"/>
                <w:u w:val="single"/>
                <w:lang w:val="es-ES"/>
              </w:rPr>
            </w:pPr>
            <w:r w:rsidRPr="00103129">
              <w:rPr>
                <w:rFonts w:ascii="Arial" w:hAnsi="Arial" w:cs="Arial"/>
                <w:iCs/>
                <w:strike/>
                <w:sz w:val="22"/>
                <w:szCs w:val="22"/>
                <w:lang w:val="es-ES"/>
              </w:rPr>
              <w:t>21</w:t>
            </w:r>
            <w:r w:rsidRPr="00103129">
              <w:rPr>
                <w:rFonts w:ascii="Arial" w:hAnsi="Arial" w:cs="Arial"/>
                <w:i/>
                <w:iCs/>
                <w:sz w:val="22"/>
                <w:szCs w:val="22"/>
                <w:lang w:val="es-ES"/>
              </w:rPr>
              <w:t xml:space="preserve">. </w:t>
            </w:r>
            <w:r w:rsidRPr="00103129">
              <w:rPr>
                <w:rFonts w:ascii="Arial" w:hAnsi="Arial" w:cs="Arial"/>
                <w:iCs/>
                <w:sz w:val="22"/>
                <w:szCs w:val="22"/>
                <w:u w:val="single"/>
                <w:lang w:val="es-ES"/>
              </w:rPr>
              <w:t>5</w:t>
            </w:r>
            <w:r>
              <w:rPr>
                <w:rFonts w:ascii="Arial" w:hAnsi="Arial" w:cs="Arial"/>
                <w:i/>
                <w:iCs/>
                <w:sz w:val="22"/>
                <w:szCs w:val="22"/>
                <w:u w:val="single"/>
                <w:lang w:val="es-ES"/>
              </w:rPr>
              <w:t xml:space="preserve">. </w:t>
            </w:r>
            <w:r w:rsidRPr="00103129">
              <w:rPr>
                <w:rFonts w:ascii="Arial" w:hAnsi="Arial" w:cs="Arial"/>
                <w:i/>
                <w:iCs/>
                <w:sz w:val="22"/>
                <w:szCs w:val="22"/>
                <w:u w:val="single"/>
                <w:lang w:val="es-ES"/>
              </w:rPr>
              <w:t>Solicita</w:t>
            </w:r>
            <w:r w:rsidRPr="00103129">
              <w:rPr>
                <w:rFonts w:ascii="Arial" w:hAnsi="Arial" w:cs="Arial"/>
                <w:iCs/>
                <w:sz w:val="22"/>
                <w:szCs w:val="22"/>
                <w:u w:val="single"/>
                <w:lang w:val="es-ES"/>
              </w:rPr>
              <w:t xml:space="preserve"> al Secretario Ejecutivo que proporcione los elementos de asesoramiento elaborados por el Comité Permanente a tiempo para ser considerado en las reuniones de la COP</w:t>
            </w:r>
            <w:r w:rsidRPr="00103129">
              <w:rPr>
                <w:rFonts w:ascii="Arial" w:hAnsi="Arial" w:cs="Arial"/>
                <w:iCs/>
                <w:strike/>
                <w:sz w:val="22"/>
                <w:szCs w:val="22"/>
                <w:u w:val="single"/>
                <w:lang w:val="es-ES"/>
              </w:rPr>
              <w:t>13</w:t>
            </w:r>
            <w:r w:rsidRPr="00103129">
              <w:rPr>
                <w:rFonts w:ascii="Arial" w:hAnsi="Arial" w:cs="Arial"/>
                <w:iCs/>
                <w:sz w:val="22"/>
                <w:szCs w:val="22"/>
                <w:u w:val="single"/>
                <w:lang w:val="es-ES"/>
              </w:rPr>
              <w:t xml:space="preserve"> del CDB para que puedan ser remitidos al Fondo para el Medio Ambiente Mundial a través de la Conferencia de las Partes en el Convenio sobre la Diversidad Biológica</w:t>
            </w:r>
          </w:p>
        </w:tc>
        <w:tc>
          <w:tcPr>
            <w:tcW w:w="2119" w:type="dxa"/>
            <w:shd w:val="clear" w:color="auto" w:fill="auto"/>
          </w:tcPr>
          <w:p w:rsidR="00103129" w:rsidRPr="00103129" w:rsidRDefault="00103129" w:rsidP="00FE499C">
            <w:pPr>
              <w:rPr>
                <w:rFonts w:ascii="Arial" w:hAnsi="Arial" w:cs="Arial"/>
                <w:sz w:val="22"/>
                <w:szCs w:val="22"/>
                <w:lang w:val="es-ES"/>
              </w:rPr>
            </w:pPr>
            <w:r w:rsidRPr="00103129">
              <w:rPr>
                <w:rFonts w:ascii="Arial" w:hAnsi="Arial" w:cs="Arial"/>
                <w:sz w:val="22"/>
                <w:szCs w:val="22"/>
                <w:lang w:val="es-ES"/>
              </w:rPr>
              <w:t>Movido aquí desde la Resolución 11.10, Sinergias y Asociaciones</w:t>
            </w:r>
          </w:p>
        </w:tc>
      </w:tr>
      <w:tr w:rsidR="00E365CF" w:rsidRPr="00103129" w:rsidTr="00774542">
        <w:trPr>
          <w:trHeight w:val="1132"/>
        </w:trPr>
        <w:tc>
          <w:tcPr>
            <w:tcW w:w="6737" w:type="dxa"/>
            <w:shd w:val="clear" w:color="auto" w:fill="auto"/>
          </w:tcPr>
          <w:p w:rsidR="00E365CF" w:rsidRPr="003904EB" w:rsidRDefault="00E365CF" w:rsidP="00AB6E86">
            <w:pPr>
              <w:pStyle w:val="p1"/>
              <w:jc w:val="both"/>
              <w:rPr>
                <w:rFonts w:ascii="Arial" w:hAnsi="Arial" w:cs="Arial"/>
                <w:sz w:val="22"/>
                <w:szCs w:val="22"/>
                <w:lang w:val="es-ES"/>
              </w:rPr>
            </w:pPr>
            <w:r w:rsidRPr="00103129">
              <w:rPr>
                <w:rFonts w:ascii="Arial" w:hAnsi="Arial" w:cs="Arial"/>
                <w:iCs/>
                <w:strike/>
                <w:sz w:val="22"/>
                <w:szCs w:val="22"/>
                <w:lang w:val="es-ES"/>
              </w:rPr>
              <w:t>4.</w:t>
            </w:r>
            <w:r w:rsidR="00103129">
              <w:rPr>
                <w:rFonts w:ascii="Arial" w:hAnsi="Arial" w:cs="Arial"/>
                <w:iCs/>
                <w:sz w:val="22"/>
                <w:szCs w:val="22"/>
                <w:lang w:val="es-ES"/>
              </w:rPr>
              <w:t xml:space="preserve"> </w:t>
            </w:r>
            <w:r w:rsidR="00103129" w:rsidRPr="00103129">
              <w:rPr>
                <w:rFonts w:ascii="Arial" w:hAnsi="Arial" w:cs="Arial"/>
                <w:iCs/>
                <w:sz w:val="22"/>
                <w:szCs w:val="22"/>
                <w:u w:val="single"/>
                <w:lang w:val="es-ES"/>
              </w:rPr>
              <w:t>6.</w:t>
            </w:r>
            <w:r w:rsidR="00103129">
              <w:rPr>
                <w:rFonts w:ascii="Arial" w:hAnsi="Arial" w:cs="Arial"/>
                <w:iCs/>
                <w:sz w:val="22"/>
                <w:szCs w:val="22"/>
                <w:lang w:val="es-ES"/>
              </w:rPr>
              <w:t xml:space="preserve"> </w:t>
            </w:r>
            <w:r w:rsidR="00AB6E86" w:rsidRPr="00103129">
              <w:rPr>
                <w:rFonts w:ascii="Arial" w:hAnsi="Arial" w:cs="Arial"/>
                <w:i/>
                <w:iCs/>
                <w:sz w:val="22"/>
                <w:szCs w:val="22"/>
                <w:lang w:val="es-ES"/>
              </w:rPr>
              <w:t xml:space="preserve">Invita </w:t>
            </w:r>
            <w:r w:rsidR="00AB6E86" w:rsidRPr="00103129">
              <w:rPr>
                <w:rFonts w:ascii="Arial" w:hAnsi="Arial" w:cs="Arial"/>
                <w:sz w:val="22"/>
                <w:szCs w:val="22"/>
                <w:lang w:val="es-ES"/>
              </w:rPr>
              <w:t xml:space="preserve">a la Secretaría del FMAM a participar en el seguimiento de la presente Resolución a través de conversaciones con </w:t>
            </w:r>
            <w:r w:rsidR="00AB6E86" w:rsidRPr="003904EB">
              <w:rPr>
                <w:rFonts w:ascii="Arial" w:hAnsi="Arial" w:cs="Arial"/>
                <w:sz w:val="22"/>
                <w:szCs w:val="22"/>
                <w:lang w:val="es-ES"/>
              </w:rPr>
              <w:t>la Secretaría de la CMS, y por otros medios apropiados, incluida la exploración de todas las oportunidades para mejorar el apoyo del FMAM a los países para actividades relacionadas con la aplicación de la CMS</w:t>
            </w:r>
            <w:r w:rsidR="00D65E3B" w:rsidRPr="003904EB">
              <w:rPr>
                <w:rFonts w:ascii="Arial" w:hAnsi="Arial" w:cs="Arial"/>
                <w:iCs/>
                <w:spacing w:val="-2"/>
                <w:sz w:val="22"/>
                <w:szCs w:val="22"/>
                <w:lang w:val="es-ES"/>
              </w:rPr>
              <w:t>;</w:t>
            </w:r>
          </w:p>
        </w:tc>
        <w:tc>
          <w:tcPr>
            <w:tcW w:w="2119" w:type="dxa"/>
            <w:shd w:val="clear" w:color="auto" w:fill="auto"/>
          </w:tcPr>
          <w:p w:rsidR="00E365CF" w:rsidRPr="00103129" w:rsidRDefault="00E06DC2" w:rsidP="00FE499C">
            <w:pPr>
              <w:rPr>
                <w:rFonts w:ascii="Arial" w:hAnsi="Arial" w:cs="Arial"/>
                <w:sz w:val="22"/>
                <w:szCs w:val="22"/>
                <w:lang w:val="es-ES"/>
              </w:rPr>
            </w:pPr>
            <w:r w:rsidRPr="00103129">
              <w:rPr>
                <w:rFonts w:ascii="Arial" w:hAnsi="Arial" w:cs="Arial"/>
                <w:sz w:val="22"/>
                <w:szCs w:val="22"/>
                <w:lang w:val="es-ES"/>
              </w:rPr>
              <w:t>Mantener</w:t>
            </w:r>
          </w:p>
        </w:tc>
      </w:tr>
      <w:tr w:rsidR="00E365CF" w:rsidRPr="00103129" w:rsidTr="00774542">
        <w:trPr>
          <w:trHeight w:val="1132"/>
        </w:trPr>
        <w:tc>
          <w:tcPr>
            <w:tcW w:w="6737" w:type="dxa"/>
            <w:shd w:val="clear" w:color="auto" w:fill="auto"/>
          </w:tcPr>
          <w:p w:rsidR="00AB6E86" w:rsidRPr="003904EB" w:rsidRDefault="00E365CF" w:rsidP="0031688F">
            <w:pPr>
              <w:spacing w:line="235" w:lineRule="auto"/>
              <w:jc w:val="both"/>
              <w:rPr>
                <w:rFonts w:ascii="Arial" w:hAnsi="Arial" w:cs="Arial"/>
                <w:sz w:val="22"/>
                <w:szCs w:val="22"/>
                <w:lang w:val="es-ES"/>
              </w:rPr>
            </w:pPr>
            <w:r w:rsidRPr="00103129">
              <w:rPr>
                <w:rFonts w:ascii="Arial" w:hAnsi="Arial" w:cs="Arial"/>
                <w:strike/>
                <w:sz w:val="22"/>
                <w:szCs w:val="22"/>
                <w:lang w:val="es-ES"/>
              </w:rPr>
              <w:t>5</w:t>
            </w:r>
            <w:r w:rsidRPr="003904EB">
              <w:rPr>
                <w:rFonts w:ascii="Arial" w:hAnsi="Arial" w:cs="Arial"/>
                <w:sz w:val="22"/>
                <w:szCs w:val="22"/>
                <w:lang w:val="es-ES"/>
              </w:rPr>
              <w:t>.</w:t>
            </w:r>
            <w:r w:rsidR="00103129">
              <w:rPr>
                <w:rFonts w:ascii="Arial" w:hAnsi="Arial" w:cs="Arial"/>
                <w:sz w:val="22"/>
                <w:szCs w:val="22"/>
                <w:lang w:val="es-ES"/>
              </w:rPr>
              <w:t xml:space="preserve"> </w:t>
            </w:r>
            <w:r w:rsidR="00103129" w:rsidRPr="00103129">
              <w:rPr>
                <w:rFonts w:ascii="Arial" w:hAnsi="Arial" w:cs="Arial"/>
                <w:sz w:val="22"/>
                <w:szCs w:val="22"/>
                <w:u w:val="single"/>
                <w:lang w:val="es-ES"/>
              </w:rPr>
              <w:t>7.</w:t>
            </w:r>
            <w:r w:rsidR="00103129">
              <w:rPr>
                <w:rFonts w:ascii="Arial" w:hAnsi="Arial" w:cs="Arial"/>
                <w:sz w:val="22"/>
                <w:szCs w:val="22"/>
                <w:lang w:val="es-ES"/>
              </w:rPr>
              <w:t xml:space="preserve"> </w:t>
            </w:r>
            <w:r w:rsidRPr="003904EB">
              <w:rPr>
                <w:rFonts w:ascii="Arial" w:hAnsi="Arial" w:cs="Arial"/>
                <w:i/>
                <w:sz w:val="22"/>
                <w:szCs w:val="22"/>
                <w:lang w:val="es-ES"/>
              </w:rPr>
              <w:t xml:space="preserve"> </w:t>
            </w:r>
            <w:r w:rsidR="00AB6E86" w:rsidRPr="003904EB">
              <w:rPr>
                <w:rFonts w:ascii="Arial" w:hAnsi="Arial" w:cs="Arial"/>
                <w:i/>
                <w:iCs/>
                <w:sz w:val="22"/>
                <w:szCs w:val="22"/>
                <w:lang w:val="es-ES"/>
              </w:rPr>
              <w:t xml:space="preserve">Solicita </w:t>
            </w:r>
            <w:r w:rsidR="00AB6E86" w:rsidRPr="003904EB">
              <w:rPr>
                <w:rFonts w:ascii="Arial" w:hAnsi="Arial" w:cs="Arial"/>
                <w:sz w:val="22"/>
                <w:szCs w:val="22"/>
                <w:lang w:val="es-ES"/>
              </w:rPr>
              <w:t xml:space="preserve">a la Secretaría comprometerse con el FMAM en todos los niveles apropiados a la hora de continuar con la implementación de la presente Resolución, </w:t>
            </w:r>
            <w:r w:rsidR="00AB6E86" w:rsidRPr="003904EB">
              <w:rPr>
                <w:rFonts w:ascii="Arial" w:hAnsi="Arial" w:cs="Arial"/>
                <w:strike/>
                <w:sz w:val="22"/>
                <w:szCs w:val="22"/>
                <w:lang w:val="es-ES"/>
              </w:rPr>
              <w:t>incluyendo la participación en la reunión de las convenciones relacionadas con la biodiversidad con la Secretaría del FMAM con referencia a prioridades mencionadas más arriba para la estrategia de programación FMAM-6</w:t>
            </w:r>
            <w:r w:rsidR="00AB6E86" w:rsidRPr="003904EB">
              <w:rPr>
                <w:rFonts w:ascii="Arial" w:hAnsi="Arial" w:cs="Arial"/>
                <w:sz w:val="22"/>
                <w:szCs w:val="22"/>
                <w:lang w:val="es-ES"/>
              </w:rPr>
              <w:t>; </w:t>
            </w:r>
          </w:p>
        </w:tc>
        <w:tc>
          <w:tcPr>
            <w:tcW w:w="2119" w:type="dxa"/>
            <w:shd w:val="clear" w:color="auto" w:fill="auto"/>
          </w:tcPr>
          <w:p w:rsidR="00E365CF" w:rsidRPr="00103129" w:rsidRDefault="00E06DC2" w:rsidP="00E06DC2">
            <w:pPr>
              <w:rPr>
                <w:rFonts w:ascii="Arial" w:hAnsi="Arial" w:cs="Arial"/>
                <w:sz w:val="22"/>
                <w:szCs w:val="22"/>
                <w:lang w:val="es-ES"/>
              </w:rPr>
            </w:pPr>
            <w:r w:rsidRPr="00103129">
              <w:rPr>
                <w:rFonts w:ascii="Arial" w:hAnsi="Arial" w:cs="Arial"/>
                <w:sz w:val="22"/>
                <w:szCs w:val="22"/>
                <w:lang w:val="es-ES"/>
              </w:rPr>
              <w:t>Mantener</w:t>
            </w:r>
            <w:r w:rsidR="00E365CF" w:rsidRPr="00103129">
              <w:rPr>
                <w:rFonts w:ascii="Arial" w:hAnsi="Arial" w:cs="Arial"/>
                <w:sz w:val="22"/>
                <w:szCs w:val="22"/>
                <w:lang w:val="es-ES"/>
              </w:rPr>
              <w:t xml:space="preserve"> </w:t>
            </w:r>
            <w:r w:rsidRPr="00103129">
              <w:rPr>
                <w:rFonts w:ascii="Arial" w:hAnsi="Arial" w:cs="Arial"/>
                <w:sz w:val="22"/>
                <w:szCs w:val="22"/>
                <w:lang w:val="es-ES"/>
              </w:rPr>
              <w:t>modificado</w:t>
            </w:r>
            <w:r w:rsidR="00293D04" w:rsidRPr="00103129">
              <w:rPr>
                <w:rFonts w:ascii="Arial" w:hAnsi="Arial" w:cs="Arial"/>
                <w:sz w:val="22"/>
                <w:szCs w:val="22"/>
                <w:lang w:val="es-ES"/>
              </w:rPr>
              <w:t xml:space="preserve">; </w:t>
            </w:r>
            <w:r w:rsidR="00103129" w:rsidRPr="00103129">
              <w:rPr>
                <w:rFonts w:ascii="Arial" w:hAnsi="Arial" w:cs="Arial"/>
                <w:sz w:val="22"/>
                <w:szCs w:val="22"/>
                <w:lang w:val="es-ES"/>
              </w:rPr>
              <w:t>el FMAM está planeando una estrategia de programación para la GEF-7.</w:t>
            </w:r>
          </w:p>
        </w:tc>
      </w:tr>
      <w:tr w:rsidR="00C53D57" w:rsidRPr="00977AC4" w:rsidTr="0031688F">
        <w:trPr>
          <w:trHeight w:val="565"/>
        </w:trPr>
        <w:tc>
          <w:tcPr>
            <w:tcW w:w="6737" w:type="dxa"/>
            <w:shd w:val="clear" w:color="auto" w:fill="auto"/>
          </w:tcPr>
          <w:p w:rsidR="00C53D57" w:rsidRPr="003904EB" w:rsidRDefault="00C53D57" w:rsidP="00AB6E86">
            <w:pPr>
              <w:pStyle w:val="p1"/>
              <w:jc w:val="both"/>
              <w:rPr>
                <w:rFonts w:ascii="Arial" w:hAnsi="Arial" w:cs="Arial"/>
                <w:sz w:val="22"/>
                <w:szCs w:val="22"/>
                <w:lang w:val="es-ES"/>
              </w:rPr>
            </w:pPr>
            <w:r w:rsidRPr="00103129">
              <w:rPr>
                <w:rFonts w:ascii="Arial" w:hAnsi="Arial" w:cs="Arial"/>
                <w:strike/>
                <w:sz w:val="22"/>
                <w:szCs w:val="22"/>
                <w:lang w:val="es-ES"/>
              </w:rPr>
              <w:t>6</w:t>
            </w:r>
            <w:r w:rsidRPr="003904EB">
              <w:rPr>
                <w:rFonts w:ascii="Arial" w:hAnsi="Arial" w:cs="Arial"/>
                <w:sz w:val="22"/>
                <w:szCs w:val="22"/>
                <w:lang w:val="es-ES"/>
              </w:rPr>
              <w:t>.</w:t>
            </w:r>
            <w:r w:rsidR="00AB6E86" w:rsidRPr="003904EB">
              <w:rPr>
                <w:rFonts w:ascii="Arial" w:hAnsi="Arial" w:cs="Arial"/>
                <w:sz w:val="22"/>
                <w:szCs w:val="22"/>
                <w:lang w:val="es-ES"/>
              </w:rPr>
              <w:t xml:space="preserve"> </w:t>
            </w:r>
            <w:r w:rsidR="00103129" w:rsidRPr="00103129">
              <w:rPr>
                <w:rFonts w:ascii="Arial" w:hAnsi="Arial" w:cs="Arial"/>
                <w:sz w:val="22"/>
                <w:szCs w:val="22"/>
                <w:u w:val="single"/>
                <w:lang w:val="es-ES"/>
              </w:rPr>
              <w:t>8.</w:t>
            </w:r>
            <w:r w:rsidR="00103129">
              <w:rPr>
                <w:rFonts w:ascii="Arial" w:hAnsi="Arial" w:cs="Arial"/>
                <w:sz w:val="22"/>
                <w:szCs w:val="22"/>
                <w:lang w:val="es-ES"/>
              </w:rPr>
              <w:t xml:space="preserve"> </w:t>
            </w:r>
            <w:r w:rsidR="00AB6E86" w:rsidRPr="003904EB">
              <w:rPr>
                <w:rFonts w:ascii="Arial" w:hAnsi="Arial" w:cs="Arial"/>
                <w:i/>
                <w:iCs/>
                <w:sz w:val="22"/>
                <w:szCs w:val="22"/>
                <w:lang w:val="es-ES"/>
              </w:rPr>
              <w:t xml:space="preserve">Pide </w:t>
            </w:r>
            <w:r w:rsidR="00AB6E86" w:rsidRPr="003904EB">
              <w:rPr>
                <w:rFonts w:ascii="Arial" w:hAnsi="Arial" w:cs="Arial"/>
                <w:sz w:val="22"/>
                <w:szCs w:val="22"/>
                <w:lang w:val="es-ES"/>
              </w:rPr>
              <w:t>al PNUMA proporcionar apoyo y contribuya, según proceda, a la aplicación de la presente Resolución; y </w:t>
            </w:r>
          </w:p>
        </w:tc>
        <w:tc>
          <w:tcPr>
            <w:tcW w:w="2119" w:type="dxa"/>
            <w:shd w:val="clear" w:color="auto" w:fill="auto"/>
          </w:tcPr>
          <w:p w:rsidR="00C53D57" w:rsidRPr="00977AC4" w:rsidRDefault="00E06DC2" w:rsidP="00E365CF">
            <w:pPr>
              <w:rPr>
                <w:rFonts w:ascii="Arial" w:hAnsi="Arial" w:cs="Arial"/>
                <w:sz w:val="22"/>
                <w:szCs w:val="22"/>
              </w:rPr>
            </w:pPr>
            <w:r>
              <w:rPr>
                <w:rFonts w:ascii="Arial" w:hAnsi="Arial" w:cs="Arial"/>
                <w:sz w:val="22"/>
                <w:szCs w:val="22"/>
              </w:rPr>
              <w:t>Mantener</w:t>
            </w:r>
          </w:p>
        </w:tc>
      </w:tr>
      <w:tr w:rsidR="00C53D57" w:rsidRPr="00103129" w:rsidTr="002E061B">
        <w:trPr>
          <w:trHeight w:val="1042"/>
        </w:trPr>
        <w:tc>
          <w:tcPr>
            <w:tcW w:w="6737" w:type="dxa"/>
            <w:shd w:val="clear" w:color="auto" w:fill="auto"/>
          </w:tcPr>
          <w:p w:rsidR="00AB6E86" w:rsidRPr="003904EB" w:rsidRDefault="00D65E3B" w:rsidP="000947CE">
            <w:pPr>
              <w:jc w:val="both"/>
              <w:rPr>
                <w:rFonts w:ascii="Arial" w:hAnsi="Arial" w:cs="Arial"/>
                <w:sz w:val="22"/>
                <w:szCs w:val="22"/>
                <w:lang w:val="es-ES"/>
              </w:rPr>
            </w:pPr>
            <w:r w:rsidRPr="00103129">
              <w:rPr>
                <w:rFonts w:ascii="Arial" w:hAnsi="Arial" w:cs="Arial"/>
                <w:strike/>
                <w:sz w:val="22"/>
                <w:szCs w:val="22"/>
                <w:lang w:val="es-ES"/>
              </w:rPr>
              <w:lastRenderedPageBreak/>
              <w:t>7.</w:t>
            </w:r>
            <w:r w:rsidRPr="003904EB">
              <w:rPr>
                <w:rFonts w:ascii="Arial" w:hAnsi="Arial" w:cs="Arial"/>
                <w:sz w:val="22"/>
                <w:szCs w:val="22"/>
                <w:lang w:val="es-ES"/>
              </w:rPr>
              <w:t xml:space="preserve"> </w:t>
            </w:r>
            <w:r w:rsidR="00103129" w:rsidRPr="00103129">
              <w:rPr>
                <w:rFonts w:ascii="Arial" w:hAnsi="Arial" w:cs="Arial"/>
                <w:sz w:val="22"/>
                <w:szCs w:val="22"/>
                <w:u w:val="single"/>
                <w:lang w:val="es-ES"/>
              </w:rPr>
              <w:t>8.</w:t>
            </w:r>
            <w:r w:rsidR="00103129">
              <w:rPr>
                <w:rFonts w:ascii="Arial" w:hAnsi="Arial" w:cs="Arial"/>
                <w:sz w:val="22"/>
                <w:szCs w:val="22"/>
                <w:lang w:val="es-ES"/>
              </w:rPr>
              <w:t xml:space="preserve"> </w:t>
            </w:r>
            <w:r w:rsidR="00AB6E86" w:rsidRPr="003904EB">
              <w:rPr>
                <w:rFonts w:ascii="Arial" w:hAnsi="Arial" w:cs="Arial"/>
                <w:i/>
                <w:iCs/>
                <w:sz w:val="22"/>
                <w:szCs w:val="22"/>
                <w:lang w:val="es-ES"/>
              </w:rPr>
              <w:t xml:space="preserve">Encarga </w:t>
            </w:r>
            <w:r w:rsidR="00AB6E86" w:rsidRPr="003904EB">
              <w:rPr>
                <w:rFonts w:ascii="Arial" w:hAnsi="Arial" w:cs="Arial"/>
                <w:sz w:val="22"/>
                <w:szCs w:val="22"/>
                <w:lang w:val="es-ES"/>
              </w:rPr>
              <w:t xml:space="preserve">a la Secretaría que informe sobre los progresos en la aplicación de la presente resolución a </w:t>
            </w:r>
            <w:r w:rsidR="00AB6E86" w:rsidRPr="003904EB">
              <w:rPr>
                <w:rFonts w:ascii="Arial" w:hAnsi="Arial" w:cs="Arial"/>
                <w:strike/>
                <w:sz w:val="22"/>
                <w:szCs w:val="22"/>
                <w:lang w:val="es-ES"/>
              </w:rPr>
              <w:t>la 40ª reunión</w:t>
            </w:r>
            <w:r w:rsidR="00AB6E86" w:rsidRPr="003904EB">
              <w:rPr>
                <w:rFonts w:ascii="Arial" w:hAnsi="Arial" w:cs="Arial"/>
                <w:sz w:val="22"/>
                <w:szCs w:val="22"/>
                <w:lang w:val="es-ES"/>
              </w:rPr>
              <w:t xml:space="preserve"> </w:t>
            </w:r>
            <w:r w:rsidR="0031688F" w:rsidRPr="003904EB">
              <w:rPr>
                <w:rFonts w:ascii="Arial" w:hAnsi="Arial" w:cs="Arial"/>
                <w:i/>
                <w:sz w:val="22"/>
                <w:szCs w:val="22"/>
                <w:u w:val="single"/>
                <w:lang w:val="es-ES"/>
              </w:rPr>
              <w:t>las reuniones</w:t>
            </w:r>
            <w:r w:rsidR="0031688F" w:rsidRPr="003904EB">
              <w:rPr>
                <w:rFonts w:ascii="Arial" w:hAnsi="Arial" w:cs="Arial"/>
                <w:i/>
                <w:sz w:val="22"/>
                <w:szCs w:val="22"/>
                <w:lang w:val="es-ES"/>
              </w:rPr>
              <w:t xml:space="preserve"> </w:t>
            </w:r>
            <w:r w:rsidR="00AB6E86" w:rsidRPr="003904EB">
              <w:rPr>
                <w:rFonts w:ascii="Arial" w:hAnsi="Arial" w:cs="Arial"/>
                <w:sz w:val="22"/>
                <w:szCs w:val="22"/>
                <w:lang w:val="es-ES"/>
              </w:rPr>
              <w:t>del Comité Permanente, y que presente nuevas propuestas de acción para la 11ª reunión de la Conferencia de las Partes. </w:t>
            </w:r>
          </w:p>
        </w:tc>
        <w:tc>
          <w:tcPr>
            <w:tcW w:w="2119" w:type="dxa"/>
            <w:shd w:val="clear" w:color="auto" w:fill="auto"/>
          </w:tcPr>
          <w:p w:rsidR="00C53D57" w:rsidRPr="00103129" w:rsidRDefault="00E06DC2" w:rsidP="00E06DC2">
            <w:pPr>
              <w:rPr>
                <w:rFonts w:ascii="Arial" w:hAnsi="Arial" w:cs="Arial"/>
                <w:sz w:val="22"/>
                <w:szCs w:val="22"/>
                <w:lang w:val="es-ES"/>
              </w:rPr>
            </w:pPr>
            <w:r w:rsidRPr="00103129">
              <w:rPr>
                <w:rFonts w:ascii="Arial" w:hAnsi="Arial" w:cs="Arial"/>
                <w:sz w:val="22"/>
                <w:szCs w:val="22"/>
                <w:lang w:val="es-ES"/>
              </w:rPr>
              <w:t>Mantener</w:t>
            </w:r>
            <w:r w:rsidR="00977AC4" w:rsidRPr="00103129">
              <w:rPr>
                <w:rFonts w:ascii="Arial" w:hAnsi="Arial" w:cs="Arial"/>
                <w:sz w:val="22"/>
                <w:szCs w:val="22"/>
                <w:lang w:val="es-ES"/>
              </w:rPr>
              <w:t xml:space="preserve"> </w:t>
            </w:r>
            <w:r w:rsidRPr="00103129">
              <w:rPr>
                <w:rFonts w:ascii="Arial" w:hAnsi="Arial" w:cs="Arial"/>
                <w:sz w:val="22"/>
                <w:szCs w:val="22"/>
                <w:lang w:val="es-ES"/>
              </w:rPr>
              <w:t xml:space="preserve">modificado </w:t>
            </w:r>
            <w:r w:rsidR="00103129" w:rsidRPr="00103129">
              <w:rPr>
                <w:rFonts w:ascii="Arial" w:hAnsi="Arial" w:cs="Arial"/>
                <w:sz w:val="22"/>
                <w:szCs w:val="22"/>
                <w:lang w:val="es-ES"/>
              </w:rPr>
              <w:t>para convertirlo en una obligación de información.</w:t>
            </w:r>
          </w:p>
        </w:tc>
      </w:tr>
    </w:tbl>
    <w:p w:rsidR="0048197A" w:rsidRPr="00103129" w:rsidRDefault="0048197A" w:rsidP="0048197A">
      <w:pPr>
        <w:rPr>
          <w:rFonts w:ascii="Arial" w:hAnsi="Arial" w:cs="Arial"/>
          <w:sz w:val="22"/>
          <w:szCs w:val="22"/>
          <w:lang w:val="es-ES"/>
        </w:rPr>
      </w:pPr>
    </w:p>
    <w:p w:rsidR="00D80EC0" w:rsidRPr="00103129"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s-ES"/>
        </w:rPr>
        <w:sectPr w:rsidR="00D80EC0" w:rsidRPr="00103129"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rsidR="00D80EC0" w:rsidRPr="00977AC4" w:rsidRDefault="00E06DC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977AC4">
        <w:rPr>
          <w:rFonts w:ascii="Arial" w:hAnsi="Arial" w:cs="Arial"/>
          <w:b/>
          <w:caps/>
          <w:sz w:val="22"/>
          <w:szCs w:val="22"/>
          <w:lang w:val="en-GB"/>
        </w:rPr>
        <w:t xml:space="preserve"> 2</w:t>
      </w:r>
    </w:p>
    <w:p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rsidR="004D6D3B" w:rsidRPr="000160CA" w:rsidRDefault="004D6D3B" w:rsidP="004D6D3B">
      <w:pPr>
        <w:jc w:val="center"/>
        <w:rPr>
          <w:rFonts w:ascii="Arial" w:hAnsi="Arial" w:cs="Arial"/>
          <w:b/>
          <w:sz w:val="22"/>
          <w:szCs w:val="22"/>
          <w:u w:val="single"/>
        </w:rPr>
      </w:pPr>
      <w:r w:rsidRPr="000160CA">
        <w:rPr>
          <w:rFonts w:ascii="Arial" w:hAnsi="Arial" w:cs="Arial"/>
          <w:b/>
          <w:sz w:val="22"/>
          <w:szCs w:val="22"/>
          <w:lang w:val="es-ES"/>
        </w:rPr>
        <w:t>RESOLUCIÓN</w:t>
      </w:r>
      <w:r w:rsidRPr="000160CA">
        <w:rPr>
          <w:rFonts w:ascii="Arial" w:hAnsi="Arial" w:cs="Arial"/>
          <w:b/>
          <w:sz w:val="22"/>
          <w:szCs w:val="22"/>
        </w:rPr>
        <w:t xml:space="preserve"> </w:t>
      </w:r>
      <w:r>
        <w:rPr>
          <w:rFonts w:ascii="Arial" w:hAnsi="Arial" w:cs="Arial"/>
          <w:b/>
          <w:sz w:val="22"/>
          <w:szCs w:val="22"/>
        </w:rPr>
        <w:t>10.25</w:t>
      </w:r>
      <w:r w:rsidRPr="000160CA">
        <w:rPr>
          <w:rFonts w:ascii="Arial" w:hAnsi="Arial" w:cs="Arial"/>
          <w:b/>
          <w:sz w:val="22"/>
          <w:szCs w:val="22"/>
        </w:rPr>
        <w:t xml:space="preserve"> </w:t>
      </w:r>
      <w:r w:rsidRPr="000160CA">
        <w:rPr>
          <w:rFonts w:ascii="Arial" w:hAnsi="Arial" w:cs="Arial"/>
          <w:b/>
          <w:sz w:val="22"/>
          <w:szCs w:val="22"/>
          <w:u w:val="single"/>
        </w:rPr>
        <w:t>(REV. COP12)</w:t>
      </w:r>
    </w:p>
    <w:p w:rsidR="004D6D3B" w:rsidRDefault="004D6D3B" w:rsidP="004D6D3B">
      <w:pPr>
        <w:jc w:val="both"/>
        <w:rPr>
          <w:rFonts w:ascii="Arial" w:hAnsi="Arial" w:cs="Arial"/>
          <w:b/>
          <w:sz w:val="22"/>
          <w:szCs w:val="22"/>
        </w:rPr>
      </w:pPr>
    </w:p>
    <w:p w:rsidR="004D6D3B" w:rsidRPr="003904EB" w:rsidRDefault="004D6D3B" w:rsidP="004D6D3B">
      <w:pPr>
        <w:jc w:val="both"/>
        <w:rPr>
          <w:rFonts w:ascii="Arial" w:hAnsi="Arial" w:cs="Arial"/>
          <w:b/>
          <w:bCs/>
          <w:caps/>
          <w:sz w:val="22"/>
          <w:szCs w:val="22"/>
          <w:lang w:val="es-ES"/>
        </w:rPr>
      </w:pPr>
      <w:r w:rsidRPr="003904EB">
        <w:rPr>
          <w:rFonts w:ascii="Arial" w:hAnsi="Arial" w:cs="Arial"/>
          <w:b/>
          <w:bCs/>
          <w:caps/>
          <w:sz w:val="22"/>
          <w:szCs w:val="22"/>
          <w:lang w:val="es-ES"/>
        </w:rPr>
        <w:t>MEJORA DE LA IMPLICACIÓN CON EL FONDO PARA EL MEDIO AMBIENTE MUNDIAL</w:t>
      </w:r>
    </w:p>
    <w:p w:rsidR="00E365CF" w:rsidRPr="003904EB" w:rsidRDefault="00E365CF" w:rsidP="002C3D0A">
      <w:pPr>
        <w:widowControl/>
        <w:jc w:val="both"/>
        <w:rPr>
          <w:rFonts w:ascii="Arial" w:hAnsi="Arial" w:cs="Arial"/>
          <w:i/>
          <w:iCs/>
          <w:sz w:val="22"/>
          <w:szCs w:val="22"/>
          <w:lang w:val="es-ES"/>
        </w:rPr>
      </w:pPr>
    </w:p>
    <w:p w:rsidR="000947CE" w:rsidRPr="003904EB" w:rsidRDefault="000947CE" w:rsidP="002C3D0A">
      <w:pPr>
        <w:widowControl/>
        <w:autoSpaceDE/>
        <w:autoSpaceDN/>
        <w:adjustRightInd/>
        <w:jc w:val="both"/>
        <w:rPr>
          <w:rStyle w:val="QuickFormat1"/>
          <w:rFonts w:ascii="Arial" w:hAnsi="Arial" w:cs="Arial"/>
          <w:sz w:val="22"/>
          <w:szCs w:val="22"/>
          <w:lang w:val="es-ES"/>
        </w:rPr>
      </w:pPr>
      <w:r w:rsidRPr="003904EB">
        <w:rPr>
          <w:rFonts w:ascii="Arial" w:hAnsi="Arial" w:cs="Arial"/>
          <w:i/>
          <w:iCs/>
          <w:sz w:val="22"/>
          <w:szCs w:val="22"/>
          <w:lang w:val="es-ES"/>
        </w:rPr>
        <w:t xml:space="preserve">Consciente </w:t>
      </w:r>
      <w:r w:rsidRPr="003904EB">
        <w:rPr>
          <w:rFonts w:ascii="Arial" w:hAnsi="Arial" w:cs="Arial"/>
          <w:sz w:val="22"/>
          <w:szCs w:val="22"/>
          <w:lang w:val="es-ES"/>
        </w:rPr>
        <w:t>del papel fundamental que desempeñan las especies migratorias en la prestación de servicios de los ecosistemas para el bienestar humano, y la necesidad de coordinar la respuesta internacional a las presiones transfronterizas que amenazan su supervivencia; </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Tomando nota </w:t>
      </w:r>
      <w:r w:rsidRPr="003904EB">
        <w:rPr>
          <w:rFonts w:ascii="Arial" w:hAnsi="Arial" w:cs="Arial"/>
          <w:sz w:val="22"/>
          <w:szCs w:val="22"/>
          <w:lang w:val="es-ES"/>
        </w:rPr>
        <w:t>de que la versión actualizada del Plan Estratégico de la CMS para el periodo 2006-2014 (PNUMA/CMS/Conf.10.22) identifica la futura financiación de los programas de la Convención y la necesidad de diversificar las fuentes de ingresos como principales retos para los próximos tres años, y que los recursos disponibles para pequeñas subvenciones de la CMS han disminuido considerablemente; </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Consciente </w:t>
      </w:r>
      <w:r w:rsidRPr="003904EB">
        <w:rPr>
          <w:rFonts w:ascii="Arial" w:hAnsi="Arial" w:cs="Arial"/>
          <w:sz w:val="22"/>
          <w:szCs w:val="22"/>
          <w:lang w:val="es-ES"/>
        </w:rPr>
        <w:t>de que estas limitaciones de recursos tienen un efecto de restricción proporcionalmente mayor en los países en desarrollo, mientras que al mismo tiempo, estos países son sede de parte de la biodiversidad más rica y más vulnerable del mundo, incluidas las especies migratorias;</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Recordando </w:t>
      </w:r>
      <w:r w:rsidRPr="003904EB">
        <w:rPr>
          <w:rFonts w:ascii="Arial" w:hAnsi="Arial" w:cs="Arial"/>
          <w:sz w:val="22"/>
          <w:szCs w:val="22"/>
          <w:lang w:val="es-ES"/>
        </w:rPr>
        <w:t>que la Conferencia de las Partes del Convenio sobre la Diversidad Biológica en sus decisiones VI/20 y X/20 ha reconocido la CMS como su socio principal en la conservación y uso sostenible de especies migratorias, que ha sido acordado un Programa de trabajo conjunto entre las dos Convenciones, y que la conservación basada en las especies en un elemento importante de las metas globales de Aichi para la biodiversidad, incluyendo la Meta 12, que tiene por objeto la prevención para el año 2020 de la extinción de especies amenazadas conocidas y la mejora y el mantenimiento de su estado de conservación;</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Preocupada </w:t>
      </w:r>
      <w:r w:rsidRPr="003904EB">
        <w:rPr>
          <w:rFonts w:ascii="Arial" w:hAnsi="Arial" w:cs="Arial"/>
          <w:sz w:val="22"/>
          <w:szCs w:val="22"/>
          <w:lang w:val="es-ES"/>
        </w:rPr>
        <w:t>porque no ha sido fácil para las actuales estructuras, estrategias, programas, procedimientos y asignaciones de fondos del Fondo para el Medio Ambiente Mundial (FMAM) proporcionar apoyo a los proyectos y programas dirigidos a la conservación y uso sostenible de especies migratorias, tanto por el énfasis estratégico de las decisiones tomadas dentro del Fondo, en general, y porque el Fondo hasta ahora no ha sido designado como un mecanismo financiero para la CMS </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Acogiendo con beneplácito </w:t>
      </w:r>
      <w:r w:rsidRPr="003904EB">
        <w:rPr>
          <w:rFonts w:ascii="Arial" w:hAnsi="Arial" w:cs="Arial"/>
          <w:sz w:val="22"/>
          <w:szCs w:val="22"/>
          <w:lang w:val="es-ES"/>
        </w:rPr>
        <w:t>la decisión del 41º Consejo del FMAM de solicitar a la Secretaría del FMAM organizar una reunión de convenciones relacionadas con biodiversidad con la Secretaría del Convenio sobre la Biodiversidad para facilitar la coordinación de sus prioridades para su inclusión en la estrategia de programación FMAM-6; </w:t>
      </w:r>
    </w:p>
    <w:p w:rsidR="004D6D3B" w:rsidRPr="003904EB" w:rsidRDefault="004D6D3B" w:rsidP="002C3D0A">
      <w:pPr>
        <w:widowControl/>
        <w:autoSpaceDE/>
        <w:autoSpaceDN/>
        <w:adjustRightInd/>
        <w:jc w:val="both"/>
        <w:rPr>
          <w:rFonts w:ascii="Arial" w:hAnsi="Arial" w:cs="Arial"/>
          <w:i/>
          <w:iCs/>
          <w:sz w:val="22"/>
          <w:szCs w:val="22"/>
          <w:lang w:val="es-ES"/>
        </w:rPr>
      </w:pPr>
    </w:p>
    <w:p w:rsidR="000947CE" w:rsidRPr="003904EB" w:rsidRDefault="000947CE" w:rsidP="002C3D0A">
      <w:pPr>
        <w:widowControl/>
        <w:autoSpaceDE/>
        <w:autoSpaceDN/>
        <w:adjustRightInd/>
        <w:jc w:val="both"/>
        <w:rPr>
          <w:rFonts w:ascii="Arial" w:hAnsi="Arial" w:cs="Arial"/>
          <w:sz w:val="22"/>
          <w:szCs w:val="22"/>
          <w:lang w:val="es-ES"/>
        </w:rPr>
      </w:pPr>
      <w:r w:rsidRPr="003904EB">
        <w:rPr>
          <w:rFonts w:ascii="Arial" w:hAnsi="Arial" w:cs="Arial"/>
          <w:i/>
          <w:iCs/>
          <w:sz w:val="22"/>
          <w:szCs w:val="22"/>
          <w:lang w:val="es-ES"/>
        </w:rPr>
        <w:t xml:space="preserve">Teniendo en cuenta </w:t>
      </w:r>
      <w:r w:rsidRPr="003904EB">
        <w:rPr>
          <w:rFonts w:ascii="Arial" w:hAnsi="Arial" w:cs="Arial"/>
          <w:sz w:val="22"/>
          <w:szCs w:val="22"/>
          <w:lang w:val="es-ES"/>
        </w:rPr>
        <w:t>la revisión del compromiso pasado y potencialmente futuro con el FMAM presentado a la Conferencia de las Partes por la Secretaría en el documento PNUMA/CMS/Conf.10.41; </w:t>
      </w:r>
    </w:p>
    <w:p w:rsidR="004D6D3B" w:rsidRDefault="004D6D3B" w:rsidP="002C3D0A">
      <w:pPr>
        <w:jc w:val="center"/>
        <w:rPr>
          <w:rFonts w:ascii="Arial" w:hAnsi="Arial" w:cs="Arial"/>
          <w:bCs/>
          <w:i/>
          <w:iCs/>
          <w:sz w:val="22"/>
          <w:szCs w:val="22"/>
          <w:lang w:val="es-ES"/>
        </w:rPr>
      </w:pPr>
    </w:p>
    <w:p w:rsidR="000947CE" w:rsidRDefault="000947CE" w:rsidP="002C3D0A">
      <w:pPr>
        <w:jc w:val="center"/>
        <w:rPr>
          <w:rFonts w:ascii="Arial" w:hAnsi="Arial" w:cs="Arial"/>
          <w:bCs/>
          <w:i/>
          <w:iCs/>
          <w:sz w:val="22"/>
          <w:szCs w:val="22"/>
          <w:lang w:val="es-ES"/>
        </w:rPr>
      </w:pPr>
      <w:r w:rsidRPr="00AB6E86">
        <w:rPr>
          <w:rFonts w:ascii="Arial" w:hAnsi="Arial" w:cs="Arial"/>
          <w:bCs/>
          <w:i/>
          <w:iCs/>
          <w:sz w:val="22"/>
          <w:szCs w:val="22"/>
          <w:lang w:val="es-ES"/>
        </w:rPr>
        <w:t>La Conferencia de las Partes de la</w:t>
      </w:r>
      <w:r w:rsidRPr="00AB6E86">
        <w:rPr>
          <w:rFonts w:ascii="Arial" w:hAnsi="Arial" w:cs="Arial"/>
          <w:bCs/>
          <w:sz w:val="22"/>
          <w:szCs w:val="22"/>
          <w:lang w:val="es-ES"/>
        </w:rPr>
        <w:t xml:space="preserve"> </w:t>
      </w:r>
      <w:r w:rsidRPr="00AB6E86">
        <w:rPr>
          <w:rFonts w:ascii="Arial" w:hAnsi="Arial" w:cs="Arial"/>
          <w:bCs/>
          <w:i/>
          <w:iCs/>
          <w:sz w:val="22"/>
          <w:szCs w:val="22"/>
          <w:lang w:val="es-ES"/>
        </w:rPr>
        <w:t>Convención sobre la Conservación de Especies Migratorias de Animales Silvestres</w:t>
      </w:r>
    </w:p>
    <w:p w:rsidR="000947CE" w:rsidRPr="003904EB" w:rsidRDefault="000947CE" w:rsidP="002C3D0A">
      <w:pPr>
        <w:jc w:val="center"/>
        <w:rPr>
          <w:rFonts w:ascii="Arial" w:hAnsi="Arial" w:cs="Arial"/>
          <w:sz w:val="22"/>
          <w:szCs w:val="22"/>
          <w:lang w:val="es-ES"/>
        </w:rPr>
      </w:pPr>
    </w:p>
    <w:p w:rsidR="000947CE" w:rsidRPr="003904EB" w:rsidRDefault="000947CE" w:rsidP="000947CE">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Alienta </w:t>
      </w:r>
      <w:r w:rsidRPr="003904EB">
        <w:rPr>
          <w:rFonts w:ascii="Arial" w:hAnsi="Arial" w:cs="Arial"/>
          <w:sz w:val="22"/>
          <w:szCs w:val="22"/>
          <w:lang w:val="es-ES"/>
        </w:rPr>
        <w:t>a los Puntos Focales de la CMS a buscar oportunidades para mejorar el diálogo a nivel nacional y regional con los Puntos Focales del CBD y del FMAM, con miras a centrar la atención en la priorización y procesos relevantes de toma de decisiones para la financiación del FMAM a nivel nacional y regional, de las necesidades de las especies migratorias y las oportunidades para su conservación y utilización sostenible; </w:t>
      </w:r>
    </w:p>
    <w:p w:rsidR="000947CE" w:rsidRPr="003904EB" w:rsidRDefault="000947CE" w:rsidP="000947CE">
      <w:pPr>
        <w:pStyle w:val="p1"/>
        <w:ind w:left="360"/>
        <w:jc w:val="both"/>
        <w:rPr>
          <w:rFonts w:ascii="Arial" w:hAnsi="Arial" w:cs="Arial"/>
          <w:sz w:val="22"/>
          <w:szCs w:val="22"/>
          <w:lang w:val="es-ES"/>
        </w:rPr>
      </w:pPr>
    </w:p>
    <w:p w:rsidR="000947CE" w:rsidRPr="003904EB" w:rsidRDefault="000947CE" w:rsidP="000947CE">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Alienta además </w:t>
      </w:r>
      <w:r w:rsidRPr="003904EB">
        <w:rPr>
          <w:rFonts w:ascii="Arial" w:hAnsi="Arial" w:cs="Arial"/>
          <w:sz w:val="22"/>
          <w:szCs w:val="22"/>
          <w:lang w:val="es-ES"/>
        </w:rPr>
        <w:t xml:space="preserve">a las Partes interesadas a mejorar la colaboración con los Puntos Focales Nacionales para el CBD y FMAM con el fin de poner en práctica las opciones disponibles </w:t>
      </w:r>
      <w:r w:rsidRPr="003904EB">
        <w:rPr>
          <w:rFonts w:ascii="Arial" w:hAnsi="Arial" w:cs="Arial"/>
          <w:sz w:val="22"/>
          <w:szCs w:val="22"/>
          <w:lang w:val="es-ES"/>
        </w:rPr>
        <w:lastRenderedPageBreak/>
        <w:t>bajo la actual estructura del FMAM, según lo establecido en el documento PNUMA/CMS/Conf.10.41, y en concreto a: </w:t>
      </w:r>
    </w:p>
    <w:p w:rsidR="000947CE" w:rsidRPr="003904EB" w:rsidRDefault="000947CE" w:rsidP="002C3D0A">
      <w:pPr>
        <w:widowControl/>
        <w:autoSpaceDE/>
        <w:autoSpaceDN/>
        <w:adjustRightInd/>
        <w:jc w:val="both"/>
        <w:rPr>
          <w:rFonts w:ascii="Arial" w:hAnsi="Arial" w:cs="Arial"/>
          <w:sz w:val="22"/>
          <w:szCs w:val="22"/>
          <w:lang w:val="es-ES"/>
        </w:rPr>
      </w:pPr>
    </w:p>
    <w:p w:rsidR="000947CE" w:rsidRPr="003904EB" w:rsidRDefault="000947CE" w:rsidP="00C35567">
      <w:pPr>
        <w:pStyle w:val="ListParagraph"/>
        <w:widowControl/>
        <w:numPr>
          <w:ilvl w:val="0"/>
          <w:numId w:val="36"/>
        </w:numPr>
        <w:autoSpaceDE/>
        <w:autoSpaceDN/>
        <w:adjustRightInd/>
        <w:spacing w:after="27"/>
        <w:ind w:left="1440"/>
        <w:jc w:val="both"/>
        <w:rPr>
          <w:rFonts w:ascii="Arial" w:hAnsi="Arial" w:cs="Arial"/>
          <w:sz w:val="22"/>
          <w:szCs w:val="22"/>
          <w:lang w:val="es-ES"/>
        </w:rPr>
      </w:pPr>
      <w:r w:rsidRPr="003904EB">
        <w:rPr>
          <w:rFonts w:ascii="Arial" w:hAnsi="Arial" w:cs="Arial"/>
          <w:sz w:val="22"/>
          <w:szCs w:val="22"/>
          <w:lang w:val="es-ES"/>
        </w:rPr>
        <w:t>desarrollar más proyectos basados en el hábitat bajo las estrategias del FMAM </w:t>
      </w:r>
    </w:p>
    <w:p w:rsidR="000947CE" w:rsidRPr="003904EB" w:rsidRDefault="000947CE" w:rsidP="00C35567">
      <w:pPr>
        <w:pStyle w:val="ListParagraph"/>
        <w:widowControl/>
        <w:numPr>
          <w:ilvl w:val="0"/>
          <w:numId w:val="36"/>
        </w:numPr>
        <w:autoSpaceDE/>
        <w:autoSpaceDN/>
        <w:adjustRightInd/>
        <w:spacing w:after="27"/>
        <w:ind w:left="1440"/>
        <w:jc w:val="both"/>
        <w:rPr>
          <w:rFonts w:ascii="Arial" w:hAnsi="Arial" w:cs="Arial"/>
          <w:sz w:val="22"/>
          <w:szCs w:val="22"/>
          <w:lang w:val="es-ES"/>
        </w:rPr>
      </w:pPr>
      <w:r w:rsidRPr="003904EB">
        <w:rPr>
          <w:rFonts w:ascii="Arial" w:hAnsi="Arial" w:cs="Arial"/>
          <w:sz w:val="22"/>
          <w:szCs w:val="22"/>
          <w:lang w:val="es-ES"/>
        </w:rPr>
        <w:t>desarrollar más proyectos basados en las especies bajo las estrategias del FMAM </w:t>
      </w:r>
    </w:p>
    <w:p w:rsidR="000947CE" w:rsidRPr="003904EB" w:rsidRDefault="000947CE" w:rsidP="00C35567">
      <w:pPr>
        <w:pStyle w:val="ListParagraph"/>
        <w:widowControl/>
        <w:numPr>
          <w:ilvl w:val="0"/>
          <w:numId w:val="36"/>
        </w:numPr>
        <w:autoSpaceDE/>
        <w:autoSpaceDN/>
        <w:adjustRightInd/>
        <w:spacing w:after="27"/>
        <w:ind w:left="1440"/>
        <w:jc w:val="both"/>
        <w:rPr>
          <w:rFonts w:ascii="Arial" w:hAnsi="Arial" w:cs="Arial"/>
          <w:sz w:val="22"/>
          <w:szCs w:val="22"/>
          <w:lang w:val="es-ES"/>
        </w:rPr>
      </w:pPr>
      <w:r w:rsidRPr="003904EB">
        <w:rPr>
          <w:rFonts w:ascii="Arial" w:hAnsi="Arial" w:cs="Arial"/>
          <w:sz w:val="22"/>
          <w:szCs w:val="22"/>
          <w:lang w:val="es-ES"/>
        </w:rPr>
        <w:t>mejorar la colaboración a nivel de Punto Focal Nacional </w:t>
      </w:r>
    </w:p>
    <w:p w:rsidR="000947CE" w:rsidRPr="003904EB" w:rsidRDefault="000947CE" w:rsidP="00C35567">
      <w:pPr>
        <w:pStyle w:val="ListParagraph"/>
        <w:widowControl/>
        <w:numPr>
          <w:ilvl w:val="0"/>
          <w:numId w:val="36"/>
        </w:numPr>
        <w:autoSpaceDE/>
        <w:autoSpaceDN/>
        <w:adjustRightInd/>
        <w:spacing w:after="27"/>
        <w:ind w:left="1440"/>
        <w:jc w:val="both"/>
        <w:rPr>
          <w:rFonts w:ascii="Arial" w:hAnsi="Arial" w:cs="Arial"/>
          <w:sz w:val="22"/>
          <w:szCs w:val="22"/>
          <w:lang w:val="es-ES"/>
        </w:rPr>
      </w:pPr>
      <w:r w:rsidRPr="003904EB">
        <w:rPr>
          <w:rFonts w:ascii="Arial" w:hAnsi="Arial" w:cs="Arial"/>
          <w:sz w:val="22"/>
          <w:szCs w:val="22"/>
          <w:lang w:val="es-ES"/>
        </w:rPr>
        <w:t>integrar los objetivos relevantes en el apoyo a las Estrategias y Planes de Acción Nacionales de Biodiversidad (EPANB); </w:t>
      </w:r>
    </w:p>
    <w:p w:rsidR="000947CE" w:rsidRPr="003904EB" w:rsidRDefault="000947CE" w:rsidP="002C3D0A">
      <w:pPr>
        <w:pStyle w:val="p1"/>
        <w:jc w:val="both"/>
        <w:rPr>
          <w:rFonts w:ascii="Arial" w:hAnsi="Arial" w:cs="Arial"/>
          <w:iCs/>
          <w:sz w:val="22"/>
          <w:szCs w:val="22"/>
          <w:lang w:val="es-ES"/>
        </w:rPr>
      </w:pPr>
    </w:p>
    <w:p w:rsidR="00103129" w:rsidRDefault="000947CE" w:rsidP="00AA3A0A">
      <w:pPr>
        <w:pStyle w:val="p1"/>
        <w:numPr>
          <w:ilvl w:val="0"/>
          <w:numId w:val="35"/>
        </w:numPr>
        <w:ind w:left="360"/>
        <w:jc w:val="both"/>
        <w:rPr>
          <w:rFonts w:ascii="Arial" w:hAnsi="Arial" w:cs="Arial"/>
          <w:sz w:val="22"/>
          <w:szCs w:val="22"/>
          <w:lang w:val="es-ES"/>
        </w:rPr>
      </w:pPr>
      <w:r w:rsidRPr="00103129">
        <w:rPr>
          <w:rFonts w:ascii="Arial" w:hAnsi="Arial" w:cs="Arial"/>
          <w:i/>
          <w:iCs/>
          <w:sz w:val="22"/>
          <w:szCs w:val="22"/>
          <w:lang w:val="es-ES"/>
        </w:rPr>
        <w:t xml:space="preserve">Alienta asimismo </w:t>
      </w:r>
      <w:r w:rsidRPr="00103129">
        <w:rPr>
          <w:rFonts w:ascii="Arial" w:hAnsi="Arial" w:cs="Arial"/>
          <w:sz w:val="22"/>
          <w:szCs w:val="22"/>
          <w:lang w:val="es-ES"/>
        </w:rPr>
        <w:t>a las Partes a incluir prioridades para la implementación de la CMS en sus EPANB, especialmente los proyectos basados en especies y las actividades de creación de capacidad, con el fin de beneficiarse plenamente de la financiación del FMAM disponible para biodiversidad;</w:t>
      </w:r>
    </w:p>
    <w:p w:rsidR="00103129" w:rsidRDefault="00103129" w:rsidP="00103129">
      <w:pPr>
        <w:pStyle w:val="p1"/>
        <w:ind w:left="360"/>
        <w:jc w:val="both"/>
        <w:rPr>
          <w:rFonts w:ascii="Arial" w:hAnsi="Arial" w:cs="Arial"/>
          <w:sz w:val="22"/>
          <w:szCs w:val="22"/>
          <w:lang w:val="es-ES"/>
        </w:rPr>
      </w:pPr>
    </w:p>
    <w:p w:rsidR="000947CE" w:rsidRDefault="00103129" w:rsidP="00AA3A0A">
      <w:pPr>
        <w:pStyle w:val="p1"/>
        <w:numPr>
          <w:ilvl w:val="0"/>
          <w:numId w:val="35"/>
        </w:numPr>
        <w:ind w:left="360"/>
        <w:jc w:val="both"/>
        <w:rPr>
          <w:rFonts w:ascii="Arial" w:hAnsi="Arial" w:cs="Arial"/>
          <w:sz w:val="22"/>
          <w:szCs w:val="22"/>
          <w:lang w:val="es-ES"/>
        </w:rPr>
      </w:pPr>
      <w:r w:rsidRPr="00103129">
        <w:rPr>
          <w:rFonts w:ascii="Arial" w:hAnsi="Arial" w:cs="Arial"/>
          <w:i/>
          <w:sz w:val="22"/>
          <w:szCs w:val="22"/>
          <w:lang w:val="es-ES"/>
        </w:rPr>
        <w:t>Acoge con beneplácito</w:t>
      </w:r>
      <w:r w:rsidRPr="00103129">
        <w:rPr>
          <w:rFonts w:ascii="Arial" w:hAnsi="Arial" w:cs="Arial"/>
          <w:sz w:val="22"/>
          <w:szCs w:val="22"/>
          <w:lang w:val="es-ES"/>
        </w:rPr>
        <w:t xml:space="preserve"> la Decisión XII / 30 de la COP12 del CDB sobre el Fondo para el Medio Ambiente Mundial para mejorar las sinergias programáticas entre los convenios relacionados con la diversidad biológica y pide al Comité Permanente que elabore elementos de asesoramiento al Fondo para el Medio Ambiente Mundial con respecto a la financiación de las prioridades nacionales;</w:t>
      </w:r>
    </w:p>
    <w:p w:rsidR="00103129" w:rsidRDefault="00103129" w:rsidP="00103129">
      <w:pPr>
        <w:pStyle w:val="ListParagraph"/>
        <w:rPr>
          <w:rFonts w:ascii="Arial" w:hAnsi="Arial" w:cs="Arial"/>
          <w:sz w:val="22"/>
          <w:szCs w:val="22"/>
          <w:lang w:val="es-ES"/>
        </w:rPr>
      </w:pPr>
    </w:p>
    <w:p w:rsidR="00103129" w:rsidRDefault="00103129" w:rsidP="00103129">
      <w:pPr>
        <w:pStyle w:val="p1"/>
        <w:numPr>
          <w:ilvl w:val="0"/>
          <w:numId w:val="35"/>
        </w:numPr>
        <w:ind w:left="360"/>
        <w:jc w:val="both"/>
        <w:rPr>
          <w:rFonts w:ascii="Arial" w:hAnsi="Arial" w:cs="Arial"/>
          <w:sz w:val="22"/>
          <w:szCs w:val="22"/>
          <w:lang w:val="es-ES"/>
        </w:rPr>
      </w:pPr>
      <w:r w:rsidRPr="00103129">
        <w:rPr>
          <w:rFonts w:ascii="Arial" w:hAnsi="Arial" w:cs="Arial"/>
          <w:i/>
          <w:sz w:val="22"/>
          <w:szCs w:val="22"/>
          <w:lang w:val="es-ES"/>
        </w:rPr>
        <w:t>Solicita</w:t>
      </w:r>
      <w:r w:rsidRPr="00103129">
        <w:rPr>
          <w:rFonts w:ascii="Arial" w:hAnsi="Arial" w:cs="Arial"/>
          <w:sz w:val="22"/>
          <w:szCs w:val="22"/>
          <w:lang w:val="es-ES"/>
        </w:rPr>
        <w:t xml:space="preserve"> al Secretario Ejecutivo que proporcione los elementos de asesoramiento elaborados por el Comité Permanente a tiempo para ser considerado en las reuniones de la COP13 del CDB para que puedan ser remitidos al Fondo para el Medio Ambiente Mundial a través de la Conferencia de las Partes en el Convenio sobre la Diversidad Biológica</w:t>
      </w:r>
      <w:r>
        <w:rPr>
          <w:rFonts w:ascii="Arial" w:hAnsi="Arial" w:cs="Arial"/>
          <w:sz w:val="22"/>
          <w:szCs w:val="22"/>
          <w:lang w:val="es-ES"/>
        </w:rPr>
        <w:t>.</w:t>
      </w:r>
    </w:p>
    <w:p w:rsidR="00103129" w:rsidRPr="00103129" w:rsidRDefault="00103129" w:rsidP="00103129">
      <w:pPr>
        <w:pStyle w:val="p1"/>
        <w:jc w:val="both"/>
        <w:rPr>
          <w:rFonts w:ascii="Arial" w:hAnsi="Arial" w:cs="Arial"/>
          <w:sz w:val="22"/>
          <w:szCs w:val="22"/>
          <w:lang w:val="es-ES"/>
        </w:rPr>
      </w:pPr>
    </w:p>
    <w:p w:rsidR="000947CE" w:rsidRPr="003904EB" w:rsidRDefault="000947CE" w:rsidP="002C3D0A">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Invita </w:t>
      </w:r>
      <w:r w:rsidRPr="003904EB">
        <w:rPr>
          <w:rFonts w:ascii="Arial" w:hAnsi="Arial" w:cs="Arial"/>
          <w:sz w:val="22"/>
          <w:szCs w:val="22"/>
          <w:lang w:val="es-ES"/>
        </w:rPr>
        <w:t>a la Secretaría del FMAM a participar en el seguimiento de la presente Resolución a través de conversaciones con la Secretaría de la CMS, y por otros medios apropiados, incluida la exploración de todas las oportunidades para mejorar el apoyo del FMAM a los países para actividades relacionadas con la aplicación de la CMS</w:t>
      </w:r>
      <w:r w:rsidRPr="003904EB">
        <w:rPr>
          <w:rFonts w:ascii="Arial" w:hAnsi="Arial" w:cs="Arial"/>
          <w:iCs/>
          <w:spacing w:val="-2"/>
          <w:sz w:val="22"/>
          <w:szCs w:val="22"/>
          <w:lang w:val="es-ES"/>
        </w:rPr>
        <w:t>;</w:t>
      </w:r>
    </w:p>
    <w:p w:rsidR="000947CE" w:rsidRPr="003904EB" w:rsidRDefault="000947CE" w:rsidP="000947CE">
      <w:pPr>
        <w:pStyle w:val="p1"/>
        <w:jc w:val="both"/>
        <w:rPr>
          <w:rFonts w:ascii="Arial" w:hAnsi="Arial" w:cs="Arial"/>
          <w:sz w:val="22"/>
          <w:szCs w:val="22"/>
          <w:lang w:val="es-ES"/>
        </w:rPr>
      </w:pPr>
    </w:p>
    <w:p w:rsidR="000947CE" w:rsidRPr="003904EB" w:rsidRDefault="000947CE" w:rsidP="000947CE">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Solicita </w:t>
      </w:r>
      <w:r w:rsidRPr="003904EB">
        <w:rPr>
          <w:rFonts w:ascii="Arial" w:hAnsi="Arial" w:cs="Arial"/>
          <w:sz w:val="22"/>
          <w:szCs w:val="22"/>
          <w:lang w:val="es-ES"/>
        </w:rPr>
        <w:t>a la Secretaría comprometerse con el FMAM en todos los niveles apropiados a la hora de continuar con la implementación de la presente Resolución; </w:t>
      </w:r>
    </w:p>
    <w:p w:rsidR="000947CE" w:rsidRPr="003904EB" w:rsidRDefault="000947CE" w:rsidP="000947CE">
      <w:pPr>
        <w:pStyle w:val="p1"/>
        <w:jc w:val="both"/>
        <w:rPr>
          <w:rFonts w:ascii="Arial" w:hAnsi="Arial" w:cs="Arial"/>
          <w:sz w:val="22"/>
          <w:szCs w:val="22"/>
          <w:lang w:val="es-ES"/>
        </w:rPr>
      </w:pPr>
    </w:p>
    <w:p w:rsidR="000947CE" w:rsidRPr="003904EB" w:rsidRDefault="000947CE" w:rsidP="002C3D0A">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Pide </w:t>
      </w:r>
      <w:r w:rsidRPr="003904EB">
        <w:rPr>
          <w:rFonts w:ascii="Arial" w:hAnsi="Arial" w:cs="Arial"/>
          <w:sz w:val="22"/>
          <w:szCs w:val="22"/>
          <w:lang w:val="es-ES"/>
        </w:rPr>
        <w:t>al PNUMA proporcionar apoyo y contribuya, según proceda, a la aplicación de la presente Resolución; y </w:t>
      </w:r>
    </w:p>
    <w:p w:rsidR="000947CE" w:rsidRPr="003904EB" w:rsidRDefault="000947CE" w:rsidP="000947CE">
      <w:pPr>
        <w:pStyle w:val="p1"/>
        <w:jc w:val="both"/>
        <w:rPr>
          <w:rFonts w:ascii="Arial" w:hAnsi="Arial" w:cs="Arial"/>
          <w:sz w:val="22"/>
          <w:szCs w:val="22"/>
          <w:lang w:val="es-ES"/>
        </w:rPr>
      </w:pPr>
    </w:p>
    <w:p w:rsidR="000947CE" w:rsidRPr="003904EB" w:rsidRDefault="000947CE" w:rsidP="002C3D0A">
      <w:pPr>
        <w:pStyle w:val="p1"/>
        <w:numPr>
          <w:ilvl w:val="0"/>
          <w:numId w:val="35"/>
        </w:numPr>
        <w:ind w:left="360"/>
        <w:jc w:val="both"/>
        <w:rPr>
          <w:rFonts w:ascii="Arial" w:hAnsi="Arial" w:cs="Arial"/>
          <w:sz w:val="22"/>
          <w:szCs w:val="22"/>
          <w:lang w:val="es-ES"/>
        </w:rPr>
      </w:pPr>
      <w:r w:rsidRPr="003904EB">
        <w:rPr>
          <w:rFonts w:ascii="Arial" w:hAnsi="Arial" w:cs="Arial"/>
          <w:i/>
          <w:iCs/>
          <w:sz w:val="22"/>
          <w:szCs w:val="22"/>
          <w:lang w:val="es-ES"/>
        </w:rPr>
        <w:t xml:space="preserve">Encarga </w:t>
      </w:r>
      <w:r w:rsidRPr="003904EB">
        <w:rPr>
          <w:rFonts w:ascii="Arial" w:hAnsi="Arial" w:cs="Arial"/>
          <w:sz w:val="22"/>
          <w:szCs w:val="22"/>
          <w:lang w:val="es-ES"/>
        </w:rPr>
        <w:t>a la Secretaría que informe sobre los progresos en la aplicación de la presente resolución a las reuniones</w:t>
      </w:r>
      <w:r w:rsidRPr="003904EB">
        <w:rPr>
          <w:rFonts w:ascii="Arial" w:hAnsi="Arial" w:cs="Arial"/>
          <w:i/>
          <w:sz w:val="22"/>
          <w:szCs w:val="22"/>
          <w:lang w:val="es-ES"/>
        </w:rPr>
        <w:t xml:space="preserve"> </w:t>
      </w:r>
      <w:r w:rsidRPr="003904EB">
        <w:rPr>
          <w:rFonts w:ascii="Arial" w:hAnsi="Arial" w:cs="Arial"/>
          <w:sz w:val="22"/>
          <w:szCs w:val="22"/>
          <w:lang w:val="es-ES"/>
        </w:rPr>
        <w:t>del Comité Permanente, y que presente nuevas propuestas de acción para la 11ª reunión de la Conferencia de las Partes. </w:t>
      </w:r>
    </w:p>
    <w:p w:rsidR="00507E51" w:rsidRPr="003904EB" w:rsidRDefault="00507E51" w:rsidP="000947CE">
      <w:pPr>
        <w:tabs>
          <w:tab w:val="left" w:pos="1066"/>
        </w:tabs>
        <w:jc w:val="both"/>
        <w:rPr>
          <w:rFonts w:ascii="Arial" w:hAnsi="Arial" w:cs="Arial"/>
          <w:sz w:val="22"/>
          <w:szCs w:val="22"/>
          <w:lang w:val="es-ES"/>
        </w:rPr>
      </w:pPr>
      <w:bookmarkStart w:id="0" w:name="_GoBack"/>
      <w:bookmarkEnd w:id="0"/>
    </w:p>
    <w:sectPr w:rsidR="00507E51" w:rsidRPr="003904EB"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DA" w:rsidRDefault="009760DA">
      <w:r>
        <w:separator/>
      </w:r>
    </w:p>
  </w:endnote>
  <w:endnote w:type="continuationSeparator" w:id="0">
    <w:p w:rsidR="009760DA" w:rsidRDefault="009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Pr="00922791" w:rsidRDefault="007835A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00964">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Pr="00922791" w:rsidRDefault="007835A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53BD0">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Pr="009C50B7" w:rsidRDefault="009C50B7" w:rsidP="009C50B7">
    <w:pPr>
      <w:pStyle w:val="Footer"/>
      <w:rPr>
        <w:lang w:val="es-ES"/>
      </w:rPr>
    </w:pPr>
    <w:r>
      <w:rPr>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400964">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DA" w:rsidRDefault="009760DA">
      <w:r>
        <w:separator/>
      </w:r>
    </w:p>
  </w:footnote>
  <w:footnote w:type="continuationSeparator" w:id="0">
    <w:p w:rsidR="009760DA" w:rsidRDefault="0097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Pr="00922791" w:rsidRDefault="00E06DC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7835AF"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Pr="00922791" w:rsidRDefault="00E06DC2"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7835AF" w:rsidRPr="00922791">
      <w:rPr>
        <w:rFonts w:ascii="Arial" w:hAnsi="Arial" w:cs="Arial"/>
        <w:b w:val="0"/>
        <w:i/>
        <w:sz w:val="18"/>
        <w:szCs w:val="18"/>
        <w:lang w:val="en-US"/>
      </w:rPr>
      <w:t>/CMS/COP11/Doc.6.1</w:t>
    </w:r>
  </w:p>
  <w:p w:rsidR="007835AF" w:rsidRPr="00354A9C" w:rsidRDefault="007835A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AF" w:rsidRDefault="003904EB" w:rsidP="00894D19">
    <w:pPr>
      <w:pStyle w:val="Header"/>
    </w:pPr>
    <w:r w:rsidRPr="003904EB">
      <w:rPr>
        <w:noProof/>
        <w:szCs w:val="24"/>
        <w:lang w:val="en-US"/>
      </w:rPr>
      <w:drawing>
        <wp:anchor distT="0" distB="0" distL="114300" distR="114300" simplePos="0" relativeHeight="251664384" behindDoc="1" locked="0" layoutInCell="1" allowOverlap="1" wp14:anchorId="1D591EF9" wp14:editId="7F05F4CB">
          <wp:simplePos x="0" y="0"/>
          <wp:positionH relativeFrom="column">
            <wp:posOffset>-148590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5AF">
      <w:rPr>
        <w:noProof/>
        <w:lang w:val="en-US"/>
      </w:rPr>
      <w:drawing>
        <wp:anchor distT="0" distB="0" distL="114300" distR="114300" simplePos="0" relativeHeight="251662336" behindDoc="1" locked="0" layoutInCell="1" allowOverlap="1" wp14:anchorId="5173E64B" wp14:editId="6656A575">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5AF" w:rsidRDefault="00783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B53BD0"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675494">
      <w:rPr>
        <w:rFonts w:ascii="Arial" w:hAnsi="Arial" w:cs="Arial"/>
        <w:b w:val="0"/>
        <w:i/>
        <w:sz w:val="18"/>
        <w:szCs w:val="18"/>
        <w:lang w:val="en-US"/>
      </w:rPr>
      <w:t>1.24</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B53BD0"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1.24</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2C3D0A" w:rsidP="002C3D0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1.24</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400964"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675494">
      <w:rPr>
        <w:rFonts w:ascii="Arial" w:hAnsi="Arial" w:cs="Arial"/>
        <w:b w:val="0"/>
        <w:i/>
        <w:sz w:val="18"/>
        <w:szCs w:val="18"/>
        <w:lang w:val="en-US"/>
      </w:rPr>
      <w:t>1.24</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2</w:t>
    </w:r>
  </w:p>
  <w:p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E06DC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PNUMA</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675494">
      <w:rPr>
        <w:rFonts w:ascii="Arial" w:hAnsi="Arial" w:cs="Arial"/>
        <w:b w:val="0"/>
        <w:i/>
        <w:sz w:val="18"/>
        <w:szCs w:val="18"/>
        <w:lang w:val="en-US"/>
      </w:rPr>
      <w:t>1.24</w:t>
    </w:r>
    <w:r w:rsidR="00E71764">
      <w:rPr>
        <w:rFonts w:ascii="Arial" w:hAnsi="Arial" w:cs="Arial"/>
        <w:b w:val="0"/>
        <w:i/>
        <w:sz w:val="18"/>
        <w:szCs w:val="18"/>
        <w:lang w:val="en-US"/>
      </w:rPr>
      <w:t>/</w:t>
    </w:r>
    <w:r>
      <w:rPr>
        <w:rFonts w:ascii="Arial" w:hAnsi="Arial" w:cs="Arial"/>
        <w:b w:val="0"/>
        <w:i/>
        <w:sz w:val="18"/>
        <w:szCs w:val="18"/>
        <w:lang w:val="en-US"/>
      </w:rPr>
      <w:t>Anexo</w:t>
    </w:r>
    <w:r w:rsidR="00E71764">
      <w:rPr>
        <w:rFonts w:ascii="Arial" w:hAnsi="Arial" w:cs="Arial"/>
        <w:b w:val="0"/>
        <w:i/>
        <w:sz w:val="18"/>
        <w:szCs w:val="18"/>
        <w:lang w:val="en-US"/>
      </w:rPr>
      <w:t xml:space="preserve"> 3</w:t>
    </w:r>
  </w:p>
  <w:p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400964" w:rsidP="00400964">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1.24</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2</w:t>
    </w:r>
  </w:p>
  <w:p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2353BB"/>
    <w:multiLevelType w:val="hybridMultilevel"/>
    <w:tmpl w:val="3F1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016E2"/>
    <w:multiLevelType w:val="hybridMultilevel"/>
    <w:tmpl w:val="BD4492B6"/>
    <w:lvl w:ilvl="0" w:tplc="3572DC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6"/>
  </w:num>
  <w:num w:numId="4">
    <w:abstractNumId w:val="6"/>
  </w:num>
  <w:num w:numId="5">
    <w:abstractNumId w:val="3"/>
  </w:num>
  <w:num w:numId="6">
    <w:abstractNumId w:val="18"/>
  </w:num>
  <w:num w:numId="7">
    <w:abstractNumId w:val="7"/>
  </w:num>
  <w:num w:numId="8">
    <w:abstractNumId w:val="15"/>
  </w:num>
  <w:num w:numId="9">
    <w:abstractNumId w:val="33"/>
  </w:num>
  <w:num w:numId="10">
    <w:abstractNumId w:val="11"/>
  </w:num>
  <w:num w:numId="11">
    <w:abstractNumId w:val="34"/>
  </w:num>
  <w:num w:numId="12">
    <w:abstractNumId w:val="12"/>
  </w:num>
  <w:num w:numId="13">
    <w:abstractNumId w:val="27"/>
  </w:num>
  <w:num w:numId="14">
    <w:abstractNumId w:val="32"/>
  </w:num>
  <w:num w:numId="15">
    <w:abstractNumId w:val="9"/>
  </w:num>
  <w:num w:numId="16">
    <w:abstractNumId w:val="30"/>
  </w:num>
  <w:num w:numId="17">
    <w:abstractNumId w:val="4"/>
  </w:num>
  <w:num w:numId="18">
    <w:abstractNumId w:val="14"/>
  </w:num>
  <w:num w:numId="19">
    <w:abstractNumId w:val="1"/>
  </w:num>
  <w:num w:numId="20">
    <w:abstractNumId w:val="28"/>
  </w:num>
  <w:num w:numId="21">
    <w:abstractNumId w:val="25"/>
  </w:num>
  <w:num w:numId="22">
    <w:abstractNumId w:val="17"/>
  </w:num>
  <w:num w:numId="23">
    <w:abstractNumId w:val="29"/>
  </w:num>
  <w:num w:numId="24">
    <w:abstractNumId w:val="20"/>
  </w:num>
  <w:num w:numId="25">
    <w:abstractNumId w:val="19"/>
  </w:num>
  <w:num w:numId="26">
    <w:abstractNumId w:val="26"/>
  </w:num>
  <w:num w:numId="27">
    <w:abstractNumId w:val="21"/>
  </w:num>
  <w:num w:numId="28">
    <w:abstractNumId w:val="31"/>
  </w:num>
  <w:num w:numId="29">
    <w:abstractNumId w:val="5"/>
  </w:num>
  <w:num w:numId="30">
    <w:abstractNumId w:val="23"/>
  </w:num>
  <w:num w:numId="31">
    <w:abstractNumId w:val="35"/>
  </w:num>
  <w:num w:numId="32">
    <w:abstractNumId w:val="13"/>
  </w:num>
  <w:num w:numId="33">
    <w:abstractNumId w:val="22"/>
  </w:num>
  <w:num w:numId="34">
    <w:abstractNumId w:val="8"/>
  </w:num>
  <w:num w:numId="35">
    <w:abstractNumId w:val="2"/>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47CE"/>
    <w:rsid w:val="00096D44"/>
    <w:rsid w:val="000B0491"/>
    <w:rsid w:val="000B6220"/>
    <w:rsid w:val="000C21B1"/>
    <w:rsid w:val="000C3C87"/>
    <w:rsid w:val="000C7460"/>
    <w:rsid w:val="000E01C1"/>
    <w:rsid w:val="000E1475"/>
    <w:rsid w:val="000F0B93"/>
    <w:rsid w:val="000F1156"/>
    <w:rsid w:val="000F1281"/>
    <w:rsid w:val="000F52BA"/>
    <w:rsid w:val="0010114E"/>
    <w:rsid w:val="00103129"/>
    <w:rsid w:val="001151A3"/>
    <w:rsid w:val="001171CE"/>
    <w:rsid w:val="001245DF"/>
    <w:rsid w:val="00130BFD"/>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A476F"/>
    <w:rsid w:val="001B5BD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91116"/>
    <w:rsid w:val="002917F8"/>
    <w:rsid w:val="00292274"/>
    <w:rsid w:val="00293D04"/>
    <w:rsid w:val="002B04D4"/>
    <w:rsid w:val="002B478D"/>
    <w:rsid w:val="002C187A"/>
    <w:rsid w:val="002C20F1"/>
    <w:rsid w:val="002C3D0A"/>
    <w:rsid w:val="002D1654"/>
    <w:rsid w:val="002D2863"/>
    <w:rsid w:val="002D5EC0"/>
    <w:rsid w:val="002E061B"/>
    <w:rsid w:val="002E3DEA"/>
    <w:rsid w:val="002E7CC2"/>
    <w:rsid w:val="002F6F9B"/>
    <w:rsid w:val="0031688F"/>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4EB"/>
    <w:rsid w:val="003909E4"/>
    <w:rsid w:val="003A3E30"/>
    <w:rsid w:val="003A70FE"/>
    <w:rsid w:val="003B0C35"/>
    <w:rsid w:val="003B219E"/>
    <w:rsid w:val="003C01B6"/>
    <w:rsid w:val="003C59FA"/>
    <w:rsid w:val="003E21B3"/>
    <w:rsid w:val="003E2FBA"/>
    <w:rsid w:val="003F7603"/>
    <w:rsid w:val="00400964"/>
    <w:rsid w:val="0040259C"/>
    <w:rsid w:val="00411E65"/>
    <w:rsid w:val="00416B6F"/>
    <w:rsid w:val="00420040"/>
    <w:rsid w:val="0042146C"/>
    <w:rsid w:val="00423388"/>
    <w:rsid w:val="00426D73"/>
    <w:rsid w:val="00454913"/>
    <w:rsid w:val="00455A86"/>
    <w:rsid w:val="00457441"/>
    <w:rsid w:val="004579F6"/>
    <w:rsid w:val="004656D0"/>
    <w:rsid w:val="00465B53"/>
    <w:rsid w:val="00473ABD"/>
    <w:rsid w:val="0048197A"/>
    <w:rsid w:val="00482DCA"/>
    <w:rsid w:val="00486FE7"/>
    <w:rsid w:val="00487179"/>
    <w:rsid w:val="004A6258"/>
    <w:rsid w:val="004B6CFD"/>
    <w:rsid w:val="004C204D"/>
    <w:rsid w:val="004D0436"/>
    <w:rsid w:val="004D0936"/>
    <w:rsid w:val="004D6D3B"/>
    <w:rsid w:val="004E5AD0"/>
    <w:rsid w:val="004F243D"/>
    <w:rsid w:val="004F3D8D"/>
    <w:rsid w:val="00500714"/>
    <w:rsid w:val="005076F1"/>
    <w:rsid w:val="00507E51"/>
    <w:rsid w:val="00512B91"/>
    <w:rsid w:val="005158EB"/>
    <w:rsid w:val="0052082F"/>
    <w:rsid w:val="005346EB"/>
    <w:rsid w:val="00542FCC"/>
    <w:rsid w:val="0055762E"/>
    <w:rsid w:val="00565445"/>
    <w:rsid w:val="00575334"/>
    <w:rsid w:val="00586F7D"/>
    <w:rsid w:val="0059253F"/>
    <w:rsid w:val="00593736"/>
    <w:rsid w:val="005A1C56"/>
    <w:rsid w:val="005A3181"/>
    <w:rsid w:val="005B0F06"/>
    <w:rsid w:val="005B4579"/>
    <w:rsid w:val="005B6141"/>
    <w:rsid w:val="005B6BD1"/>
    <w:rsid w:val="005C3F15"/>
    <w:rsid w:val="005D1CC9"/>
    <w:rsid w:val="005D25AB"/>
    <w:rsid w:val="005E32BF"/>
    <w:rsid w:val="005E543A"/>
    <w:rsid w:val="005E54C7"/>
    <w:rsid w:val="005F0460"/>
    <w:rsid w:val="005F05CC"/>
    <w:rsid w:val="005F3989"/>
    <w:rsid w:val="005F4303"/>
    <w:rsid w:val="005F72E2"/>
    <w:rsid w:val="00601B52"/>
    <w:rsid w:val="0060280B"/>
    <w:rsid w:val="00604422"/>
    <w:rsid w:val="0060754E"/>
    <w:rsid w:val="00622E71"/>
    <w:rsid w:val="00651341"/>
    <w:rsid w:val="00654213"/>
    <w:rsid w:val="00675494"/>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F90"/>
    <w:rsid w:val="00716AD9"/>
    <w:rsid w:val="00727E01"/>
    <w:rsid w:val="00742F81"/>
    <w:rsid w:val="00743569"/>
    <w:rsid w:val="00752E19"/>
    <w:rsid w:val="00757614"/>
    <w:rsid w:val="00767ECE"/>
    <w:rsid w:val="007728B4"/>
    <w:rsid w:val="00772DAA"/>
    <w:rsid w:val="00774542"/>
    <w:rsid w:val="0077622E"/>
    <w:rsid w:val="00777FE4"/>
    <w:rsid w:val="00780677"/>
    <w:rsid w:val="007816B7"/>
    <w:rsid w:val="007835AF"/>
    <w:rsid w:val="0079075D"/>
    <w:rsid w:val="007910DD"/>
    <w:rsid w:val="007A3FA3"/>
    <w:rsid w:val="007A614F"/>
    <w:rsid w:val="007B646D"/>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641D1"/>
    <w:rsid w:val="00872F67"/>
    <w:rsid w:val="00885B0E"/>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60DA"/>
    <w:rsid w:val="00977008"/>
    <w:rsid w:val="00977AC4"/>
    <w:rsid w:val="00980406"/>
    <w:rsid w:val="009935D6"/>
    <w:rsid w:val="009A2C8F"/>
    <w:rsid w:val="009A7B65"/>
    <w:rsid w:val="009C2B4C"/>
    <w:rsid w:val="009C50B7"/>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6E86"/>
    <w:rsid w:val="00AB7626"/>
    <w:rsid w:val="00AE7B21"/>
    <w:rsid w:val="00AF1980"/>
    <w:rsid w:val="00AF2021"/>
    <w:rsid w:val="00AF2C4E"/>
    <w:rsid w:val="00AF5C36"/>
    <w:rsid w:val="00B471BD"/>
    <w:rsid w:val="00B50C2D"/>
    <w:rsid w:val="00B53BD0"/>
    <w:rsid w:val="00B61E4C"/>
    <w:rsid w:val="00B64904"/>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567"/>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05C6"/>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80EC0"/>
    <w:rsid w:val="00D838FE"/>
    <w:rsid w:val="00D8406F"/>
    <w:rsid w:val="00D859C7"/>
    <w:rsid w:val="00D9021F"/>
    <w:rsid w:val="00DA1080"/>
    <w:rsid w:val="00DA12C2"/>
    <w:rsid w:val="00DB30A6"/>
    <w:rsid w:val="00DB4517"/>
    <w:rsid w:val="00DB7625"/>
    <w:rsid w:val="00DC71B1"/>
    <w:rsid w:val="00DD6A9E"/>
    <w:rsid w:val="00E06DC2"/>
    <w:rsid w:val="00E213C6"/>
    <w:rsid w:val="00E23367"/>
    <w:rsid w:val="00E25D0C"/>
    <w:rsid w:val="00E31B92"/>
    <w:rsid w:val="00E365CF"/>
    <w:rsid w:val="00E42A79"/>
    <w:rsid w:val="00E475D4"/>
    <w:rsid w:val="00E71764"/>
    <w:rsid w:val="00E74D1C"/>
    <w:rsid w:val="00E8776E"/>
    <w:rsid w:val="00E912C2"/>
    <w:rsid w:val="00E9237A"/>
    <w:rsid w:val="00EA0B88"/>
    <w:rsid w:val="00EB2285"/>
    <w:rsid w:val="00EC4294"/>
    <w:rsid w:val="00EC681E"/>
    <w:rsid w:val="00ED02D3"/>
    <w:rsid w:val="00ED5E31"/>
    <w:rsid w:val="00EE64C1"/>
    <w:rsid w:val="00F05AA0"/>
    <w:rsid w:val="00F061CB"/>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7266BEE5"/>
  <w15:chartTrackingRefBased/>
  <w15:docId w15:val="{FF3D7BCC-9842-4267-A9C6-3517EECB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paragraph" w:customStyle="1" w:styleId="p2">
    <w:name w:val="p2"/>
    <w:basedOn w:val="Normal"/>
    <w:rsid w:val="007835AF"/>
    <w:pPr>
      <w:widowControl/>
      <w:autoSpaceDE/>
      <w:autoSpaceDN/>
      <w:adjustRightInd/>
    </w:pPr>
    <w:rPr>
      <w:sz w:val="17"/>
      <w:szCs w:val="17"/>
    </w:rPr>
  </w:style>
  <w:style w:type="character" w:customStyle="1" w:styleId="apple-converted-space">
    <w:name w:val="apple-converted-space"/>
    <w:basedOn w:val="DefaultParagraphFont"/>
    <w:rsid w:val="0078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597">
      <w:bodyDiv w:val="1"/>
      <w:marLeft w:val="0"/>
      <w:marRight w:val="0"/>
      <w:marTop w:val="0"/>
      <w:marBottom w:val="0"/>
      <w:divBdr>
        <w:top w:val="none" w:sz="0" w:space="0" w:color="auto"/>
        <w:left w:val="none" w:sz="0" w:space="0" w:color="auto"/>
        <w:bottom w:val="none" w:sz="0" w:space="0" w:color="auto"/>
        <w:right w:val="none" w:sz="0" w:space="0" w:color="auto"/>
      </w:divBdr>
    </w:div>
    <w:div w:id="40323588">
      <w:bodyDiv w:val="1"/>
      <w:marLeft w:val="0"/>
      <w:marRight w:val="0"/>
      <w:marTop w:val="0"/>
      <w:marBottom w:val="0"/>
      <w:divBdr>
        <w:top w:val="none" w:sz="0" w:space="0" w:color="auto"/>
        <w:left w:val="none" w:sz="0" w:space="0" w:color="auto"/>
        <w:bottom w:val="none" w:sz="0" w:space="0" w:color="auto"/>
        <w:right w:val="none" w:sz="0" w:space="0" w:color="auto"/>
      </w:divBdr>
    </w:div>
    <w:div w:id="78067392">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6297376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865024543">
      <w:bodyDiv w:val="1"/>
      <w:marLeft w:val="0"/>
      <w:marRight w:val="0"/>
      <w:marTop w:val="0"/>
      <w:marBottom w:val="0"/>
      <w:divBdr>
        <w:top w:val="none" w:sz="0" w:space="0" w:color="auto"/>
        <w:left w:val="none" w:sz="0" w:space="0" w:color="auto"/>
        <w:bottom w:val="none" w:sz="0" w:space="0" w:color="auto"/>
        <w:right w:val="none" w:sz="0" w:space="0" w:color="auto"/>
      </w:divBdr>
    </w:div>
    <w:div w:id="871576937">
      <w:bodyDiv w:val="1"/>
      <w:marLeft w:val="0"/>
      <w:marRight w:val="0"/>
      <w:marTop w:val="0"/>
      <w:marBottom w:val="0"/>
      <w:divBdr>
        <w:top w:val="none" w:sz="0" w:space="0" w:color="auto"/>
        <w:left w:val="none" w:sz="0" w:space="0" w:color="auto"/>
        <w:bottom w:val="none" w:sz="0" w:space="0" w:color="auto"/>
        <w:right w:val="none" w:sz="0" w:space="0" w:color="auto"/>
      </w:divBdr>
    </w:div>
    <w:div w:id="110599622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59602887">
      <w:bodyDiv w:val="1"/>
      <w:marLeft w:val="0"/>
      <w:marRight w:val="0"/>
      <w:marTop w:val="0"/>
      <w:marBottom w:val="0"/>
      <w:divBdr>
        <w:top w:val="none" w:sz="0" w:space="0" w:color="auto"/>
        <w:left w:val="none" w:sz="0" w:space="0" w:color="auto"/>
        <w:bottom w:val="none" w:sz="0" w:space="0" w:color="auto"/>
        <w:right w:val="none" w:sz="0" w:space="0" w:color="auto"/>
      </w:divBdr>
    </w:div>
    <w:div w:id="1286036571">
      <w:bodyDiv w:val="1"/>
      <w:marLeft w:val="0"/>
      <w:marRight w:val="0"/>
      <w:marTop w:val="0"/>
      <w:marBottom w:val="0"/>
      <w:divBdr>
        <w:top w:val="none" w:sz="0" w:space="0" w:color="auto"/>
        <w:left w:val="none" w:sz="0" w:space="0" w:color="auto"/>
        <w:bottom w:val="none" w:sz="0" w:space="0" w:color="auto"/>
        <w:right w:val="none" w:sz="0" w:space="0" w:color="auto"/>
      </w:divBdr>
    </w:div>
    <w:div w:id="1419324854">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64774008">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1051581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43486307">
      <w:bodyDiv w:val="1"/>
      <w:marLeft w:val="0"/>
      <w:marRight w:val="0"/>
      <w:marTop w:val="0"/>
      <w:marBottom w:val="0"/>
      <w:divBdr>
        <w:top w:val="none" w:sz="0" w:space="0" w:color="auto"/>
        <w:left w:val="none" w:sz="0" w:space="0" w:color="auto"/>
        <w:bottom w:val="none" w:sz="0" w:space="0" w:color="auto"/>
        <w:right w:val="none" w:sz="0" w:space="0" w:color="auto"/>
      </w:divBdr>
    </w:div>
    <w:div w:id="1970085274">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117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2E119-2AEC-4AA6-AB48-3D6C1153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50</TotalTime>
  <Pages>6</Pages>
  <Words>1989</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dc:description/>
  <cp:lastModifiedBy>Ximena Cancino</cp:lastModifiedBy>
  <cp:revision>2</cp:revision>
  <cp:lastPrinted>2017-07-13T08:57:00Z</cp:lastPrinted>
  <dcterms:created xsi:type="dcterms:W3CDTF">2017-04-08T18:01:00Z</dcterms:created>
  <dcterms:modified xsi:type="dcterms:W3CDTF">2017-07-13T08:58:00Z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