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B2" w:rsidRPr="00682B31" w:rsidRDefault="007459B2" w:rsidP="00682B31">
      <w:pPr>
        <w:tabs>
          <w:tab w:val="left" w:pos="-1057"/>
          <w:tab w:val="left" w:pos="-720"/>
        </w:tabs>
        <w:ind w:left="-90"/>
        <w:rPr>
          <w:rFonts w:cs="Arial"/>
          <w:spacing w:val="-8"/>
          <w:sz w:val="12"/>
          <w:szCs w:val="12"/>
        </w:rPr>
      </w:pPr>
    </w:p>
    <w:p w:rsidR="007459B2" w:rsidRPr="00420040" w:rsidRDefault="007459B2" w:rsidP="009E72D7">
      <w:pPr>
        <w:tabs>
          <w:tab w:val="left" w:pos="-1057"/>
          <w:tab w:val="left" w:pos="-720"/>
        </w:tabs>
        <w:rPr>
          <w:rFonts w:cs="Arial"/>
          <w:sz w:val="22"/>
          <w:szCs w:val="22"/>
        </w:rPr>
      </w:pPr>
      <w:r>
        <w:rPr>
          <w:sz w:val="22"/>
        </w:rPr>
        <w:t>12ª REUNIÓN DE LA CONFERENCIA DE LAS PARTES</w:t>
      </w:r>
    </w:p>
    <w:p w:rsidR="007459B2" w:rsidRPr="00420040" w:rsidRDefault="00A2540A" w:rsidP="009E72D7">
      <w:pPr>
        <w:pStyle w:val="Heading2"/>
        <w:keepNext w:val="0"/>
        <w:spacing w:line="228" w:lineRule="auto"/>
        <w:rPr>
          <w:rFonts w:cs="Arial"/>
          <w:b w:val="0"/>
          <w:bCs w:val="0"/>
          <w:sz w:val="22"/>
          <w:szCs w:val="22"/>
        </w:rPr>
      </w:pPr>
      <w:r>
        <w:rPr>
          <w:b w:val="0"/>
          <w:sz w:val="22"/>
        </w:rPr>
        <w:t>Manila, Filipinas</w:t>
      </w:r>
      <w:r w:rsidR="007459B2">
        <w:rPr>
          <w:b w:val="0"/>
          <w:sz w:val="22"/>
        </w:rPr>
        <w:t>, 23 - 28 de octubre de 2017</w:t>
      </w:r>
    </w:p>
    <w:p w:rsidR="007459B2" w:rsidRPr="00420040" w:rsidRDefault="007459B2" w:rsidP="009E72D7">
      <w:pPr>
        <w:spacing w:line="228" w:lineRule="auto"/>
        <w:rPr>
          <w:rFonts w:cs="Arial"/>
          <w:iCs/>
          <w:sz w:val="22"/>
          <w:szCs w:val="22"/>
        </w:rPr>
      </w:pPr>
      <w:r>
        <w:rPr>
          <w:sz w:val="22"/>
        </w:rPr>
        <w:t>Punto 14.2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7459B2"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7459B2" w:rsidRPr="00FA61AF" w:rsidRDefault="007459B2" w:rsidP="00EB2285">
            <w:pPr>
              <w:tabs>
                <w:tab w:val="left" w:pos="-1057"/>
                <w:tab w:val="left" w:pos="-720"/>
                <w:tab w:val="left" w:pos="0"/>
                <w:tab w:val="left" w:pos="141"/>
                <w:tab w:val="left" w:pos="720"/>
                <w:tab w:val="left" w:pos="1155"/>
                <w:tab w:val="right" w:pos="9072"/>
                <w:tab w:val="right" w:pos="9432"/>
              </w:tabs>
              <w:rPr>
                <w:rFonts w:cs="Arial"/>
                <w:sz w:val="22"/>
              </w:rPr>
            </w:pPr>
            <w:r>
              <w:tab/>
            </w:r>
            <w:r>
              <w:tab/>
            </w:r>
            <w:r>
              <w:tab/>
            </w:r>
            <w:r>
              <w:tab/>
            </w:r>
            <w:r>
              <w:rPr>
                <w:b/>
                <w:sz w:val="28"/>
              </w:rPr>
              <w:t>CMS</w:t>
            </w:r>
          </w:p>
          <w:p w:rsidR="007459B2" w:rsidRPr="002F6F9B" w:rsidRDefault="007459B2" w:rsidP="00972D36">
            <w:pPr>
              <w:tabs>
                <w:tab w:val="left" w:pos="-1057"/>
                <w:tab w:val="left" w:pos="-720"/>
                <w:tab w:val="left" w:pos="0"/>
                <w:tab w:val="left" w:pos="141"/>
                <w:tab w:val="left" w:pos="720"/>
                <w:tab w:val="right" w:pos="9072"/>
              </w:tabs>
              <w:rPr>
                <w:rFonts w:cs="Arial"/>
                <w:sz w:val="22"/>
              </w:rPr>
            </w:pPr>
          </w:p>
        </w:tc>
      </w:tr>
      <w:tr w:rsidR="007459B2"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7459B2" w:rsidRPr="00682B31" w:rsidRDefault="00A73A58">
            <w:pPr>
              <w:rPr>
                <w:rFonts w:cs="Arial"/>
                <w:sz w:val="22"/>
              </w:rPr>
            </w:pPr>
            <w:r>
              <w:rPr>
                <w:rFonts w:cs="Arial"/>
                <w:noProof/>
                <w:sz w:val="22"/>
                <w:lang w:val="en-US" w:eastAsia="en-US"/>
              </w:rPr>
              <w:drawing>
                <wp:inline distT="0" distB="0" distL="0" distR="0">
                  <wp:extent cx="7429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1" t="-740" r="-2531" b="-740"/>
                          <a:stretch>
                            <a:fillRect/>
                          </a:stretch>
                        </pic:blipFill>
                        <pic:spPr bwMode="auto">
                          <a:xfrm>
                            <a:off x="0" y="0"/>
                            <a:ext cx="742950" cy="771525"/>
                          </a:xfrm>
                          <a:prstGeom prst="rect">
                            <a:avLst/>
                          </a:prstGeom>
                          <a:noFill/>
                          <a:ln>
                            <a:noFill/>
                          </a:ln>
                        </pic:spPr>
                      </pic:pic>
                    </a:graphicData>
                  </a:graphic>
                </wp:inline>
              </w:drawing>
            </w:r>
          </w:p>
          <w:p w:rsidR="007459B2" w:rsidRPr="00682B31" w:rsidRDefault="007459B2">
            <w:pPr>
              <w:rPr>
                <w:rFonts w:cs="Arial"/>
                <w:sz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7459B2" w:rsidRPr="00682B31" w:rsidRDefault="007459B2"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7459B2" w:rsidRPr="00972D36" w:rsidRDefault="007459B2"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sz w:val="32"/>
              </w:rPr>
              <w:t>CONVENCIÓN SOBRE</w:t>
            </w:r>
          </w:p>
          <w:p w:rsidR="007459B2" w:rsidRPr="00972D36" w:rsidRDefault="007459B2"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sz w:val="32"/>
              </w:rPr>
              <w:t>LAS ESPECIES</w:t>
            </w:r>
          </w:p>
          <w:p w:rsidR="007459B2" w:rsidRPr="00682B31" w:rsidRDefault="007459B2"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rPr>
            </w:pPr>
            <w:r>
              <w:rPr>
                <w:sz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7459B2" w:rsidRPr="00682B31" w:rsidRDefault="007459B2" w:rsidP="000C21B1">
            <w:pPr>
              <w:tabs>
                <w:tab w:val="left" w:pos="5040"/>
                <w:tab w:val="left" w:pos="5760"/>
                <w:tab w:val="left" w:pos="6008"/>
                <w:tab w:val="left" w:pos="6480"/>
                <w:tab w:val="left" w:pos="7200"/>
                <w:tab w:val="left" w:pos="7920"/>
                <w:tab w:val="left" w:pos="8640"/>
              </w:tabs>
              <w:rPr>
                <w:rFonts w:cs="Arial"/>
                <w:sz w:val="12"/>
                <w:szCs w:val="12"/>
              </w:rPr>
            </w:pPr>
          </w:p>
          <w:p w:rsidR="007459B2" w:rsidRPr="00420040" w:rsidRDefault="007459B2" w:rsidP="000C21B1">
            <w:pPr>
              <w:tabs>
                <w:tab w:val="left" w:pos="5040"/>
                <w:tab w:val="left" w:pos="5760"/>
                <w:tab w:val="left" w:pos="6008"/>
                <w:tab w:val="left" w:pos="6480"/>
                <w:tab w:val="left" w:pos="7200"/>
                <w:tab w:val="left" w:pos="7920"/>
                <w:tab w:val="left" w:pos="8640"/>
              </w:tabs>
              <w:rPr>
                <w:rFonts w:cs="Arial"/>
                <w:sz w:val="22"/>
              </w:rPr>
            </w:pPr>
            <w:r>
              <w:rPr>
                <w:sz w:val="22"/>
              </w:rPr>
              <w:t>Distribución: General</w:t>
            </w:r>
          </w:p>
          <w:p w:rsidR="007459B2" w:rsidRPr="00420040" w:rsidRDefault="007459B2"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rPr>
            </w:pPr>
          </w:p>
          <w:p w:rsidR="007459B2" w:rsidRPr="00420040" w:rsidRDefault="007459B2" w:rsidP="000C21B1">
            <w:pPr>
              <w:tabs>
                <w:tab w:val="left" w:pos="5040"/>
                <w:tab w:val="left" w:pos="5760"/>
                <w:tab w:val="left" w:pos="6008"/>
                <w:tab w:val="left" w:pos="6480"/>
                <w:tab w:val="left" w:pos="7200"/>
                <w:tab w:val="left" w:pos="7920"/>
                <w:tab w:val="left" w:pos="8640"/>
              </w:tabs>
              <w:rPr>
                <w:rFonts w:cs="Arial"/>
                <w:sz w:val="22"/>
              </w:rPr>
            </w:pPr>
            <w:r>
              <w:rPr>
                <w:sz w:val="22"/>
              </w:rPr>
              <w:t>UNEP/CMS/COP12/Doc.14.2</w:t>
            </w:r>
          </w:p>
          <w:p w:rsidR="007459B2" w:rsidRPr="00420040" w:rsidRDefault="007459B2" w:rsidP="000C21B1">
            <w:pPr>
              <w:tabs>
                <w:tab w:val="left" w:pos="5040"/>
                <w:tab w:val="left" w:pos="5760"/>
                <w:tab w:val="left" w:pos="6008"/>
                <w:tab w:val="left" w:pos="6480"/>
                <w:tab w:val="left" w:pos="7200"/>
                <w:tab w:val="left" w:pos="7920"/>
                <w:tab w:val="left" w:pos="8640"/>
              </w:tabs>
              <w:rPr>
                <w:rFonts w:cs="Arial"/>
                <w:sz w:val="22"/>
              </w:rPr>
            </w:pPr>
            <w:r>
              <w:rPr>
                <w:sz w:val="22"/>
              </w:rPr>
              <w:t>24 de julio de 2017</w:t>
            </w:r>
          </w:p>
          <w:p w:rsidR="007459B2" w:rsidRPr="00420040" w:rsidRDefault="007459B2" w:rsidP="000C21B1">
            <w:pPr>
              <w:rPr>
                <w:rFonts w:cs="Arial"/>
                <w:sz w:val="12"/>
                <w:szCs w:val="12"/>
              </w:rPr>
            </w:pPr>
          </w:p>
          <w:p w:rsidR="007459B2" w:rsidRPr="000E4A8D" w:rsidRDefault="007459B2" w:rsidP="000C21B1">
            <w:pPr>
              <w:rPr>
                <w:sz w:val="22"/>
                <w:lang w:val="es-ES_tradnl"/>
              </w:rPr>
            </w:pPr>
            <w:proofErr w:type="spellStart"/>
            <w:r>
              <w:rPr>
                <w:sz w:val="22"/>
              </w:rPr>
              <w:t>Espa</w:t>
            </w:r>
            <w:r>
              <w:rPr>
                <w:sz w:val="22"/>
                <w:lang w:val="es-ES_tradnl"/>
              </w:rPr>
              <w:t>ñol</w:t>
            </w:r>
            <w:proofErr w:type="spellEnd"/>
          </w:p>
          <w:p w:rsidR="007459B2" w:rsidRPr="00420040" w:rsidRDefault="007459B2" w:rsidP="000C21B1">
            <w:pPr>
              <w:rPr>
                <w:rFonts w:cs="Arial"/>
                <w:sz w:val="22"/>
              </w:rPr>
            </w:pPr>
            <w:r>
              <w:rPr>
                <w:sz w:val="22"/>
              </w:rPr>
              <w:t xml:space="preserve">Original: </w:t>
            </w:r>
            <w:proofErr w:type="gramStart"/>
            <w:r>
              <w:rPr>
                <w:sz w:val="22"/>
              </w:rPr>
              <w:t>Inglés</w:t>
            </w:r>
            <w:proofErr w:type="gramEnd"/>
          </w:p>
          <w:p w:rsidR="007459B2" w:rsidRPr="00682B31" w:rsidRDefault="007459B2" w:rsidP="000C21B1">
            <w:pPr>
              <w:rPr>
                <w:rFonts w:cs="Arial"/>
                <w:sz w:val="12"/>
                <w:szCs w:val="12"/>
              </w:rPr>
            </w:pPr>
          </w:p>
        </w:tc>
      </w:tr>
    </w:tbl>
    <w:p w:rsidR="007459B2" w:rsidRPr="00682B31" w:rsidRDefault="007459B2" w:rsidP="00922791">
      <w:pPr>
        <w:tabs>
          <w:tab w:val="left" w:pos="7020"/>
        </w:tabs>
        <w:rPr>
          <w:rFonts w:cs="Arial"/>
          <w:sz w:val="22"/>
          <w:szCs w:val="22"/>
        </w:rPr>
      </w:pPr>
    </w:p>
    <w:p w:rsidR="007459B2" w:rsidRDefault="007459B2" w:rsidP="00354A9C">
      <w:pPr>
        <w:rPr>
          <w:rFonts w:cs="Arial"/>
          <w:sz w:val="22"/>
          <w:szCs w:val="22"/>
        </w:rPr>
      </w:pPr>
    </w:p>
    <w:p w:rsidR="0024082A" w:rsidRPr="00682B31" w:rsidRDefault="0024082A" w:rsidP="00354A9C">
      <w:pPr>
        <w:rPr>
          <w:rFonts w:cs="Arial"/>
          <w:sz w:val="22"/>
          <w:szCs w:val="22"/>
        </w:rPr>
      </w:pPr>
    </w:p>
    <w:p w:rsidR="007459B2" w:rsidRPr="00420040" w:rsidRDefault="007459B2" w:rsidP="00056DC1">
      <w:pPr>
        <w:pStyle w:val="Heading2"/>
        <w:keepNext w:val="0"/>
        <w:ind w:left="-90" w:right="-367"/>
        <w:jc w:val="center"/>
        <w:rPr>
          <w:rFonts w:cs="Arial"/>
          <w:sz w:val="22"/>
          <w:szCs w:val="22"/>
        </w:rPr>
      </w:pPr>
      <w:r>
        <w:rPr>
          <w:caps/>
          <w:sz w:val="22"/>
        </w:rPr>
        <w:t>Presupuesto y Programa de trabajo para 2018-2020</w:t>
      </w:r>
    </w:p>
    <w:p w:rsidR="007459B2" w:rsidRPr="004D0936" w:rsidRDefault="007459B2" w:rsidP="00593736">
      <w:pPr>
        <w:rPr>
          <w:sz w:val="8"/>
          <w:szCs w:val="8"/>
        </w:rPr>
      </w:pPr>
    </w:p>
    <w:p w:rsidR="007459B2" w:rsidRDefault="007459B2" w:rsidP="00B64904">
      <w:pPr>
        <w:jc w:val="center"/>
        <w:rPr>
          <w:rFonts w:cs="Arial"/>
          <w:i/>
          <w:sz w:val="22"/>
          <w:szCs w:val="22"/>
        </w:rPr>
      </w:pPr>
      <w:r>
        <w:rPr>
          <w:i/>
          <w:sz w:val="22"/>
        </w:rPr>
        <w:t xml:space="preserve">(Preparado por la Secretaría) </w:t>
      </w:r>
    </w:p>
    <w:p w:rsidR="007459B2" w:rsidRPr="004D0936" w:rsidRDefault="007459B2" w:rsidP="00870FB9">
      <w:pPr>
        <w:rPr>
          <w:sz w:val="8"/>
          <w:szCs w:val="8"/>
        </w:rPr>
      </w:pPr>
    </w:p>
    <w:p w:rsidR="007459B2" w:rsidRPr="00420040" w:rsidRDefault="007459B2" w:rsidP="00B64904">
      <w:pPr>
        <w:jc w:val="center"/>
        <w:rPr>
          <w:rFonts w:cs="Arial"/>
          <w:i/>
          <w:sz w:val="22"/>
          <w:szCs w:val="22"/>
        </w:rPr>
      </w:pPr>
    </w:p>
    <w:p w:rsidR="007459B2" w:rsidRPr="00C169ED" w:rsidRDefault="007459B2" w:rsidP="001764E6">
      <w:pPr>
        <w:jc w:val="both"/>
        <w:rPr>
          <w:rFonts w:cs="Arial"/>
          <w:sz w:val="21"/>
          <w:szCs w:val="21"/>
        </w:rPr>
      </w:pPr>
    </w:p>
    <w:p w:rsidR="007459B2" w:rsidRPr="00C169ED" w:rsidRDefault="007459B2" w:rsidP="00D605A4">
      <w:pPr>
        <w:tabs>
          <w:tab w:val="left" w:pos="8295"/>
        </w:tabs>
        <w:jc w:val="both"/>
        <w:rPr>
          <w:rFonts w:cs="Arial"/>
          <w:sz w:val="21"/>
          <w:szCs w:val="21"/>
        </w:rPr>
      </w:pPr>
    </w:p>
    <w:p w:rsidR="007459B2" w:rsidRPr="00C169ED" w:rsidRDefault="00A73A58" w:rsidP="00D605A4">
      <w:pPr>
        <w:rPr>
          <w:rFonts w:cs="Arial"/>
          <w:sz w:val="21"/>
          <w:szCs w:val="21"/>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779145</wp:posOffset>
                </wp:positionH>
                <wp:positionV relativeFrom="paragraph">
                  <wp:posOffset>147955</wp:posOffset>
                </wp:positionV>
                <wp:extent cx="4305300" cy="27387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738755"/>
                        </a:xfrm>
                        <a:prstGeom prst="rect">
                          <a:avLst/>
                        </a:prstGeom>
                        <a:solidFill>
                          <a:srgbClr val="FFFFFF"/>
                        </a:solidFill>
                        <a:ln w="3175">
                          <a:solidFill>
                            <a:srgbClr val="000000"/>
                          </a:solidFill>
                          <a:miter lim="800000"/>
                          <a:headEnd/>
                          <a:tailEnd/>
                        </a:ln>
                      </wps:spPr>
                      <wps:txbx>
                        <w:txbxContent>
                          <w:p w:rsidR="00A2540A" w:rsidRPr="00420040" w:rsidRDefault="00A2540A" w:rsidP="00E475D4">
                            <w:pPr>
                              <w:rPr>
                                <w:rFonts w:cs="Arial"/>
                                <w:sz w:val="22"/>
                                <w:szCs w:val="22"/>
                              </w:rPr>
                            </w:pPr>
                            <w:r>
                              <w:rPr>
                                <w:sz w:val="22"/>
                              </w:rPr>
                              <w:t>Resumen:</w:t>
                            </w:r>
                          </w:p>
                          <w:p w:rsidR="00A2540A" w:rsidRDefault="00A2540A" w:rsidP="00E8776E">
                            <w:pPr>
                              <w:rPr>
                                <w:rFonts w:cs="Arial"/>
                                <w:i/>
                                <w:sz w:val="22"/>
                                <w:szCs w:val="22"/>
                              </w:rPr>
                            </w:pPr>
                          </w:p>
                          <w:p w:rsidR="00A2540A" w:rsidRDefault="00A2540A" w:rsidP="00AD0FE5">
                            <w:pPr>
                              <w:jc w:val="both"/>
                              <w:rPr>
                                <w:rFonts w:cs="Arial"/>
                                <w:sz w:val="22"/>
                                <w:szCs w:val="22"/>
                              </w:rPr>
                            </w:pPr>
                            <w:r>
                              <w:rPr>
                                <w:sz w:val="22"/>
                              </w:rPr>
                              <w:t>Tal como lo había solicitado la Conferencia de las Partes en su 11ª reunión mediante la Resolución 11.1, Asuntos administrativos y financieros, la Secretaría ha preparado las siguientes tres hipótesis presupuestarias: presupuesto de crecimiento nominal cero y crecimiento real cero, así como una tercera hipótesis para el trienio 2018-2020.</w:t>
                            </w:r>
                          </w:p>
                          <w:p w:rsidR="00A2540A" w:rsidRDefault="00A2540A" w:rsidP="00AD0FE5">
                            <w:pPr>
                              <w:jc w:val="both"/>
                              <w:rPr>
                                <w:rFonts w:cs="Arial"/>
                                <w:sz w:val="22"/>
                                <w:szCs w:val="22"/>
                              </w:rPr>
                            </w:pPr>
                          </w:p>
                          <w:p w:rsidR="00A2540A" w:rsidRDefault="00A2540A" w:rsidP="00AD0FE5">
                            <w:pPr>
                              <w:jc w:val="both"/>
                              <w:rPr>
                                <w:rFonts w:cs="Arial"/>
                                <w:sz w:val="22"/>
                                <w:szCs w:val="22"/>
                              </w:rPr>
                            </w:pPr>
                            <w:r>
                              <w:rPr>
                                <w:sz w:val="22"/>
                              </w:rPr>
                              <w:t>Además, la Secretaría ha elaborado un Programa de trabajo para 2018-2020.</w:t>
                            </w:r>
                          </w:p>
                          <w:p w:rsidR="00A2540A" w:rsidRPr="00903B7F" w:rsidRDefault="00A2540A" w:rsidP="00AD0FE5">
                            <w:pPr>
                              <w:jc w:val="both"/>
                              <w:rPr>
                                <w:rFonts w:cs="Arial"/>
                                <w:sz w:val="22"/>
                                <w:szCs w:val="22"/>
                              </w:rPr>
                            </w:pPr>
                          </w:p>
                          <w:p w:rsidR="00A2540A" w:rsidRPr="00DA28FC" w:rsidRDefault="00A2540A" w:rsidP="00DA28FC">
                            <w:pPr>
                              <w:jc w:val="both"/>
                              <w:rPr>
                                <w:rFonts w:cs="Arial"/>
                                <w:sz w:val="22"/>
                                <w:szCs w:val="22"/>
                              </w:rPr>
                            </w:pPr>
                            <w:r>
                              <w:rPr>
                                <w:spacing w:val="-4"/>
                                <w:sz w:val="22"/>
                              </w:rPr>
                              <w:t>El documento debería examinarse conjuntamente con los documentos: UNEP/CMS/COP12/Doc.14.1 sobre la ejecución del presupuesto de la CMS 2015-2017; y UNEP/CMS/COP12/Doc.14.3 sobre la movilización de recursos</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35pt;margin-top:11.65pt;width:339pt;height:2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ecKgIAAFEEAAAOAAAAZHJzL2Uyb0RvYy54bWysVN2u0zAMvkfiHaLcs3Zbx0a17uiwwxDS&#10;4Uc6hwdI07SNSOOQZGvH0+OkPWP83SB6Edmx89n+bHd7M3SKnIR1EnRB57OUEqE5VFI3Bf38eHix&#10;ocR5piumQIuCnoWjN7vnz7a9ycUCWlCVsARBtMt7U9DWe5MnieOt6JibgREajTXYjnlUbZNUlvWI&#10;3qlkkaYvkx5sZSxw4Rze3o1Guov4dS24/1jXTniiCoq5+XjaeJbhTHZbljeWmVbyKQ32D1l0TGoM&#10;eoG6Y56Ro5W/QXWSW3BQ+xmHLoG6llzEGrCaefpLNQ8tMyLWguQ4c6HJ/T9Y/uH0yRJZFTSjRLMO&#10;W/QoBk9ew0CywE5vXI5ODwbd/IDX2OVYqTP3wL84omHfMt2IW2uhbwWrMLt5eJlcPR1xXAAp+/dQ&#10;YRh29BCBhtp2gTokgyA6dul86UxIheNltkxXyxRNHG2L9XKzXq1iDJY/PTfW+bcCOhKEglpsfYRn&#10;p3vnQzosf3IJ0RwoWR2kUlGxTblXlpwYjskhfhP6T25Kk76gy/l6NTLwV4g0fn+C6KTHeVeyK+jm&#10;4sTywNsbXcVp9EyqUcaUlZ6IDNyNLPqhHKbGlFCdkVIL41zjHqLQgv1GSY8zXVD39cisoES909iW&#10;V/MsC0sQlWy1XqBiry3ltYVpjlAF9ZSM4t6Pi3M0VjYtRhoHQcMttrKWkeTQ8zGrKW+c28j9tGNh&#10;Ma716PXjT7D7DgAA//8DAFBLAwQUAAYACAAAACEASpb3RdwAAAAKAQAADwAAAGRycy9kb3ducmV2&#10;LnhtbEyP3U7DMAxG75F4h8hI3CCW0P2qNJ0mJLgDaRsP4DWmrdY4VZOt5e0xV3D52Uefj4vt5Dt1&#10;pSG2gS08zQwo4iq4lmsLn8fXxw2omJAddoHJwjdF2Ja3NwXmLoy8p+sh1UpKOOZooUmpz7WOVUMe&#10;4yz0xLL7CoPHJHGotRtwlHLf6cyYlfbYslxosKeXhqrz4eItvCPj5P1+9xCS//Bjdn5bH42193fT&#10;7hlUoin9wfCrL+pQitMpXNhF1UnOsrWgFrL5HJQAG2NkcLKwWC5WoMtC/3+h/AEAAP//AwBQSwEC&#10;LQAUAAYACAAAACEAtoM4kv4AAADhAQAAEwAAAAAAAAAAAAAAAAAAAAAAW0NvbnRlbnRfVHlwZXNd&#10;LnhtbFBLAQItABQABgAIAAAAIQA4/SH/1gAAAJQBAAALAAAAAAAAAAAAAAAAAC8BAABfcmVscy8u&#10;cmVsc1BLAQItABQABgAIAAAAIQBtVYecKgIAAFEEAAAOAAAAAAAAAAAAAAAAAC4CAABkcnMvZTJv&#10;RG9jLnhtbFBLAQItABQABgAIAAAAIQBKlvdF3AAAAAoBAAAPAAAAAAAAAAAAAAAAAIQEAABkcnMv&#10;ZG93bnJldi54bWxQSwUGAAAAAAQABADzAAAAjQUAAAAA&#10;" strokeweight=".25pt">
                <v:textbox>
                  <w:txbxContent>
                    <w:p w:rsidR="00A2540A" w:rsidRPr="00420040" w:rsidRDefault="00A2540A" w:rsidP="00E475D4">
                      <w:pPr>
                        <w:rPr>
                          <w:rFonts w:cs="Arial"/>
                          <w:sz w:val="22"/>
                          <w:szCs w:val="22"/>
                        </w:rPr>
                      </w:pPr>
                      <w:r>
                        <w:rPr>
                          <w:sz w:val="22"/>
                        </w:rPr>
                        <w:t>Resumen:</w:t>
                      </w:r>
                    </w:p>
                    <w:p w:rsidR="00A2540A" w:rsidRDefault="00A2540A" w:rsidP="00E8776E">
                      <w:pPr>
                        <w:rPr>
                          <w:rFonts w:cs="Arial"/>
                          <w:i/>
                          <w:sz w:val="22"/>
                          <w:szCs w:val="22"/>
                        </w:rPr>
                      </w:pPr>
                    </w:p>
                    <w:p w:rsidR="00A2540A" w:rsidRDefault="00A2540A" w:rsidP="00AD0FE5">
                      <w:pPr>
                        <w:jc w:val="both"/>
                        <w:rPr>
                          <w:rFonts w:cs="Arial"/>
                          <w:sz w:val="22"/>
                          <w:szCs w:val="22"/>
                        </w:rPr>
                      </w:pPr>
                      <w:r>
                        <w:rPr>
                          <w:sz w:val="22"/>
                        </w:rPr>
                        <w:t>Tal como lo había solicitado la Conferencia de las Partes en su 11ª reunión mediante la Resolución 11.1, Asuntos administrativos y financieros, la Secretaría ha preparado las siguientes tres hipótesis presupuestarias: presupuesto de crecimiento nominal cero y crecimiento real cero, así como una tercera hipótesis para el trienio 2018-2020.</w:t>
                      </w:r>
                    </w:p>
                    <w:p w:rsidR="00A2540A" w:rsidRDefault="00A2540A" w:rsidP="00AD0FE5">
                      <w:pPr>
                        <w:jc w:val="both"/>
                        <w:rPr>
                          <w:rFonts w:cs="Arial"/>
                          <w:sz w:val="22"/>
                          <w:szCs w:val="22"/>
                        </w:rPr>
                      </w:pPr>
                    </w:p>
                    <w:p w:rsidR="00A2540A" w:rsidRDefault="00A2540A" w:rsidP="00AD0FE5">
                      <w:pPr>
                        <w:jc w:val="both"/>
                        <w:rPr>
                          <w:rFonts w:cs="Arial"/>
                          <w:sz w:val="22"/>
                          <w:szCs w:val="22"/>
                        </w:rPr>
                      </w:pPr>
                      <w:r>
                        <w:rPr>
                          <w:sz w:val="22"/>
                        </w:rPr>
                        <w:t>Además, la Secretaría ha elaborado un Programa de trabajo para 2018-2020.</w:t>
                      </w:r>
                    </w:p>
                    <w:p w:rsidR="00A2540A" w:rsidRPr="00903B7F" w:rsidRDefault="00A2540A" w:rsidP="00AD0FE5">
                      <w:pPr>
                        <w:jc w:val="both"/>
                        <w:rPr>
                          <w:rFonts w:cs="Arial"/>
                          <w:sz w:val="22"/>
                          <w:szCs w:val="22"/>
                        </w:rPr>
                      </w:pPr>
                    </w:p>
                    <w:p w:rsidR="00A2540A" w:rsidRPr="00DA28FC" w:rsidRDefault="00A2540A" w:rsidP="00DA28FC">
                      <w:pPr>
                        <w:jc w:val="both"/>
                        <w:rPr>
                          <w:rFonts w:cs="Arial"/>
                          <w:sz w:val="22"/>
                          <w:szCs w:val="22"/>
                        </w:rPr>
                      </w:pPr>
                      <w:r>
                        <w:rPr>
                          <w:spacing w:val="-4"/>
                          <w:sz w:val="22"/>
                        </w:rPr>
                        <w:t>El documento debería examinarse conjuntamente con los documentos: UNEP/CMS/COP12/Doc.14.1 sobre la ejecución del presupuesto de la CMS 2015-2017; y UNEP/CMS/COP12/Doc.14.3 sobre la movilización de recursos</w:t>
                      </w:r>
                      <w:r>
                        <w:rPr>
                          <w:sz w:val="22"/>
                        </w:rPr>
                        <w:t>.</w:t>
                      </w:r>
                    </w:p>
                  </w:txbxContent>
                </v:textbox>
              </v:shape>
            </w:pict>
          </mc:Fallback>
        </mc:AlternateContent>
      </w:r>
    </w:p>
    <w:p w:rsidR="007459B2" w:rsidRPr="00C169ED" w:rsidRDefault="007459B2" w:rsidP="00D605A4">
      <w:pPr>
        <w:rPr>
          <w:rFonts w:cs="Arial"/>
          <w:sz w:val="21"/>
          <w:szCs w:val="21"/>
        </w:rPr>
      </w:pPr>
    </w:p>
    <w:p w:rsidR="007459B2" w:rsidRPr="00C169ED" w:rsidRDefault="007459B2" w:rsidP="00D605A4">
      <w:pPr>
        <w:rPr>
          <w:rFonts w:cs="Arial"/>
          <w:sz w:val="21"/>
          <w:szCs w:val="21"/>
        </w:rPr>
      </w:pPr>
    </w:p>
    <w:p w:rsidR="007459B2" w:rsidRPr="00C169ED" w:rsidRDefault="007459B2" w:rsidP="00D605A4">
      <w:pPr>
        <w:rPr>
          <w:rFonts w:cs="Arial"/>
          <w:sz w:val="21"/>
          <w:szCs w:val="21"/>
        </w:rPr>
      </w:pPr>
    </w:p>
    <w:p w:rsidR="007459B2" w:rsidRPr="00C169ED" w:rsidRDefault="007459B2" w:rsidP="00D605A4">
      <w:pPr>
        <w:rPr>
          <w:rFonts w:cs="Arial"/>
          <w:sz w:val="21"/>
          <w:szCs w:val="21"/>
        </w:rPr>
      </w:pPr>
    </w:p>
    <w:p w:rsidR="007459B2" w:rsidRPr="00C169ED" w:rsidRDefault="007459B2" w:rsidP="00D605A4">
      <w:pPr>
        <w:rPr>
          <w:rFonts w:cs="Arial"/>
          <w:sz w:val="21"/>
          <w:szCs w:val="21"/>
        </w:rPr>
      </w:pPr>
    </w:p>
    <w:p w:rsidR="007459B2" w:rsidRPr="00C169ED" w:rsidRDefault="007459B2" w:rsidP="00D605A4">
      <w:pPr>
        <w:rPr>
          <w:rFonts w:cs="Arial"/>
          <w:sz w:val="21"/>
          <w:szCs w:val="21"/>
        </w:rPr>
      </w:pPr>
    </w:p>
    <w:p w:rsidR="007459B2" w:rsidRPr="00C169ED" w:rsidRDefault="007459B2" w:rsidP="00D605A4">
      <w:pPr>
        <w:rPr>
          <w:rFonts w:cs="Arial"/>
          <w:sz w:val="21"/>
          <w:szCs w:val="21"/>
        </w:rPr>
      </w:pPr>
    </w:p>
    <w:p w:rsidR="007459B2" w:rsidRPr="00C169ED" w:rsidRDefault="007459B2" w:rsidP="00D605A4">
      <w:pPr>
        <w:rPr>
          <w:rFonts w:cs="Arial"/>
          <w:sz w:val="21"/>
          <w:szCs w:val="21"/>
        </w:rPr>
      </w:pPr>
    </w:p>
    <w:p w:rsidR="007459B2" w:rsidRPr="00C169ED" w:rsidRDefault="007459B2" w:rsidP="00D605A4">
      <w:pPr>
        <w:rPr>
          <w:rFonts w:cs="Arial"/>
          <w:sz w:val="21"/>
          <w:szCs w:val="21"/>
        </w:rPr>
      </w:pPr>
    </w:p>
    <w:p w:rsidR="007459B2" w:rsidRPr="00C169ED" w:rsidRDefault="007459B2" w:rsidP="00D605A4">
      <w:pPr>
        <w:rPr>
          <w:rFonts w:cs="Arial"/>
          <w:sz w:val="21"/>
          <w:szCs w:val="21"/>
        </w:rPr>
      </w:pPr>
    </w:p>
    <w:p w:rsidR="007459B2" w:rsidRPr="00C169ED" w:rsidRDefault="007459B2" w:rsidP="00D605A4">
      <w:pPr>
        <w:rPr>
          <w:rFonts w:cs="Arial"/>
          <w:sz w:val="21"/>
          <w:szCs w:val="21"/>
        </w:rPr>
      </w:pPr>
    </w:p>
    <w:p w:rsidR="007459B2" w:rsidRPr="00C169ED" w:rsidRDefault="007459B2" w:rsidP="00D605A4">
      <w:pPr>
        <w:rPr>
          <w:rFonts w:cs="Arial"/>
          <w:sz w:val="21"/>
          <w:szCs w:val="21"/>
        </w:rPr>
      </w:pPr>
    </w:p>
    <w:p w:rsidR="007459B2" w:rsidRPr="00C169ED" w:rsidRDefault="007459B2" w:rsidP="00D605A4">
      <w:pPr>
        <w:rPr>
          <w:rFonts w:cs="Arial"/>
          <w:sz w:val="21"/>
          <w:szCs w:val="21"/>
        </w:rPr>
      </w:pPr>
    </w:p>
    <w:p w:rsidR="007459B2" w:rsidRPr="00C169ED" w:rsidRDefault="007459B2" w:rsidP="00D605A4">
      <w:pPr>
        <w:rPr>
          <w:rFonts w:cs="Arial"/>
          <w:sz w:val="21"/>
          <w:szCs w:val="21"/>
        </w:rPr>
      </w:pPr>
    </w:p>
    <w:p w:rsidR="007459B2" w:rsidRPr="00C169ED" w:rsidRDefault="007459B2" w:rsidP="00D605A4">
      <w:pPr>
        <w:rPr>
          <w:rFonts w:cs="Arial"/>
          <w:sz w:val="21"/>
          <w:szCs w:val="21"/>
        </w:rPr>
      </w:pPr>
    </w:p>
    <w:p w:rsidR="007459B2" w:rsidRPr="00C169ED" w:rsidRDefault="007459B2" w:rsidP="00D605A4">
      <w:pPr>
        <w:rPr>
          <w:rFonts w:cs="Arial"/>
          <w:sz w:val="21"/>
          <w:szCs w:val="21"/>
        </w:rPr>
      </w:pPr>
    </w:p>
    <w:p w:rsidR="007459B2" w:rsidRPr="00C169ED" w:rsidRDefault="007459B2" w:rsidP="00D605A4">
      <w:pPr>
        <w:rPr>
          <w:rFonts w:cs="Arial"/>
          <w:sz w:val="21"/>
          <w:szCs w:val="21"/>
        </w:rPr>
      </w:pPr>
    </w:p>
    <w:p w:rsidR="007459B2" w:rsidRPr="00C169ED" w:rsidRDefault="007459B2" w:rsidP="00D605A4">
      <w:pPr>
        <w:rPr>
          <w:rFonts w:cs="Arial"/>
          <w:sz w:val="21"/>
          <w:szCs w:val="21"/>
        </w:rPr>
      </w:pPr>
    </w:p>
    <w:p w:rsidR="007459B2" w:rsidRDefault="007459B2" w:rsidP="00D605A4">
      <w:pPr>
        <w:rPr>
          <w:rFonts w:cs="Arial"/>
          <w:sz w:val="22"/>
          <w:szCs w:val="22"/>
        </w:rPr>
      </w:pPr>
    </w:p>
    <w:p w:rsidR="007459B2" w:rsidRDefault="007459B2" w:rsidP="00D605A4">
      <w:pPr>
        <w:rPr>
          <w:rFonts w:cs="Arial"/>
          <w:sz w:val="22"/>
          <w:szCs w:val="22"/>
        </w:rPr>
      </w:pPr>
    </w:p>
    <w:p w:rsidR="007459B2" w:rsidRDefault="007459B2" w:rsidP="00D605A4">
      <w:pPr>
        <w:rPr>
          <w:rFonts w:cs="Arial"/>
          <w:sz w:val="22"/>
          <w:szCs w:val="22"/>
        </w:rPr>
      </w:pPr>
    </w:p>
    <w:p w:rsidR="007459B2" w:rsidRDefault="007459B2" w:rsidP="00D605A4">
      <w:pPr>
        <w:rPr>
          <w:rFonts w:cs="Arial"/>
          <w:sz w:val="22"/>
          <w:szCs w:val="22"/>
        </w:rPr>
      </w:pPr>
    </w:p>
    <w:p w:rsidR="007459B2" w:rsidRDefault="007459B2" w:rsidP="00D605A4">
      <w:pPr>
        <w:rPr>
          <w:rFonts w:cs="Arial"/>
          <w:sz w:val="22"/>
          <w:szCs w:val="22"/>
        </w:rPr>
      </w:pPr>
    </w:p>
    <w:p w:rsidR="007459B2" w:rsidRDefault="007459B2" w:rsidP="00D605A4">
      <w:pPr>
        <w:rPr>
          <w:rFonts w:cs="Arial"/>
          <w:sz w:val="22"/>
          <w:szCs w:val="22"/>
        </w:rPr>
      </w:pPr>
    </w:p>
    <w:p w:rsidR="007459B2" w:rsidRDefault="007459B2" w:rsidP="00D605A4">
      <w:pPr>
        <w:rPr>
          <w:rFonts w:cs="Arial"/>
          <w:sz w:val="22"/>
          <w:szCs w:val="22"/>
        </w:rPr>
      </w:pPr>
    </w:p>
    <w:p w:rsidR="007459B2" w:rsidRDefault="007459B2" w:rsidP="00D605A4">
      <w:pPr>
        <w:rPr>
          <w:rFonts w:cs="Arial"/>
          <w:sz w:val="22"/>
          <w:szCs w:val="22"/>
        </w:rPr>
      </w:pPr>
    </w:p>
    <w:p w:rsidR="007459B2" w:rsidRDefault="007459B2" w:rsidP="00D605A4">
      <w:pPr>
        <w:rPr>
          <w:rFonts w:cs="Arial"/>
          <w:sz w:val="22"/>
          <w:szCs w:val="22"/>
        </w:rPr>
      </w:pPr>
    </w:p>
    <w:p w:rsidR="007459B2" w:rsidRDefault="007459B2" w:rsidP="00D605A4">
      <w:pPr>
        <w:rPr>
          <w:rFonts w:cs="Arial"/>
          <w:sz w:val="22"/>
          <w:szCs w:val="22"/>
        </w:rPr>
      </w:pPr>
    </w:p>
    <w:p w:rsidR="007459B2" w:rsidRDefault="007459B2" w:rsidP="00D605A4">
      <w:pPr>
        <w:rPr>
          <w:rFonts w:cs="Arial"/>
          <w:sz w:val="22"/>
          <w:szCs w:val="22"/>
        </w:rPr>
      </w:pPr>
    </w:p>
    <w:p w:rsidR="007459B2" w:rsidRPr="00D605A4" w:rsidRDefault="007459B2" w:rsidP="00D605A4">
      <w:pPr>
        <w:rPr>
          <w:rFonts w:cs="Arial"/>
          <w:sz w:val="22"/>
          <w:szCs w:val="22"/>
        </w:rPr>
      </w:pPr>
    </w:p>
    <w:p w:rsidR="007459B2" w:rsidRDefault="007459B2" w:rsidP="00D605A4">
      <w:pPr>
        <w:rPr>
          <w:rFonts w:cs="Arial"/>
          <w:sz w:val="22"/>
          <w:szCs w:val="22"/>
        </w:rPr>
      </w:pPr>
    </w:p>
    <w:p w:rsidR="007459B2" w:rsidRDefault="007459B2" w:rsidP="00D605A4">
      <w:pPr>
        <w:tabs>
          <w:tab w:val="left" w:pos="1020"/>
        </w:tabs>
        <w:rPr>
          <w:rFonts w:cs="Arial"/>
          <w:sz w:val="22"/>
          <w:szCs w:val="22"/>
        </w:rPr>
        <w:sectPr w:rsidR="007459B2" w:rsidSect="0052082F">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8" w:right="1411" w:bottom="1152" w:left="1411" w:header="432" w:footer="432" w:gutter="0"/>
          <w:cols w:space="720"/>
          <w:noEndnote/>
          <w:titlePg/>
          <w:rtlGutter/>
          <w:docGrid w:linePitch="272"/>
        </w:sectPr>
      </w:pPr>
    </w:p>
    <w:p w:rsidR="007459B2" w:rsidRPr="00F11793" w:rsidRDefault="007459B2"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r>
        <w:rPr>
          <w:b/>
          <w:caps/>
          <w:sz w:val="22"/>
        </w:rPr>
        <w:lastRenderedPageBreak/>
        <w:t>PRESUPUESTO Y PROGRAMA DE TRABAJO PARA 2018-2020</w:t>
      </w:r>
    </w:p>
    <w:p w:rsidR="007459B2" w:rsidRPr="00502DE0" w:rsidRDefault="007459B2" w:rsidP="007910DD">
      <w:pPr>
        <w:jc w:val="center"/>
        <w:rPr>
          <w:rFonts w:cs="Arial"/>
          <w:szCs w:val="18"/>
        </w:rPr>
      </w:pPr>
    </w:p>
    <w:p w:rsidR="007459B2" w:rsidRPr="00502DE0" w:rsidRDefault="007459B2" w:rsidP="007910DD">
      <w:pPr>
        <w:jc w:val="both"/>
        <w:rPr>
          <w:rFonts w:cs="Arial"/>
          <w:szCs w:val="18"/>
        </w:rPr>
      </w:pPr>
    </w:p>
    <w:p w:rsidR="007459B2" w:rsidRPr="00CD0FE9" w:rsidRDefault="007459B2" w:rsidP="007910DD">
      <w:pPr>
        <w:jc w:val="both"/>
        <w:rPr>
          <w:rFonts w:cs="Arial"/>
          <w:sz w:val="22"/>
          <w:szCs w:val="22"/>
          <w:u w:val="single"/>
        </w:rPr>
      </w:pPr>
      <w:r>
        <w:rPr>
          <w:sz w:val="22"/>
          <w:u w:val="single"/>
        </w:rPr>
        <w:t>Antecedentes</w:t>
      </w:r>
    </w:p>
    <w:p w:rsidR="007459B2" w:rsidRPr="00502DE0" w:rsidRDefault="007459B2" w:rsidP="007910DD">
      <w:pPr>
        <w:jc w:val="both"/>
        <w:rPr>
          <w:rFonts w:cs="Arial"/>
          <w:szCs w:val="18"/>
        </w:rPr>
      </w:pPr>
    </w:p>
    <w:p w:rsidR="007459B2" w:rsidRPr="0033299A" w:rsidRDefault="007459B2" w:rsidP="0033299A">
      <w:pPr>
        <w:numPr>
          <w:ilvl w:val="0"/>
          <w:numId w:val="2"/>
        </w:numPr>
        <w:contextualSpacing/>
        <w:jc w:val="both"/>
        <w:rPr>
          <w:rFonts w:cs="Arial"/>
          <w:sz w:val="22"/>
          <w:szCs w:val="22"/>
        </w:rPr>
      </w:pPr>
      <w:r>
        <w:rPr>
          <w:sz w:val="22"/>
        </w:rPr>
        <w:t>El presente documento responde a la Resolución 11.1. Asuntos administrativos y financieros, párrafo 28, de la Conferencia de las Partes (COP), por la que se decidió que la Secretaría deberá proporcionar una propuesta de presupuesto trienal, y ponerla a disposición de las Partes 90 días antes de la COP.</w:t>
      </w:r>
    </w:p>
    <w:p w:rsidR="007459B2" w:rsidRPr="00502DE0" w:rsidRDefault="007459B2" w:rsidP="0033299A">
      <w:pPr>
        <w:ind w:left="360"/>
        <w:contextualSpacing/>
        <w:jc w:val="both"/>
        <w:rPr>
          <w:rFonts w:cs="Arial"/>
          <w:szCs w:val="18"/>
        </w:rPr>
      </w:pPr>
    </w:p>
    <w:p w:rsidR="007459B2" w:rsidRPr="0033299A" w:rsidRDefault="007459B2" w:rsidP="0033299A">
      <w:pPr>
        <w:numPr>
          <w:ilvl w:val="0"/>
          <w:numId w:val="2"/>
        </w:numPr>
        <w:contextualSpacing/>
        <w:jc w:val="both"/>
        <w:rPr>
          <w:rFonts w:cs="Arial"/>
          <w:sz w:val="22"/>
          <w:szCs w:val="22"/>
        </w:rPr>
      </w:pPr>
      <w:r>
        <w:rPr>
          <w:sz w:val="22"/>
        </w:rPr>
        <w:t xml:space="preserve">Mediante la Resolución 11.1 se había solicitado a la Secretaría que preparara diversas hipótesis de presupuesto, entre ellas, como mínimo, una hipótesis presupuestaria de crecimiento nominal cero, una hipótesis presupuestaria de crecimiento real cero y en consulta con el Subcomité de Finanzas y Presupuesto, si fuera necesario, una tercera hipótesis para su examen por la reunión COP12. </w:t>
      </w:r>
    </w:p>
    <w:p w:rsidR="007459B2" w:rsidRPr="00502DE0" w:rsidRDefault="007459B2" w:rsidP="0033299A">
      <w:pPr>
        <w:ind w:left="360"/>
        <w:contextualSpacing/>
        <w:jc w:val="both"/>
        <w:rPr>
          <w:rFonts w:cs="Arial"/>
          <w:szCs w:val="18"/>
        </w:rPr>
      </w:pPr>
    </w:p>
    <w:p w:rsidR="007459B2" w:rsidRDefault="007459B2" w:rsidP="00A14313">
      <w:pPr>
        <w:numPr>
          <w:ilvl w:val="0"/>
          <w:numId w:val="2"/>
        </w:numPr>
        <w:contextualSpacing/>
        <w:jc w:val="both"/>
        <w:rPr>
          <w:rFonts w:cs="Arial"/>
          <w:sz w:val="22"/>
          <w:szCs w:val="22"/>
        </w:rPr>
      </w:pPr>
      <w:r>
        <w:rPr>
          <w:sz w:val="22"/>
        </w:rPr>
        <w:t>Para la preparación de las propuestas de presupuesto que había de presentar a la COP12, la Secretaría consultó sobre varias hipótesis de presupuesto con el Subcomité de Finanzas y Presupuesto durante la 45ª reunión del Comité Permanente en noviembre de 2016. El Subcomité de Finanzas y Presupuesto ha recomendado que se presenten tres hipótesis de presupuesto para su examen por la COP12. Durante la reunión celebrada con el Subcomité de Finanzas y Presupuesto en noviembre de 2016, la Secretaría presentó oralmente un nuevo formato de presupuesto para el trienio 2018-2020, que es compatible con el nuevo sistema de planificación institucional de los recursos, "</w:t>
      </w:r>
      <w:proofErr w:type="spellStart"/>
      <w:r>
        <w:rPr>
          <w:sz w:val="22"/>
        </w:rPr>
        <w:t>Umoja</w:t>
      </w:r>
      <w:proofErr w:type="spellEnd"/>
      <w:r>
        <w:rPr>
          <w:sz w:val="22"/>
        </w:rPr>
        <w:t xml:space="preserve">", de la Secretaría de las Naciones Unidas. </w:t>
      </w:r>
    </w:p>
    <w:p w:rsidR="007459B2" w:rsidRPr="00502DE0" w:rsidRDefault="007459B2" w:rsidP="008879C1">
      <w:pPr>
        <w:pStyle w:val="ListParagraph"/>
        <w:rPr>
          <w:rFonts w:cs="Arial"/>
          <w:szCs w:val="18"/>
        </w:rPr>
      </w:pPr>
    </w:p>
    <w:p w:rsidR="007459B2" w:rsidRDefault="007459B2" w:rsidP="00A14313">
      <w:pPr>
        <w:numPr>
          <w:ilvl w:val="0"/>
          <w:numId w:val="2"/>
        </w:numPr>
        <w:contextualSpacing/>
        <w:jc w:val="both"/>
        <w:rPr>
          <w:rFonts w:cs="Arial"/>
          <w:sz w:val="22"/>
          <w:szCs w:val="22"/>
        </w:rPr>
      </w:pPr>
      <w:r>
        <w:rPr>
          <w:sz w:val="22"/>
        </w:rPr>
        <w:t>Para la preparación del Programa de trabajo propuesto, la Secretaría elaboró un nuevo modelo que fue revisado y aprobado por el Comité Permanente en su 45ª reunión.</w:t>
      </w:r>
    </w:p>
    <w:p w:rsidR="007459B2" w:rsidRPr="00502DE0" w:rsidRDefault="007459B2" w:rsidP="007910DD">
      <w:pPr>
        <w:rPr>
          <w:rFonts w:cs="Arial"/>
          <w:szCs w:val="18"/>
        </w:rPr>
      </w:pPr>
    </w:p>
    <w:p w:rsidR="007459B2" w:rsidRDefault="007459B2" w:rsidP="0033299A">
      <w:pPr>
        <w:jc w:val="both"/>
        <w:rPr>
          <w:rFonts w:cs="Arial"/>
          <w:sz w:val="22"/>
          <w:szCs w:val="22"/>
          <w:u w:val="single"/>
        </w:rPr>
      </w:pPr>
      <w:r>
        <w:rPr>
          <w:sz w:val="22"/>
          <w:u w:val="single"/>
        </w:rPr>
        <w:t>Propuesta de proyecto de presupuesto para 2018-2020</w:t>
      </w:r>
    </w:p>
    <w:p w:rsidR="007459B2" w:rsidRPr="00502DE0" w:rsidRDefault="007459B2" w:rsidP="0033299A">
      <w:pPr>
        <w:jc w:val="both"/>
        <w:rPr>
          <w:rFonts w:cs="Arial"/>
          <w:szCs w:val="18"/>
          <w:u w:val="single"/>
        </w:rPr>
      </w:pPr>
    </w:p>
    <w:p w:rsidR="007459B2" w:rsidRPr="00903B7F" w:rsidRDefault="007459B2" w:rsidP="008F58F6">
      <w:pPr>
        <w:rPr>
          <w:rFonts w:cs="Arial"/>
          <w:b/>
          <w:sz w:val="22"/>
          <w:szCs w:val="22"/>
        </w:rPr>
      </w:pPr>
      <w:r>
        <w:rPr>
          <w:b/>
          <w:sz w:val="22"/>
        </w:rPr>
        <w:t>Introducción general</w:t>
      </w:r>
    </w:p>
    <w:p w:rsidR="007459B2" w:rsidRPr="00502DE0" w:rsidRDefault="007459B2" w:rsidP="0033299A">
      <w:pPr>
        <w:pStyle w:val="NoSpacing"/>
        <w:jc w:val="both"/>
        <w:rPr>
          <w:rFonts w:ascii="Arial" w:hAnsi="Arial" w:cs="Arial"/>
          <w:sz w:val="18"/>
          <w:szCs w:val="18"/>
        </w:rPr>
      </w:pPr>
    </w:p>
    <w:p w:rsidR="007459B2" w:rsidRPr="008F58F6" w:rsidRDefault="007459B2" w:rsidP="008F58F6">
      <w:pPr>
        <w:numPr>
          <w:ilvl w:val="0"/>
          <w:numId w:val="2"/>
        </w:numPr>
        <w:contextualSpacing/>
        <w:jc w:val="both"/>
        <w:rPr>
          <w:rFonts w:cs="Arial"/>
          <w:sz w:val="22"/>
          <w:szCs w:val="22"/>
        </w:rPr>
      </w:pPr>
      <w:r>
        <w:rPr>
          <w:sz w:val="22"/>
        </w:rPr>
        <w:t xml:space="preserve">Utilizando como base el presupuesto para 2015-2017 aprobado en la COP11 y el informe sobre la ejecución del presupuesto de 2015-2017, la presente propuesta comprende tres hipótesis diferentes para el presupuesto del trienio 2018-2020, tal como se resume a continuación: </w:t>
      </w:r>
    </w:p>
    <w:p w:rsidR="007459B2" w:rsidRPr="008F58F6" w:rsidRDefault="007459B2" w:rsidP="008F58F6">
      <w:pPr>
        <w:pStyle w:val="NoSpacing"/>
        <w:numPr>
          <w:ilvl w:val="0"/>
          <w:numId w:val="14"/>
        </w:numPr>
        <w:spacing w:before="60" w:after="60"/>
        <w:jc w:val="both"/>
        <w:rPr>
          <w:rFonts w:ascii="Arial" w:hAnsi="Arial" w:cs="Arial"/>
        </w:rPr>
      </w:pPr>
      <w:r>
        <w:rPr>
          <w:rFonts w:ascii="Arial" w:hAnsi="Arial"/>
        </w:rPr>
        <w:t>Hipótesis 1: Crecimiento nominal cero con respecto al presupuesto para 2015-2017</w:t>
      </w:r>
    </w:p>
    <w:p w:rsidR="007459B2" w:rsidRPr="008F58F6" w:rsidRDefault="007459B2" w:rsidP="008F58F6">
      <w:pPr>
        <w:pStyle w:val="NoSpacing"/>
        <w:numPr>
          <w:ilvl w:val="0"/>
          <w:numId w:val="14"/>
        </w:numPr>
        <w:spacing w:before="60" w:after="60"/>
        <w:jc w:val="both"/>
        <w:rPr>
          <w:rFonts w:ascii="Arial" w:hAnsi="Arial" w:cs="Arial"/>
        </w:rPr>
      </w:pPr>
      <w:r>
        <w:rPr>
          <w:rFonts w:ascii="Arial" w:hAnsi="Arial"/>
        </w:rPr>
        <w:t>Hipótesis 2: Crecimiento real cero con respecto al presupuesto para 2015-2017</w:t>
      </w:r>
    </w:p>
    <w:p w:rsidR="007459B2" w:rsidRPr="008F58F6" w:rsidRDefault="007459B2" w:rsidP="008F58F6">
      <w:pPr>
        <w:pStyle w:val="NoSpacing"/>
        <w:numPr>
          <w:ilvl w:val="0"/>
          <w:numId w:val="14"/>
        </w:numPr>
        <w:spacing w:before="60" w:after="60"/>
        <w:jc w:val="both"/>
        <w:rPr>
          <w:rFonts w:ascii="Arial" w:hAnsi="Arial" w:cs="Arial"/>
        </w:rPr>
      </w:pPr>
      <w:r>
        <w:rPr>
          <w:rFonts w:ascii="Arial" w:hAnsi="Arial"/>
        </w:rPr>
        <w:t xml:space="preserve">Hipótesis 3: Aumento del 4% con respecto a la mencionada Hipótesis 2 </w:t>
      </w:r>
    </w:p>
    <w:p w:rsidR="007459B2" w:rsidRPr="00502DE0" w:rsidRDefault="007459B2" w:rsidP="008F58F6">
      <w:pPr>
        <w:pStyle w:val="NoSpacing"/>
        <w:ind w:left="360"/>
        <w:jc w:val="both"/>
        <w:rPr>
          <w:rFonts w:ascii="Arial" w:hAnsi="Arial" w:cs="Arial"/>
          <w:sz w:val="18"/>
          <w:szCs w:val="18"/>
        </w:rPr>
      </w:pPr>
    </w:p>
    <w:p w:rsidR="007459B2" w:rsidRPr="001E0D2C" w:rsidRDefault="007459B2" w:rsidP="001E0D2C">
      <w:pPr>
        <w:numPr>
          <w:ilvl w:val="0"/>
          <w:numId w:val="2"/>
        </w:numPr>
        <w:contextualSpacing/>
        <w:jc w:val="both"/>
        <w:rPr>
          <w:rFonts w:cs="Arial"/>
          <w:sz w:val="22"/>
          <w:szCs w:val="22"/>
        </w:rPr>
      </w:pPr>
      <w:r>
        <w:rPr>
          <w:sz w:val="22"/>
        </w:rPr>
        <w:t xml:space="preserve">En las secciones siguientes del presente documento se proporcionan detalles sobre la justificación de cada hipótesis. </w:t>
      </w:r>
    </w:p>
    <w:p w:rsidR="007459B2" w:rsidRPr="00502DE0" w:rsidRDefault="007459B2" w:rsidP="0033299A">
      <w:pPr>
        <w:pStyle w:val="NoSpacing"/>
        <w:jc w:val="both"/>
        <w:rPr>
          <w:rFonts w:ascii="Arial" w:hAnsi="Arial" w:cs="Arial"/>
          <w:sz w:val="18"/>
          <w:szCs w:val="18"/>
        </w:rPr>
      </w:pPr>
    </w:p>
    <w:p w:rsidR="007459B2" w:rsidRPr="008F58F6" w:rsidRDefault="007459B2" w:rsidP="008F58F6">
      <w:pPr>
        <w:numPr>
          <w:ilvl w:val="0"/>
          <w:numId w:val="2"/>
        </w:numPr>
        <w:contextualSpacing/>
        <w:jc w:val="both"/>
        <w:rPr>
          <w:rFonts w:cs="Arial"/>
          <w:sz w:val="22"/>
          <w:szCs w:val="22"/>
        </w:rPr>
      </w:pPr>
      <w:r>
        <w:rPr>
          <w:sz w:val="22"/>
        </w:rPr>
        <w:t>Para las hipótesis incluidas en esta propuesta se ha utilizado el nuevo formato de presupuesto que es compatible con el nuevo sistema de planificación de los recursos institucionales, "</w:t>
      </w:r>
      <w:proofErr w:type="spellStart"/>
      <w:r>
        <w:rPr>
          <w:sz w:val="22"/>
        </w:rPr>
        <w:t>Umoja</w:t>
      </w:r>
      <w:proofErr w:type="spellEnd"/>
      <w:r>
        <w:rPr>
          <w:sz w:val="22"/>
        </w:rPr>
        <w:t xml:space="preserve">", con objeto de facilitar la presentación de un informe simplificado y coherente a los órganos rectores, atendiendo al mismo tiempo las necesidades de las Partes. </w:t>
      </w:r>
    </w:p>
    <w:p w:rsidR="007459B2" w:rsidRPr="00502DE0" w:rsidRDefault="007459B2" w:rsidP="008F58F6">
      <w:pPr>
        <w:ind w:left="360"/>
        <w:contextualSpacing/>
        <w:jc w:val="both"/>
        <w:rPr>
          <w:rFonts w:cs="Arial"/>
          <w:szCs w:val="18"/>
        </w:rPr>
      </w:pPr>
    </w:p>
    <w:p w:rsidR="007459B2" w:rsidRPr="00502DE0" w:rsidRDefault="007459B2" w:rsidP="00502DE0">
      <w:pPr>
        <w:numPr>
          <w:ilvl w:val="0"/>
          <w:numId w:val="2"/>
        </w:numPr>
        <w:contextualSpacing/>
        <w:jc w:val="both"/>
        <w:rPr>
          <w:rFonts w:cs="Arial"/>
          <w:sz w:val="22"/>
          <w:szCs w:val="22"/>
        </w:rPr>
      </w:pPr>
      <w:r>
        <w:rPr>
          <w:sz w:val="22"/>
        </w:rPr>
        <w:t xml:space="preserve">En todas las hipótesis se ha incorporado una tasa de inflación del 2% por año, que tiene en cuenta los efectos de la inflación sobre los gastos de personal, tales como los ajustes por lugar de destino y otras prestaciones, así como las revisiones e incrementos salariales normales dentro del mismo grado. Se ha aplicado la misma tasa de inflación del 2% a todos los demás gastos de funcionamiento, tales como los relativos a servicios contractuales, equipo, suministros y viajes. </w:t>
      </w:r>
    </w:p>
    <w:p w:rsidR="00502DE0" w:rsidRPr="00502DE0" w:rsidRDefault="00502DE0" w:rsidP="00502DE0">
      <w:pPr>
        <w:pStyle w:val="ListParagraph"/>
        <w:rPr>
          <w:rFonts w:cs="Arial"/>
          <w:szCs w:val="18"/>
        </w:rPr>
      </w:pPr>
    </w:p>
    <w:p w:rsidR="007459B2" w:rsidRPr="00502DE0" w:rsidRDefault="007459B2" w:rsidP="00502DE0">
      <w:pPr>
        <w:numPr>
          <w:ilvl w:val="0"/>
          <w:numId w:val="2"/>
        </w:numPr>
        <w:contextualSpacing/>
        <w:jc w:val="both"/>
        <w:rPr>
          <w:rFonts w:cs="Arial"/>
          <w:sz w:val="22"/>
          <w:szCs w:val="22"/>
        </w:rPr>
      </w:pPr>
      <w:r w:rsidRPr="00502DE0">
        <w:rPr>
          <w:sz w:val="22"/>
        </w:rPr>
        <w:t xml:space="preserve">En las tres hipótesis se ha procurado mantener el aumento a un mínimo absoluto, prestando la máxima atención a asegurar que los recursos se utilicen de la forma más </w:t>
      </w:r>
      <w:r w:rsidRPr="00502DE0">
        <w:rPr>
          <w:sz w:val="22"/>
        </w:rPr>
        <w:lastRenderedPageBreak/>
        <w:t xml:space="preserve">económica y eficaz posible. No obstante, cabe señalar </w:t>
      </w:r>
      <w:proofErr w:type="gramStart"/>
      <w:r w:rsidRPr="00502DE0">
        <w:rPr>
          <w:sz w:val="22"/>
        </w:rPr>
        <w:t>que</w:t>
      </w:r>
      <w:proofErr w:type="gramEnd"/>
      <w:r w:rsidRPr="00502DE0">
        <w:rPr>
          <w:sz w:val="22"/>
        </w:rPr>
        <w:t xml:space="preserve"> debido a la inflación, los costos han ido aumentando durante el último trienio. Para el período presupuestario 2015-2017, este aumento no se ha compensado con un aumento correspondiente del presupuesto. Por consiguiente, si la Hipótesis 1 fuera la preferida, sería necesario realizar reducciones sustanciales, p. ej. de los gastos de funcionamiento en la prestación de servicios a la COP13, y a las reuniones de los órganos rectores.  En el caso de que se seleccionara la Hipótesis 2, se cubrirían los aumentos de los gastos con respecto al presupuesto para 2015-2017 por efecto de la inflación. Sólo en la Hipótesis 3 se propone un pequeño aumento del 4% con respecto a la Hipótesis 2 para cubrir los gastos adicionales necesarios para que la Secretaría pueda cumplir el mandato otorgado por la COP. </w:t>
      </w:r>
    </w:p>
    <w:p w:rsidR="007459B2" w:rsidRPr="00502DE0" w:rsidRDefault="007459B2" w:rsidP="0033299A">
      <w:pPr>
        <w:pStyle w:val="NoSpacing"/>
        <w:jc w:val="both"/>
        <w:rPr>
          <w:rFonts w:ascii="Arial" w:hAnsi="Arial" w:cs="Arial"/>
          <w:sz w:val="18"/>
          <w:szCs w:val="18"/>
        </w:rPr>
      </w:pPr>
    </w:p>
    <w:p w:rsidR="007459B2" w:rsidRPr="008F58F6" w:rsidRDefault="007459B2" w:rsidP="008F58F6">
      <w:pPr>
        <w:rPr>
          <w:rFonts w:cs="Arial"/>
          <w:b/>
          <w:sz w:val="22"/>
          <w:szCs w:val="22"/>
        </w:rPr>
      </w:pPr>
      <w:r>
        <w:rPr>
          <w:b/>
          <w:sz w:val="22"/>
        </w:rPr>
        <w:t>Elementos y consideraciones fundamentales para la propuesta de proyecto de presupuesto para 2018 - 2020</w:t>
      </w:r>
    </w:p>
    <w:p w:rsidR="007459B2" w:rsidRPr="00502DE0" w:rsidRDefault="007459B2" w:rsidP="0033299A">
      <w:pPr>
        <w:rPr>
          <w:rFonts w:cs="Arial"/>
          <w:szCs w:val="18"/>
        </w:rPr>
      </w:pPr>
    </w:p>
    <w:p w:rsidR="007459B2" w:rsidRPr="008F58F6" w:rsidRDefault="007459B2" w:rsidP="008F58F6">
      <w:pPr>
        <w:numPr>
          <w:ilvl w:val="0"/>
          <w:numId w:val="2"/>
        </w:numPr>
        <w:contextualSpacing/>
        <w:jc w:val="both"/>
        <w:rPr>
          <w:rFonts w:cs="Arial"/>
          <w:sz w:val="22"/>
          <w:szCs w:val="22"/>
        </w:rPr>
      </w:pPr>
      <w:r>
        <w:rPr>
          <w:sz w:val="22"/>
        </w:rPr>
        <w:t xml:space="preserve">Al redactar las distintas hipótesis, se han tenido en cuenta varios elementos y consideraciones, que se resumen en la sección que figura a continuación. </w:t>
      </w:r>
    </w:p>
    <w:p w:rsidR="007459B2" w:rsidRPr="00502DE0" w:rsidRDefault="007459B2" w:rsidP="0033299A">
      <w:pPr>
        <w:rPr>
          <w:rFonts w:cs="Arial"/>
          <w:szCs w:val="18"/>
        </w:rPr>
      </w:pPr>
    </w:p>
    <w:p w:rsidR="007459B2" w:rsidRPr="008F58F6" w:rsidRDefault="007459B2" w:rsidP="008F58F6">
      <w:pPr>
        <w:pStyle w:val="NoSpacing"/>
        <w:jc w:val="both"/>
        <w:rPr>
          <w:rFonts w:ascii="Arial" w:hAnsi="Arial" w:cs="Arial"/>
          <w:b/>
          <w:i/>
        </w:rPr>
      </w:pPr>
      <w:r>
        <w:rPr>
          <w:rFonts w:ascii="Arial" w:hAnsi="Arial"/>
          <w:b/>
          <w:i/>
        </w:rPr>
        <w:t>UMOJA y NICSP</w:t>
      </w:r>
    </w:p>
    <w:p w:rsidR="007459B2" w:rsidRPr="00502DE0" w:rsidRDefault="007459B2" w:rsidP="0033299A">
      <w:pPr>
        <w:rPr>
          <w:rFonts w:cs="Arial"/>
          <w:szCs w:val="18"/>
        </w:rPr>
      </w:pPr>
    </w:p>
    <w:p w:rsidR="007459B2" w:rsidRPr="008F58F6" w:rsidRDefault="007459B2" w:rsidP="008F58F6">
      <w:pPr>
        <w:numPr>
          <w:ilvl w:val="0"/>
          <w:numId w:val="2"/>
        </w:numPr>
        <w:contextualSpacing/>
        <w:jc w:val="both"/>
        <w:rPr>
          <w:rFonts w:cs="Arial"/>
          <w:sz w:val="22"/>
          <w:szCs w:val="22"/>
        </w:rPr>
      </w:pPr>
      <w:r>
        <w:rPr>
          <w:sz w:val="22"/>
        </w:rPr>
        <w:t>En el marco de una iniciativa de reforma administrativa, la Secretaría de las Naciones Unidas introdujo e aplicó el nuevo Sistema de planificación de los recursos institucionales, "</w:t>
      </w:r>
      <w:proofErr w:type="spellStart"/>
      <w:r>
        <w:rPr>
          <w:sz w:val="22"/>
        </w:rPr>
        <w:t>Umoja</w:t>
      </w:r>
      <w:proofErr w:type="spellEnd"/>
      <w:r>
        <w:rPr>
          <w:sz w:val="22"/>
        </w:rPr>
        <w:t xml:space="preserve">", para simplificar los procesos operativos de la Organización de las Naciones Unidas. Al ser administrada por el Programa de las Naciones Unidas para el Medio Ambiente (ONU Medio Ambiente), la Secretaría de la CMS se adhirió a este sistema en junio de 2015. </w:t>
      </w:r>
    </w:p>
    <w:p w:rsidR="007459B2" w:rsidRPr="00502DE0" w:rsidRDefault="007459B2" w:rsidP="008F58F6">
      <w:pPr>
        <w:ind w:left="360"/>
        <w:contextualSpacing/>
        <w:jc w:val="both"/>
        <w:rPr>
          <w:rFonts w:cs="Arial"/>
          <w:szCs w:val="18"/>
        </w:rPr>
      </w:pPr>
    </w:p>
    <w:p w:rsidR="007459B2" w:rsidRPr="008F58F6" w:rsidRDefault="007459B2" w:rsidP="008F58F6">
      <w:pPr>
        <w:numPr>
          <w:ilvl w:val="0"/>
          <w:numId w:val="2"/>
        </w:numPr>
        <w:tabs>
          <w:tab w:val="left" w:pos="270"/>
        </w:tabs>
        <w:contextualSpacing/>
        <w:jc w:val="both"/>
        <w:rPr>
          <w:rFonts w:cs="Arial"/>
          <w:sz w:val="22"/>
          <w:szCs w:val="22"/>
        </w:rPr>
      </w:pPr>
      <w:r>
        <w:rPr>
          <w:sz w:val="22"/>
        </w:rPr>
        <w:t xml:space="preserve">El sistema </w:t>
      </w:r>
      <w:proofErr w:type="spellStart"/>
      <w:r>
        <w:rPr>
          <w:sz w:val="22"/>
        </w:rPr>
        <w:t>Umoja</w:t>
      </w:r>
      <w:proofErr w:type="spellEnd"/>
      <w:r>
        <w:rPr>
          <w:sz w:val="22"/>
        </w:rPr>
        <w:t xml:space="preserve"> se ha concebido para apoyar las Normas Internacionales de Contabilidad para el Sector Público (NICSP) que han sido aplicadas con éxito por la ONU Medio Ambiente en 2014. En cumplimiento de las NICSP, se ha solicitado a los Acuerdos Ambientales Multilaterales (AAM), entre ellas la Secretaría de la CMS, que tomen en consideración las siguientes consecuencias presupuestarias para la preparación de la propuesta de presupuesto: </w:t>
      </w:r>
    </w:p>
    <w:p w:rsidR="007459B2" w:rsidRPr="00F74711" w:rsidRDefault="007459B2" w:rsidP="00F74711">
      <w:pPr>
        <w:pStyle w:val="NoSpacing"/>
        <w:numPr>
          <w:ilvl w:val="0"/>
          <w:numId w:val="14"/>
        </w:numPr>
        <w:spacing w:before="120" w:after="120"/>
        <w:jc w:val="both"/>
        <w:rPr>
          <w:rFonts w:ascii="Arial" w:hAnsi="Arial" w:cs="Arial"/>
        </w:rPr>
      </w:pPr>
      <w:r>
        <w:rPr>
          <w:rFonts w:ascii="Arial" w:hAnsi="Arial"/>
        </w:rPr>
        <w:t xml:space="preserve">La iniciativa institucional (costos de derechos de licencia del sistema </w:t>
      </w:r>
      <w:proofErr w:type="spellStart"/>
      <w:r>
        <w:rPr>
          <w:rFonts w:ascii="Arial" w:hAnsi="Arial"/>
        </w:rPr>
        <w:t>Umoja</w:t>
      </w:r>
      <w:proofErr w:type="spellEnd"/>
      <w:r>
        <w:rPr>
          <w:rFonts w:ascii="Arial" w:hAnsi="Arial"/>
        </w:rPr>
        <w:t xml:space="preserve"> y del módulo de prestación de servicios a nivel mundial (GSDM por sus siglas en inglés): Aunque los costos de despliegue del </w:t>
      </w:r>
      <w:proofErr w:type="spellStart"/>
      <w:r>
        <w:rPr>
          <w:rFonts w:ascii="Arial" w:hAnsi="Arial"/>
        </w:rPr>
        <w:t>Umoja</w:t>
      </w:r>
      <w:proofErr w:type="spellEnd"/>
      <w:r>
        <w:rPr>
          <w:rFonts w:ascii="Arial" w:hAnsi="Arial"/>
        </w:rPr>
        <w:t xml:space="preserve"> fueron absorbidos inicialmente por la sede de las Naciones Unidas y la ONU Medio Ambiente de forma centralizada, los futuros costos relacionados con las iniciativas institucionales, a partir de 2017, se transferirán a las entidades usuarias en función del nivel de los gastos efectuados en el año anterior. En 2017, la participación en los costos de la iniciativa institucional para toda la familia de la CMS (la Secretaría de la CMS y todos los acuerdos como el AEWA, el ASCOBANS y el EUROBATS) se ha estimado en 14.014 USD en función del nivel de los gastos efectuados en 2016. No obstante, el Director Ejecutivo de la ONU Medio Ambiente ha anunciado generosamente que su Organización absorberá los costos de las iniciativas institucionales de todos los AAM, incluida la CMS, para 2017, debido a que no se habían hecho asignaciones para este propósito en los presupuestos de 2017 aprobados. Para las tres hipótesis presupuestarias propuestas, la asignación estimada del presupuesto para las iniciativas institucionales se incluye en los gastos de funcionamiento. </w:t>
      </w:r>
    </w:p>
    <w:p w:rsidR="007459B2" w:rsidRPr="00F74711" w:rsidRDefault="007459B2" w:rsidP="00F74711">
      <w:pPr>
        <w:pStyle w:val="NoSpacing"/>
        <w:numPr>
          <w:ilvl w:val="0"/>
          <w:numId w:val="14"/>
        </w:numPr>
        <w:spacing w:before="120" w:after="120"/>
        <w:jc w:val="both"/>
        <w:rPr>
          <w:rFonts w:ascii="Arial" w:hAnsi="Arial" w:cs="Arial"/>
        </w:rPr>
      </w:pPr>
      <w:r>
        <w:rPr>
          <w:rFonts w:ascii="Arial" w:hAnsi="Arial"/>
        </w:rPr>
        <w:t xml:space="preserve">Gestión estricta del efectivo: El </w:t>
      </w:r>
      <w:proofErr w:type="spellStart"/>
      <w:r>
        <w:rPr>
          <w:rFonts w:ascii="Arial" w:hAnsi="Arial"/>
        </w:rPr>
        <w:t>Umoja</w:t>
      </w:r>
      <w:proofErr w:type="spellEnd"/>
      <w:r>
        <w:rPr>
          <w:rFonts w:ascii="Arial" w:hAnsi="Arial"/>
        </w:rPr>
        <w:t xml:space="preserve"> aplica una gestión estricta del dinero en efectivo de las contribuciones abonadas por las Partes: los fondos se comprometerán cuando las contribuciones se hayan pagado al Fondo Fiduciario como efectivo disponible.  Es, por tanto, absolutamente necesario que las Partes paguen sus contribuciones lo más pronto posible antes de que comience el ejercicio económico correspondiente. Esta norma se aplica a los compromisos relacionados con las contribuciones tanto asignadas como voluntarias. </w:t>
      </w:r>
    </w:p>
    <w:p w:rsidR="007459B2" w:rsidRDefault="007459B2" w:rsidP="00F74711">
      <w:pPr>
        <w:pStyle w:val="NoSpacing"/>
        <w:numPr>
          <w:ilvl w:val="0"/>
          <w:numId w:val="14"/>
        </w:numPr>
        <w:spacing w:before="120"/>
        <w:jc w:val="both"/>
        <w:rPr>
          <w:rFonts w:ascii="Arial" w:hAnsi="Arial" w:cs="Arial"/>
        </w:rPr>
      </w:pPr>
      <w:r>
        <w:rPr>
          <w:rFonts w:ascii="Arial" w:hAnsi="Arial"/>
        </w:rPr>
        <w:t>Requisito de una reserva de funcionamiento: Habida cuenta de la estricta gestión del efectivo, la Junta de Auditores d</w:t>
      </w:r>
      <w:r w:rsidR="00A2540A">
        <w:rPr>
          <w:rFonts w:ascii="Arial" w:hAnsi="Arial"/>
        </w:rPr>
        <w:t xml:space="preserve">e las Naciones Unidas </w:t>
      </w:r>
      <w:r>
        <w:rPr>
          <w:rFonts w:ascii="Arial" w:hAnsi="Arial"/>
        </w:rPr>
        <w:t xml:space="preserve">recomendó que todos los AAM, </w:t>
      </w:r>
      <w:r>
        <w:rPr>
          <w:rFonts w:ascii="Arial" w:hAnsi="Arial"/>
        </w:rPr>
        <w:lastRenderedPageBreak/>
        <w:t xml:space="preserve">incluida la Secretaría de la CMS, establecieran un fondo de reserva de funcionamiento del 15% para amortiguar los flujos de entrada de efectivo desiguales, así como las fluctuaciones imprevistas del presupuesto del programa, dentro de los umbrales limitados establecidos por los órganos rectores. En cuanto a la Resolución 11.1, Asuntos administrativos y financieros, la reserva de funcionamiento del Fondo Fiduciario debería mantenerse a un nivel constante de al menos el 15% del gasto anual estimado </w:t>
      </w:r>
      <w:proofErr w:type="spellStart"/>
      <w:r>
        <w:rPr>
          <w:rFonts w:ascii="Arial" w:hAnsi="Arial"/>
        </w:rPr>
        <w:t>ó</w:t>
      </w:r>
      <w:proofErr w:type="spellEnd"/>
      <w:r>
        <w:rPr>
          <w:rFonts w:ascii="Arial" w:hAnsi="Arial"/>
        </w:rPr>
        <w:t xml:space="preserve"> de 500.000 USD, según cuál fuera la cantidad mayor. Si bien la actual reserva de funcionamiento resulta ser de 500.000 USD para el Fondo Fiduciario de la CMS, para que este Fondo siga siendo operativo durante el período presupuestario 2018-2020, la Secretaría ha propuesto que no se retiren fondos de la reserva del Fondo Fiduciario en ninguna de las tres hipótesis.</w:t>
      </w:r>
    </w:p>
    <w:p w:rsidR="007459B2" w:rsidRPr="00502DE0" w:rsidRDefault="007459B2" w:rsidP="0033299A">
      <w:pPr>
        <w:rPr>
          <w:rFonts w:cs="Arial"/>
          <w:szCs w:val="18"/>
        </w:rPr>
      </w:pPr>
    </w:p>
    <w:p w:rsidR="007459B2" w:rsidRPr="008F58F6" w:rsidRDefault="007459B2" w:rsidP="008F58F6">
      <w:pPr>
        <w:pStyle w:val="NoSpacing"/>
        <w:jc w:val="both"/>
        <w:rPr>
          <w:rFonts w:ascii="Arial" w:hAnsi="Arial" w:cs="Arial"/>
          <w:b/>
          <w:i/>
        </w:rPr>
      </w:pPr>
      <w:r>
        <w:rPr>
          <w:rFonts w:ascii="Arial" w:hAnsi="Arial"/>
          <w:b/>
          <w:i/>
        </w:rPr>
        <w:t xml:space="preserve">Costos estándar de los sueldos </w:t>
      </w:r>
    </w:p>
    <w:p w:rsidR="007459B2" w:rsidRPr="00502DE0" w:rsidRDefault="007459B2" w:rsidP="0033299A">
      <w:pPr>
        <w:rPr>
          <w:rFonts w:cs="Arial"/>
          <w:szCs w:val="18"/>
        </w:rPr>
      </w:pPr>
    </w:p>
    <w:p w:rsidR="007459B2" w:rsidRPr="008F58F6" w:rsidRDefault="007459B2" w:rsidP="008F58F6">
      <w:pPr>
        <w:numPr>
          <w:ilvl w:val="0"/>
          <w:numId w:val="2"/>
        </w:numPr>
        <w:tabs>
          <w:tab w:val="left" w:pos="270"/>
        </w:tabs>
        <w:contextualSpacing/>
        <w:jc w:val="both"/>
        <w:rPr>
          <w:rFonts w:cs="Arial"/>
          <w:sz w:val="22"/>
          <w:szCs w:val="22"/>
        </w:rPr>
      </w:pPr>
      <w:r>
        <w:rPr>
          <w:sz w:val="22"/>
        </w:rPr>
        <w:t xml:space="preserve">En el informe sobre la ejecución del presupuesto para 2015-2017 se había mostrado un exceso de gastos para algunos puestos de funcionarios de categoría profesional, debido a que se había aplicado una consignación subestimada para funcionarios de categoría profesional de contratación internacional. Hasta la fecha, gracias a los ahorros obtenidos de otros puestos, así como de algunos puestos vacantes se ha podido compensar ese exceso de gastos. No obstante, la Secretaría no está en condiciones de seguir utilizando el presupuesto de 2015-2017 para los costos de personal aplicables al nuevo trienio, teniendo en cuenta que se espera cubrir todos los puestos del personal de la Secretaría. </w:t>
      </w:r>
    </w:p>
    <w:p w:rsidR="007459B2" w:rsidRPr="00502DE0" w:rsidRDefault="007459B2" w:rsidP="008F58F6">
      <w:pPr>
        <w:tabs>
          <w:tab w:val="left" w:pos="270"/>
        </w:tabs>
        <w:contextualSpacing/>
        <w:jc w:val="both"/>
        <w:rPr>
          <w:rFonts w:cs="Arial"/>
          <w:szCs w:val="18"/>
        </w:rPr>
      </w:pPr>
    </w:p>
    <w:p w:rsidR="007459B2" w:rsidRPr="008F58F6" w:rsidRDefault="007459B2" w:rsidP="008F58F6">
      <w:pPr>
        <w:numPr>
          <w:ilvl w:val="0"/>
          <w:numId w:val="2"/>
        </w:numPr>
        <w:tabs>
          <w:tab w:val="left" w:pos="270"/>
        </w:tabs>
        <w:contextualSpacing/>
        <w:jc w:val="both"/>
        <w:rPr>
          <w:rFonts w:cs="Arial"/>
          <w:sz w:val="22"/>
          <w:szCs w:val="22"/>
        </w:rPr>
      </w:pPr>
      <w:r>
        <w:rPr>
          <w:sz w:val="22"/>
        </w:rPr>
        <w:t xml:space="preserve"> Para crear una mayor coherencia entre todos los AAM administrados por la ONU Medio Ambiente, la familia de la CMS ha comenzado ya a introducir en sus presupuestos estos costos estándar de sueldos aplicables al lugar de destino de Bonn. En la sexta sesión de la Reunión de las Partes en el Acuerdo sobre la conservación de las aves migratorias de África y Eurasia (AEWA), los costos estándar de sueldos aplicables al lugar de destino de Bonn, basados en los costos reales, se reflejaron en el presupuesto propuesto para 2016-2018, que fue aprobado por la MOP. </w:t>
      </w:r>
    </w:p>
    <w:p w:rsidR="007459B2" w:rsidRPr="00502DE0" w:rsidRDefault="007459B2" w:rsidP="00F74711">
      <w:pPr>
        <w:tabs>
          <w:tab w:val="left" w:pos="270"/>
        </w:tabs>
        <w:contextualSpacing/>
        <w:jc w:val="both"/>
        <w:rPr>
          <w:rFonts w:cs="Arial"/>
          <w:szCs w:val="18"/>
        </w:rPr>
      </w:pPr>
    </w:p>
    <w:p w:rsidR="007459B2" w:rsidRPr="00903B7F" w:rsidRDefault="007459B2" w:rsidP="008F58F6">
      <w:pPr>
        <w:numPr>
          <w:ilvl w:val="0"/>
          <w:numId w:val="2"/>
        </w:numPr>
        <w:tabs>
          <w:tab w:val="left" w:pos="360"/>
        </w:tabs>
        <w:contextualSpacing/>
        <w:jc w:val="both"/>
        <w:rPr>
          <w:rFonts w:cs="Arial"/>
          <w:sz w:val="22"/>
          <w:szCs w:val="22"/>
        </w:rPr>
      </w:pPr>
      <w:r>
        <w:rPr>
          <w:sz w:val="22"/>
        </w:rPr>
        <w:t>Los costos estándar de sueldos aplicables al lugar de destino de Bonn que figuran a continuación se basan en el costo previsto para cada categoría de funcionarios en 2018-2020, incluidos todos los costos de personal estatutario, tales como el ajuste por lugar de destino y otras prestaciones, así como los incrementos y revisiones normales dentro de cada categoría. Estos aumentos de costos derivan de la aplicación de normas, directivas y cálculos de todo el sistema de las Naciones Unidas, que se promulgan a través de la Comisión de Administración Pública Internacional (CAPI) y como tales no son discrecionales. Además, los costos estándar de sueldos incluían los cargos mensuales del seguro médico después de la separación del servicio, que ha sido impuesto por la Secretaría de las Naciones Unidas, con efecto a partir del 1º de enero de 2017, de conformidad con lo dispuesto en las NICSP. Las cifras utilizadas para calcular los gastos de personal se proporcionan en el Cuadro 1 a continuación.</w:t>
      </w:r>
    </w:p>
    <w:p w:rsidR="007459B2" w:rsidRPr="00502DE0" w:rsidRDefault="007459B2" w:rsidP="0033299A">
      <w:pPr>
        <w:pStyle w:val="NoSpacing"/>
        <w:jc w:val="both"/>
        <w:rPr>
          <w:rFonts w:ascii="Arial" w:hAnsi="Arial" w:cs="Arial"/>
          <w:sz w:val="18"/>
          <w:szCs w:val="18"/>
        </w:rPr>
      </w:pPr>
    </w:p>
    <w:p w:rsidR="007459B2" w:rsidRPr="008F58F6" w:rsidRDefault="007459B2" w:rsidP="0033299A">
      <w:pPr>
        <w:pStyle w:val="NoSpacing"/>
        <w:jc w:val="both"/>
        <w:rPr>
          <w:rFonts w:ascii="Arial" w:hAnsi="Arial" w:cs="Arial"/>
          <w:b/>
          <w:sz w:val="20"/>
          <w:szCs w:val="20"/>
        </w:rPr>
      </w:pPr>
      <w:r>
        <w:rPr>
          <w:rFonts w:ascii="Arial" w:hAnsi="Arial"/>
          <w:b/>
          <w:sz w:val="20"/>
        </w:rPr>
        <w:t>Cuadro 1</w:t>
      </w:r>
    </w:p>
    <w:p w:rsidR="007459B2" w:rsidRPr="00903B7F" w:rsidRDefault="007459B2" w:rsidP="0033299A">
      <w:pPr>
        <w:rPr>
          <w:rFonts w:cs="Arial"/>
          <w:sz w:val="22"/>
          <w:szCs w:val="22"/>
        </w:rPr>
      </w:pPr>
      <w:r>
        <w:rPr>
          <w:b/>
        </w:rPr>
        <w:t>Costos estándar de personal (en euros)</w:t>
      </w:r>
    </w:p>
    <w:tbl>
      <w:tblPr>
        <w:tblW w:w="6206" w:type="dxa"/>
        <w:tblInd w:w="1409" w:type="dxa"/>
        <w:tblLayout w:type="fixed"/>
        <w:tblLook w:val="00A0" w:firstRow="1" w:lastRow="0" w:firstColumn="1" w:lastColumn="0" w:noHBand="0" w:noVBand="0"/>
      </w:tblPr>
      <w:tblGrid>
        <w:gridCol w:w="1841"/>
        <w:gridCol w:w="1455"/>
        <w:gridCol w:w="1455"/>
        <w:gridCol w:w="1455"/>
      </w:tblGrid>
      <w:tr w:rsidR="007459B2" w:rsidRPr="004E0206" w:rsidTr="00245E18">
        <w:trPr>
          <w:trHeight w:val="325"/>
        </w:trPr>
        <w:tc>
          <w:tcPr>
            <w:tcW w:w="1841" w:type="dxa"/>
            <w:tcBorders>
              <w:top w:val="nil"/>
              <w:left w:val="nil"/>
              <w:bottom w:val="single" w:sz="12" w:space="0" w:color="auto"/>
              <w:right w:val="nil"/>
            </w:tcBorders>
            <w:noWrap/>
            <w:vAlign w:val="center"/>
          </w:tcPr>
          <w:p w:rsidR="007459B2" w:rsidRPr="000B16A8" w:rsidRDefault="007459B2" w:rsidP="00245E18">
            <w:pPr>
              <w:widowControl/>
              <w:autoSpaceDE/>
              <w:autoSpaceDN/>
              <w:adjustRightInd/>
              <w:jc w:val="center"/>
              <w:rPr>
                <w:rFonts w:cs="Arial"/>
                <w:b/>
                <w:i/>
                <w:iCs/>
                <w:color w:val="000000"/>
                <w:szCs w:val="20"/>
                <w:highlight w:val="cyan"/>
              </w:rPr>
            </w:pPr>
            <w:r>
              <w:rPr>
                <w:b/>
                <w:i/>
                <w:color w:val="000000"/>
              </w:rPr>
              <w:t>Nivel</w:t>
            </w:r>
          </w:p>
        </w:tc>
        <w:tc>
          <w:tcPr>
            <w:tcW w:w="1455" w:type="dxa"/>
            <w:tcBorders>
              <w:top w:val="nil"/>
              <w:left w:val="nil"/>
              <w:bottom w:val="single" w:sz="12" w:space="0" w:color="auto"/>
              <w:right w:val="nil"/>
            </w:tcBorders>
            <w:vAlign w:val="center"/>
          </w:tcPr>
          <w:p w:rsidR="007459B2" w:rsidRPr="00DF5AF6" w:rsidRDefault="007459B2" w:rsidP="00245E18">
            <w:pPr>
              <w:widowControl/>
              <w:autoSpaceDE/>
              <w:autoSpaceDN/>
              <w:adjustRightInd/>
              <w:jc w:val="center"/>
              <w:rPr>
                <w:rFonts w:cs="Arial"/>
                <w:b/>
                <w:i/>
                <w:iCs/>
                <w:color w:val="000000"/>
                <w:szCs w:val="20"/>
              </w:rPr>
            </w:pPr>
            <w:r>
              <w:rPr>
                <w:b/>
                <w:i/>
                <w:color w:val="000000"/>
              </w:rPr>
              <w:t>2018</w:t>
            </w:r>
          </w:p>
        </w:tc>
        <w:tc>
          <w:tcPr>
            <w:tcW w:w="1455" w:type="dxa"/>
            <w:tcBorders>
              <w:top w:val="nil"/>
              <w:left w:val="nil"/>
              <w:bottom w:val="single" w:sz="12" w:space="0" w:color="auto"/>
              <w:right w:val="nil"/>
            </w:tcBorders>
            <w:vAlign w:val="center"/>
          </w:tcPr>
          <w:p w:rsidR="007459B2" w:rsidRPr="000B16A8" w:rsidRDefault="007459B2" w:rsidP="00245E18">
            <w:pPr>
              <w:widowControl/>
              <w:autoSpaceDE/>
              <w:autoSpaceDN/>
              <w:adjustRightInd/>
              <w:jc w:val="center"/>
              <w:rPr>
                <w:rFonts w:cs="Arial"/>
                <w:b/>
                <w:i/>
                <w:iCs/>
                <w:color w:val="000000"/>
                <w:szCs w:val="20"/>
                <w:highlight w:val="cyan"/>
              </w:rPr>
            </w:pPr>
            <w:r>
              <w:rPr>
                <w:b/>
                <w:i/>
                <w:color w:val="000000"/>
              </w:rPr>
              <w:t>2019</w:t>
            </w:r>
          </w:p>
        </w:tc>
        <w:tc>
          <w:tcPr>
            <w:tcW w:w="1455" w:type="dxa"/>
            <w:tcBorders>
              <w:top w:val="nil"/>
              <w:left w:val="nil"/>
              <w:bottom w:val="single" w:sz="12" w:space="0" w:color="auto"/>
              <w:right w:val="nil"/>
            </w:tcBorders>
            <w:vAlign w:val="center"/>
          </w:tcPr>
          <w:p w:rsidR="007459B2" w:rsidRPr="000B16A8" w:rsidRDefault="007459B2" w:rsidP="00245E18">
            <w:pPr>
              <w:widowControl/>
              <w:autoSpaceDE/>
              <w:autoSpaceDN/>
              <w:adjustRightInd/>
              <w:jc w:val="center"/>
              <w:rPr>
                <w:rFonts w:cs="Arial"/>
                <w:b/>
                <w:i/>
                <w:iCs/>
                <w:color w:val="000000"/>
                <w:szCs w:val="20"/>
                <w:highlight w:val="cyan"/>
              </w:rPr>
            </w:pPr>
            <w:r>
              <w:rPr>
                <w:b/>
                <w:i/>
                <w:color w:val="000000"/>
              </w:rPr>
              <w:t>2020</w:t>
            </w:r>
          </w:p>
        </w:tc>
      </w:tr>
      <w:tr w:rsidR="007459B2" w:rsidRPr="004E0206" w:rsidTr="00245E18">
        <w:trPr>
          <w:trHeight w:val="325"/>
        </w:trPr>
        <w:tc>
          <w:tcPr>
            <w:tcW w:w="1841" w:type="dxa"/>
            <w:tcBorders>
              <w:top w:val="nil"/>
              <w:left w:val="nil"/>
              <w:bottom w:val="nil"/>
              <w:right w:val="nil"/>
            </w:tcBorders>
            <w:noWrap/>
            <w:vAlign w:val="center"/>
          </w:tcPr>
          <w:p w:rsidR="007459B2" w:rsidRPr="004E0206" w:rsidRDefault="007459B2" w:rsidP="00245E18">
            <w:pPr>
              <w:widowControl/>
              <w:autoSpaceDE/>
              <w:autoSpaceDN/>
              <w:adjustRightInd/>
              <w:jc w:val="center"/>
              <w:rPr>
                <w:rFonts w:cs="Arial"/>
                <w:color w:val="000000"/>
                <w:szCs w:val="20"/>
              </w:rPr>
            </w:pPr>
            <w:r>
              <w:rPr>
                <w:color w:val="000000"/>
              </w:rPr>
              <w:t>D-1</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213.943 </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218.222 </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222.586 </w:t>
            </w:r>
          </w:p>
        </w:tc>
      </w:tr>
      <w:tr w:rsidR="007459B2" w:rsidRPr="004E0206" w:rsidTr="00245E18">
        <w:trPr>
          <w:trHeight w:val="310"/>
        </w:trPr>
        <w:tc>
          <w:tcPr>
            <w:tcW w:w="1841" w:type="dxa"/>
            <w:tcBorders>
              <w:top w:val="nil"/>
              <w:left w:val="nil"/>
              <w:bottom w:val="nil"/>
              <w:right w:val="nil"/>
            </w:tcBorders>
            <w:noWrap/>
            <w:vAlign w:val="center"/>
          </w:tcPr>
          <w:p w:rsidR="007459B2" w:rsidRPr="004E0206" w:rsidRDefault="007459B2" w:rsidP="00245E18">
            <w:pPr>
              <w:widowControl/>
              <w:autoSpaceDE/>
              <w:autoSpaceDN/>
              <w:adjustRightInd/>
              <w:jc w:val="center"/>
              <w:rPr>
                <w:rFonts w:cs="Arial"/>
                <w:color w:val="000000"/>
                <w:szCs w:val="20"/>
              </w:rPr>
            </w:pPr>
            <w:r>
              <w:rPr>
                <w:color w:val="000000"/>
              </w:rPr>
              <w:t>P-5</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182.144 </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185.787 </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189.503 </w:t>
            </w:r>
          </w:p>
        </w:tc>
      </w:tr>
      <w:tr w:rsidR="007459B2" w:rsidRPr="004E0206" w:rsidTr="00245E18">
        <w:trPr>
          <w:trHeight w:val="310"/>
        </w:trPr>
        <w:tc>
          <w:tcPr>
            <w:tcW w:w="1841" w:type="dxa"/>
            <w:tcBorders>
              <w:top w:val="nil"/>
              <w:left w:val="nil"/>
              <w:bottom w:val="nil"/>
              <w:right w:val="nil"/>
            </w:tcBorders>
            <w:noWrap/>
            <w:vAlign w:val="center"/>
          </w:tcPr>
          <w:p w:rsidR="007459B2" w:rsidRPr="004E0206" w:rsidRDefault="007459B2" w:rsidP="00245E18">
            <w:pPr>
              <w:widowControl/>
              <w:autoSpaceDE/>
              <w:autoSpaceDN/>
              <w:adjustRightInd/>
              <w:jc w:val="center"/>
              <w:rPr>
                <w:rFonts w:cs="Arial"/>
                <w:color w:val="000000"/>
                <w:szCs w:val="20"/>
              </w:rPr>
            </w:pPr>
            <w:r>
              <w:rPr>
                <w:color w:val="000000"/>
              </w:rPr>
              <w:t>P-4</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155.926 </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159.044 </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162.225 </w:t>
            </w:r>
          </w:p>
        </w:tc>
      </w:tr>
      <w:tr w:rsidR="007459B2" w:rsidRPr="004E0206" w:rsidTr="00245E18">
        <w:trPr>
          <w:trHeight w:val="310"/>
        </w:trPr>
        <w:tc>
          <w:tcPr>
            <w:tcW w:w="1841" w:type="dxa"/>
            <w:tcBorders>
              <w:top w:val="nil"/>
              <w:left w:val="nil"/>
              <w:bottom w:val="nil"/>
              <w:right w:val="nil"/>
            </w:tcBorders>
            <w:noWrap/>
            <w:vAlign w:val="center"/>
          </w:tcPr>
          <w:p w:rsidR="007459B2" w:rsidRPr="004E0206" w:rsidRDefault="007459B2" w:rsidP="00245E18">
            <w:pPr>
              <w:widowControl/>
              <w:autoSpaceDE/>
              <w:autoSpaceDN/>
              <w:adjustRightInd/>
              <w:jc w:val="center"/>
              <w:rPr>
                <w:rFonts w:cs="Arial"/>
                <w:color w:val="000000"/>
                <w:szCs w:val="20"/>
              </w:rPr>
            </w:pPr>
            <w:r>
              <w:rPr>
                <w:color w:val="000000"/>
              </w:rPr>
              <w:t>P-3</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130.694 </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133.308 </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135.974 </w:t>
            </w:r>
          </w:p>
        </w:tc>
      </w:tr>
      <w:tr w:rsidR="007459B2" w:rsidRPr="004E0206" w:rsidTr="00245E18">
        <w:trPr>
          <w:trHeight w:val="310"/>
        </w:trPr>
        <w:tc>
          <w:tcPr>
            <w:tcW w:w="1841" w:type="dxa"/>
            <w:tcBorders>
              <w:top w:val="nil"/>
              <w:left w:val="nil"/>
              <w:bottom w:val="nil"/>
              <w:right w:val="nil"/>
            </w:tcBorders>
            <w:noWrap/>
            <w:vAlign w:val="center"/>
          </w:tcPr>
          <w:p w:rsidR="007459B2" w:rsidRPr="004E0206" w:rsidRDefault="007459B2" w:rsidP="00245E18">
            <w:pPr>
              <w:widowControl/>
              <w:autoSpaceDE/>
              <w:autoSpaceDN/>
              <w:adjustRightInd/>
              <w:jc w:val="center"/>
              <w:rPr>
                <w:rFonts w:cs="Arial"/>
                <w:color w:val="000000"/>
                <w:szCs w:val="20"/>
              </w:rPr>
            </w:pPr>
            <w:r>
              <w:rPr>
                <w:color w:val="000000"/>
              </w:rPr>
              <w:t>P-2</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106.642 </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108.775 </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110.950 </w:t>
            </w:r>
          </w:p>
        </w:tc>
      </w:tr>
      <w:tr w:rsidR="007459B2" w:rsidRPr="004E0206" w:rsidTr="00245E18">
        <w:trPr>
          <w:trHeight w:val="310"/>
        </w:trPr>
        <w:tc>
          <w:tcPr>
            <w:tcW w:w="1841" w:type="dxa"/>
            <w:tcBorders>
              <w:top w:val="nil"/>
              <w:left w:val="nil"/>
              <w:bottom w:val="nil"/>
              <w:right w:val="nil"/>
            </w:tcBorders>
            <w:noWrap/>
            <w:vAlign w:val="center"/>
          </w:tcPr>
          <w:p w:rsidR="007459B2" w:rsidRPr="004E0206" w:rsidRDefault="007459B2" w:rsidP="00245E18">
            <w:pPr>
              <w:widowControl/>
              <w:autoSpaceDE/>
              <w:autoSpaceDN/>
              <w:adjustRightInd/>
              <w:jc w:val="center"/>
              <w:rPr>
                <w:rFonts w:cs="Arial"/>
                <w:color w:val="000000"/>
                <w:szCs w:val="20"/>
              </w:rPr>
            </w:pPr>
            <w:r>
              <w:rPr>
                <w:color w:val="000000"/>
              </w:rPr>
              <w:t>G-7</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86.833 </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88.569 </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90.341 </w:t>
            </w:r>
          </w:p>
        </w:tc>
      </w:tr>
      <w:tr w:rsidR="007459B2" w:rsidRPr="004E0206" w:rsidTr="00245E18">
        <w:trPr>
          <w:trHeight w:val="310"/>
        </w:trPr>
        <w:tc>
          <w:tcPr>
            <w:tcW w:w="1841" w:type="dxa"/>
            <w:tcBorders>
              <w:top w:val="nil"/>
              <w:left w:val="nil"/>
              <w:bottom w:val="nil"/>
              <w:right w:val="nil"/>
            </w:tcBorders>
            <w:noWrap/>
            <w:vAlign w:val="center"/>
          </w:tcPr>
          <w:p w:rsidR="007459B2" w:rsidRPr="004E0206" w:rsidRDefault="007459B2" w:rsidP="00245E18">
            <w:pPr>
              <w:widowControl/>
              <w:autoSpaceDE/>
              <w:autoSpaceDN/>
              <w:adjustRightInd/>
              <w:jc w:val="center"/>
              <w:rPr>
                <w:rFonts w:cs="Arial"/>
                <w:color w:val="000000"/>
                <w:szCs w:val="20"/>
              </w:rPr>
            </w:pPr>
            <w:r>
              <w:rPr>
                <w:color w:val="000000"/>
              </w:rPr>
              <w:t>G-6</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76.933 </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78.472 </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80.041 </w:t>
            </w:r>
          </w:p>
        </w:tc>
      </w:tr>
      <w:tr w:rsidR="007459B2" w:rsidRPr="004E0206" w:rsidTr="00245E18">
        <w:trPr>
          <w:trHeight w:val="310"/>
        </w:trPr>
        <w:tc>
          <w:tcPr>
            <w:tcW w:w="1841" w:type="dxa"/>
            <w:tcBorders>
              <w:top w:val="nil"/>
              <w:left w:val="nil"/>
              <w:bottom w:val="nil"/>
              <w:right w:val="nil"/>
            </w:tcBorders>
            <w:noWrap/>
            <w:vAlign w:val="center"/>
          </w:tcPr>
          <w:p w:rsidR="007459B2" w:rsidRPr="004E0206" w:rsidRDefault="007459B2" w:rsidP="00245E18">
            <w:pPr>
              <w:widowControl/>
              <w:autoSpaceDE/>
              <w:autoSpaceDN/>
              <w:adjustRightInd/>
              <w:jc w:val="center"/>
              <w:rPr>
                <w:rFonts w:cs="Arial"/>
                <w:color w:val="000000"/>
                <w:szCs w:val="20"/>
              </w:rPr>
            </w:pPr>
            <w:r>
              <w:rPr>
                <w:color w:val="000000"/>
              </w:rPr>
              <w:t>G-5</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68.106 </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69.468 </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70.858 </w:t>
            </w:r>
          </w:p>
        </w:tc>
      </w:tr>
      <w:tr w:rsidR="007459B2" w:rsidRPr="004E0206" w:rsidTr="00245E18">
        <w:trPr>
          <w:trHeight w:val="310"/>
        </w:trPr>
        <w:tc>
          <w:tcPr>
            <w:tcW w:w="1841" w:type="dxa"/>
            <w:tcBorders>
              <w:top w:val="nil"/>
              <w:left w:val="nil"/>
              <w:bottom w:val="nil"/>
              <w:right w:val="nil"/>
            </w:tcBorders>
            <w:noWrap/>
            <w:vAlign w:val="center"/>
          </w:tcPr>
          <w:p w:rsidR="007459B2" w:rsidRPr="004E0206" w:rsidRDefault="007459B2" w:rsidP="00245E18">
            <w:pPr>
              <w:widowControl/>
              <w:autoSpaceDE/>
              <w:autoSpaceDN/>
              <w:adjustRightInd/>
              <w:jc w:val="center"/>
              <w:rPr>
                <w:rFonts w:cs="Arial"/>
                <w:color w:val="000000"/>
                <w:szCs w:val="20"/>
              </w:rPr>
            </w:pPr>
            <w:r>
              <w:rPr>
                <w:color w:val="000000"/>
              </w:rPr>
              <w:t>G-4</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60.215 </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61.419 </w:t>
            </w:r>
          </w:p>
        </w:tc>
        <w:tc>
          <w:tcPr>
            <w:tcW w:w="1455" w:type="dxa"/>
            <w:tcBorders>
              <w:top w:val="nil"/>
              <w:left w:val="nil"/>
              <w:bottom w:val="nil"/>
              <w:right w:val="nil"/>
            </w:tcBorders>
            <w:noWrap/>
            <w:vAlign w:val="center"/>
          </w:tcPr>
          <w:p w:rsidR="007459B2" w:rsidRPr="004E0206" w:rsidRDefault="007459B2" w:rsidP="00245E18">
            <w:pPr>
              <w:widowControl/>
              <w:autoSpaceDE/>
              <w:autoSpaceDN/>
              <w:adjustRightInd/>
              <w:jc w:val="right"/>
              <w:rPr>
                <w:rFonts w:cs="Arial"/>
                <w:color w:val="000000"/>
                <w:szCs w:val="20"/>
              </w:rPr>
            </w:pPr>
            <w:r>
              <w:rPr>
                <w:color w:val="000000"/>
              </w:rPr>
              <w:t xml:space="preserve">         62.648 </w:t>
            </w:r>
          </w:p>
        </w:tc>
      </w:tr>
    </w:tbl>
    <w:p w:rsidR="007459B2" w:rsidRPr="00903B7F" w:rsidRDefault="007459B2" w:rsidP="0033299A">
      <w:pPr>
        <w:rPr>
          <w:rFonts w:cs="Arial"/>
          <w:sz w:val="22"/>
          <w:szCs w:val="22"/>
        </w:rPr>
      </w:pPr>
    </w:p>
    <w:p w:rsidR="007459B2" w:rsidRPr="00903B7F" w:rsidRDefault="007459B2" w:rsidP="008F58F6">
      <w:pPr>
        <w:rPr>
          <w:rFonts w:cs="Arial"/>
          <w:b/>
          <w:sz w:val="22"/>
          <w:szCs w:val="22"/>
        </w:rPr>
      </w:pPr>
      <w:r>
        <w:rPr>
          <w:b/>
          <w:sz w:val="22"/>
        </w:rPr>
        <w:t>Hipótesis presupuestarias para 2018- 2020</w:t>
      </w:r>
    </w:p>
    <w:p w:rsidR="007459B2" w:rsidRPr="00903B7F" w:rsidRDefault="007459B2" w:rsidP="0033299A">
      <w:pPr>
        <w:pStyle w:val="NoSpacing"/>
        <w:jc w:val="both"/>
        <w:rPr>
          <w:rFonts w:ascii="Arial" w:hAnsi="Arial" w:cs="Arial"/>
        </w:rPr>
      </w:pPr>
    </w:p>
    <w:p w:rsidR="007459B2" w:rsidRPr="008F58F6" w:rsidRDefault="007459B2" w:rsidP="008F58F6">
      <w:pPr>
        <w:numPr>
          <w:ilvl w:val="0"/>
          <w:numId w:val="2"/>
        </w:numPr>
        <w:tabs>
          <w:tab w:val="left" w:pos="360"/>
        </w:tabs>
        <w:contextualSpacing/>
        <w:jc w:val="both"/>
        <w:rPr>
          <w:rFonts w:cs="Arial"/>
          <w:sz w:val="22"/>
          <w:szCs w:val="22"/>
        </w:rPr>
      </w:pPr>
      <w:r>
        <w:rPr>
          <w:sz w:val="22"/>
        </w:rPr>
        <w:t xml:space="preserve">Para las diferentes hipótesis que se describen a continuación el presupuesto se ha dividido en las categorías siguientes: </w:t>
      </w:r>
    </w:p>
    <w:p w:rsidR="007459B2" w:rsidRPr="00903B7F" w:rsidRDefault="007459B2" w:rsidP="008879C1">
      <w:pPr>
        <w:pStyle w:val="NoSpacing"/>
        <w:numPr>
          <w:ilvl w:val="0"/>
          <w:numId w:val="14"/>
        </w:numPr>
        <w:spacing w:after="60"/>
        <w:jc w:val="both"/>
        <w:rPr>
          <w:rFonts w:ascii="Arial" w:hAnsi="Arial" w:cs="Arial"/>
        </w:rPr>
      </w:pPr>
      <w:r>
        <w:rPr>
          <w:rFonts w:ascii="Arial" w:hAnsi="Arial"/>
        </w:rPr>
        <w:t xml:space="preserve">Personal  </w:t>
      </w:r>
    </w:p>
    <w:p w:rsidR="007459B2" w:rsidRPr="00903B7F" w:rsidRDefault="007459B2" w:rsidP="008879C1">
      <w:pPr>
        <w:pStyle w:val="NoSpacing"/>
        <w:numPr>
          <w:ilvl w:val="0"/>
          <w:numId w:val="14"/>
        </w:numPr>
        <w:spacing w:after="60"/>
        <w:jc w:val="both"/>
        <w:rPr>
          <w:rFonts w:ascii="Arial" w:hAnsi="Arial" w:cs="Arial"/>
        </w:rPr>
      </w:pPr>
      <w:r>
        <w:rPr>
          <w:rFonts w:ascii="Arial" w:hAnsi="Arial"/>
        </w:rPr>
        <w:t>Servicios contractuales</w:t>
      </w:r>
    </w:p>
    <w:p w:rsidR="007459B2" w:rsidRPr="00903B7F" w:rsidRDefault="007459B2" w:rsidP="008879C1">
      <w:pPr>
        <w:pStyle w:val="NoSpacing"/>
        <w:numPr>
          <w:ilvl w:val="0"/>
          <w:numId w:val="14"/>
        </w:numPr>
        <w:spacing w:after="60"/>
        <w:jc w:val="both"/>
        <w:rPr>
          <w:rFonts w:ascii="Arial" w:hAnsi="Arial" w:cs="Arial"/>
        </w:rPr>
      </w:pPr>
      <w:r>
        <w:rPr>
          <w:rFonts w:ascii="Arial" w:hAnsi="Arial"/>
        </w:rPr>
        <w:t xml:space="preserve">Gastos de funcionamiento </w:t>
      </w:r>
    </w:p>
    <w:p w:rsidR="007459B2" w:rsidRPr="00903B7F" w:rsidRDefault="007459B2" w:rsidP="008879C1">
      <w:pPr>
        <w:pStyle w:val="NoSpacing"/>
        <w:numPr>
          <w:ilvl w:val="0"/>
          <w:numId w:val="14"/>
        </w:numPr>
        <w:spacing w:after="60"/>
        <w:jc w:val="both"/>
        <w:rPr>
          <w:rFonts w:ascii="Arial" w:hAnsi="Arial" w:cs="Arial"/>
        </w:rPr>
      </w:pPr>
      <w:r>
        <w:rPr>
          <w:rFonts w:ascii="Arial" w:hAnsi="Arial"/>
        </w:rPr>
        <w:t>Suministros</w:t>
      </w:r>
    </w:p>
    <w:p w:rsidR="007459B2" w:rsidRPr="00903B7F" w:rsidRDefault="007459B2" w:rsidP="008879C1">
      <w:pPr>
        <w:pStyle w:val="NoSpacing"/>
        <w:numPr>
          <w:ilvl w:val="0"/>
          <w:numId w:val="14"/>
        </w:numPr>
        <w:spacing w:after="60"/>
        <w:jc w:val="both"/>
        <w:rPr>
          <w:rFonts w:ascii="Arial" w:hAnsi="Arial" w:cs="Arial"/>
        </w:rPr>
      </w:pPr>
      <w:r>
        <w:rPr>
          <w:rFonts w:ascii="Arial" w:hAnsi="Arial"/>
        </w:rPr>
        <w:t>Equipo</w:t>
      </w:r>
    </w:p>
    <w:p w:rsidR="007459B2" w:rsidRPr="00903B7F" w:rsidRDefault="007459B2" w:rsidP="008879C1">
      <w:pPr>
        <w:pStyle w:val="NoSpacing"/>
        <w:numPr>
          <w:ilvl w:val="0"/>
          <w:numId w:val="14"/>
        </w:numPr>
        <w:spacing w:after="60"/>
        <w:jc w:val="both"/>
        <w:rPr>
          <w:rFonts w:ascii="Arial" w:hAnsi="Arial" w:cs="Arial"/>
        </w:rPr>
      </w:pPr>
      <w:r>
        <w:rPr>
          <w:rFonts w:ascii="Arial" w:hAnsi="Arial"/>
        </w:rPr>
        <w:t xml:space="preserve">Viajes </w:t>
      </w:r>
    </w:p>
    <w:p w:rsidR="007459B2" w:rsidRDefault="007459B2" w:rsidP="008879C1">
      <w:pPr>
        <w:pStyle w:val="NoSpacing"/>
        <w:numPr>
          <w:ilvl w:val="0"/>
          <w:numId w:val="14"/>
        </w:numPr>
        <w:spacing w:after="60"/>
        <w:jc w:val="both"/>
        <w:rPr>
          <w:rFonts w:ascii="Arial" w:hAnsi="Arial" w:cs="Arial"/>
        </w:rPr>
      </w:pPr>
      <w:r>
        <w:rPr>
          <w:rFonts w:ascii="Arial" w:hAnsi="Arial"/>
        </w:rPr>
        <w:t>Gastos de apoyo a los programas (13% de los gastos generales administrativos de la ONU Medio Ambiente)</w:t>
      </w:r>
    </w:p>
    <w:p w:rsidR="007459B2" w:rsidRPr="00903B7F" w:rsidRDefault="007459B2" w:rsidP="001E0D2C">
      <w:pPr>
        <w:pStyle w:val="NoSpacing"/>
        <w:spacing w:before="60" w:after="60"/>
        <w:ind w:left="720"/>
        <w:jc w:val="both"/>
        <w:rPr>
          <w:rFonts w:ascii="Arial" w:hAnsi="Arial" w:cs="Arial"/>
        </w:rPr>
      </w:pPr>
    </w:p>
    <w:p w:rsidR="007459B2" w:rsidRPr="001E0D2C" w:rsidRDefault="007459B2" w:rsidP="001E0D2C">
      <w:pPr>
        <w:numPr>
          <w:ilvl w:val="0"/>
          <w:numId w:val="2"/>
        </w:numPr>
        <w:tabs>
          <w:tab w:val="left" w:pos="360"/>
        </w:tabs>
        <w:contextualSpacing/>
        <w:jc w:val="both"/>
        <w:rPr>
          <w:rFonts w:cs="Arial"/>
          <w:sz w:val="22"/>
          <w:szCs w:val="22"/>
        </w:rPr>
      </w:pPr>
      <w:r>
        <w:rPr>
          <w:sz w:val="22"/>
        </w:rPr>
        <w:t>En el Anexo 1 se proporcionan detalles adicionales para cada una de las hipótesis. Las cifras en rojo en el presupuesto propuesto indican que se propone un aumento en la cuantía de la partida presupuestaria con respecto a la hipótesis anterior. En el Anexo 2 se proporciona a las Partes una visión general de la escala de cuotas anuales para el período 2018-2020, junto con las cuotas anuales medias indicativas para el presupuesto propuesto. En este Anexo se proporcionan también, para fines de comparación, las cuotas asignadas para el período 2015-2017 y la correspondiente escala de cuotas de las Naciones Unidas.</w:t>
      </w:r>
    </w:p>
    <w:p w:rsidR="007459B2" w:rsidRPr="00903B7F" w:rsidRDefault="007459B2" w:rsidP="0033299A">
      <w:pPr>
        <w:pStyle w:val="NoSpacing"/>
        <w:jc w:val="both"/>
        <w:rPr>
          <w:rFonts w:ascii="Arial" w:hAnsi="Arial" w:cs="Arial"/>
        </w:rPr>
      </w:pPr>
    </w:p>
    <w:p w:rsidR="007459B2" w:rsidRPr="00903B7F" w:rsidRDefault="007459B2" w:rsidP="0033299A">
      <w:pPr>
        <w:pStyle w:val="NoSpacing"/>
        <w:jc w:val="both"/>
        <w:rPr>
          <w:rFonts w:ascii="Arial" w:hAnsi="Arial" w:cs="Arial"/>
          <w:b/>
        </w:rPr>
      </w:pPr>
      <w:r>
        <w:rPr>
          <w:rFonts w:ascii="Arial" w:hAnsi="Arial"/>
          <w:b/>
        </w:rPr>
        <w:t>Hipótesis 1: Crecimiento nominal cero con respecto al presupuesto para 2015 - 2017</w:t>
      </w:r>
    </w:p>
    <w:p w:rsidR="007459B2" w:rsidRPr="00903B7F" w:rsidRDefault="007459B2" w:rsidP="0033299A">
      <w:pPr>
        <w:pStyle w:val="NoSpacing"/>
        <w:jc w:val="both"/>
        <w:rPr>
          <w:rFonts w:ascii="Arial" w:hAnsi="Arial" w:cs="Arial"/>
          <w:b/>
        </w:rPr>
      </w:pPr>
    </w:p>
    <w:p w:rsidR="007459B2" w:rsidRPr="00502DE0" w:rsidRDefault="007459B2" w:rsidP="00502DE0">
      <w:pPr>
        <w:numPr>
          <w:ilvl w:val="0"/>
          <w:numId w:val="2"/>
        </w:numPr>
        <w:tabs>
          <w:tab w:val="left" w:pos="360"/>
        </w:tabs>
        <w:contextualSpacing/>
        <w:jc w:val="both"/>
        <w:rPr>
          <w:rFonts w:cs="Arial"/>
          <w:sz w:val="22"/>
          <w:szCs w:val="22"/>
        </w:rPr>
      </w:pPr>
      <w:r>
        <w:rPr>
          <w:sz w:val="22"/>
        </w:rPr>
        <w:t xml:space="preserve">En la Hipótesis 1, no se prevé aumento alguno con respecto al presupuesto aprobado para el trienio 2015-2017. Por lo que respecta al personal de la Secretaría, en esta opción se prevé la confirmación de todos los puestos actualmente existentes como personal ordinario y la aplicación de sueldos estándar, así como la aplicación de una tasa de aumento de la inflación del 2% a todas las partidas presupuestarias.  Con el fin de mantener el mismo nivel de presupuesto en esta hipótesis, no se asignan fondos para las reuniones de los órganos rectores.  Por consiguiente, la Secretaría tendría que dedicar enormes esfuerzos para movilizar recursos extrapresupuestarios antes de embarcarse en organizar las reuniones de los órganos rectores, tales como el Comité del período de sesiones del Consejo Científico y el Comité Permanente. Por otra parte, no podrían asignarse fondos para la prestación de los servicios necesarios para la COP13, incluidos los servicios de interpretación y redacción de informes.  </w:t>
      </w:r>
    </w:p>
    <w:p w:rsidR="007459B2" w:rsidRPr="00903B7F" w:rsidRDefault="007459B2" w:rsidP="0033299A">
      <w:pPr>
        <w:pStyle w:val="ListParagraph"/>
        <w:widowControl/>
        <w:kinsoku w:val="0"/>
        <w:overflowPunct w:val="0"/>
        <w:autoSpaceDE/>
        <w:autoSpaceDN/>
        <w:adjustRightInd/>
        <w:ind w:left="0"/>
        <w:jc w:val="both"/>
        <w:textAlignment w:val="baseline"/>
        <w:rPr>
          <w:rFonts w:cs="Arial"/>
          <w:sz w:val="22"/>
          <w:szCs w:val="22"/>
        </w:rPr>
      </w:pPr>
    </w:p>
    <w:tbl>
      <w:tblPr>
        <w:tblW w:w="8041" w:type="dxa"/>
        <w:jc w:val="center"/>
        <w:tblLook w:val="00A0" w:firstRow="1" w:lastRow="0" w:firstColumn="1" w:lastColumn="0" w:noHBand="0" w:noVBand="0"/>
      </w:tblPr>
      <w:tblGrid>
        <w:gridCol w:w="5182"/>
        <w:gridCol w:w="2859"/>
      </w:tblGrid>
      <w:tr w:rsidR="007459B2" w:rsidRPr="00903B7F" w:rsidTr="00245E18">
        <w:trPr>
          <w:trHeight w:val="404"/>
          <w:jc w:val="center"/>
        </w:trPr>
        <w:tc>
          <w:tcPr>
            <w:tcW w:w="8041" w:type="dxa"/>
            <w:gridSpan w:val="2"/>
            <w:tcBorders>
              <w:top w:val="single" w:sz="8" w:space="0" w:color="auto"/>
              <w:left w:val="single" w:sz="8" w:space="0" w:color="auto"/>
              <w:bottom w:val="single" w:sz="8" w:space="0" w:color="auto"/>
              <w:right w:val="single" w:sz="8" w:space="0" w:color="auto"/>
            </w:tcBorders>
            <w:noWrap/>
            <w:vAlign w:val="center"/>
          </w:tcPr>
          <w:p w:rsidR="007459B2" w:rsidRPr="00903B7F" w:rsidRDefault="007459B2" w:rsidP="00245E18">
            <w:pPr>
              <w:widowControl/>
              <w:autoSpaceDE/>
              <w:autoSpaceDN/>
              <w:adjustRightInd/>
              <w:rPr>
                <w:rFonts w:cs="Arial"/>
                <w:color w:val="000000"/>
                <w:szCs w:val="20"/>
              </w:rPr>
            </w:pPr>
            <w:r>
              <w:rPr>
                <w:b/>
                <w:color w:val="000000"/>
              </w:rPr>
              <w:t>Costos totales por categoría para el período 2018-2020 (en euros)</w:t>
            </w:r>
          </w:p>
        </w:tc>
      </w:tr>
      <w:tr w:rsidR="007459B2" w:rsidRPr="00903B7F" w:rsidTr="00245E18">
        <w:trPr>
          <w:trHeight w:val="206"/>
          <w:jc w:val="center"/>
        </w:trPr>
        <w:tc>
          <w:tcPr>
            <w:tcW w:w="5182" w:type="dxa"/>
            <w:tcBorders>
              <w:top w:val="nil"/>
              <w:left w:val="single" w:sz="8" w:space="0" w:color="auto"/>
              <w:bottom w:val="single" w:sz="4" w:space="0" w:color="auto"/>
              <w:right w:val="single" w:sz="4" w:space="0" w:color="auto"/>
            </w:tcBorders>
            <w:noWrap/>
            <w:vAlign w:val="center"/>
          </w:tcPr>
          <w:p w:rsidR="007459B2" w:rsidRPr="00903B7F" w:rsidRDefault="007459B2" w:rsidP="00245E18">
            <w:pPr>
              <w:widowControl/>
              <w:autoSpaceDE/>
              <w:autoSpaceDN/>
              <w:adjustRightInd/>
              <w:rPr>
                <w:rFonts w:cs="Arial"/>
                <w:color w:val="000000"/>
                <w:szCs w:val="20"/>
              </w:rPr>
            </w:pPr>
            <w:r>
              <w:rPr>
                <w:color w:val="000000"/>
              </w:rPr>
              <w:t xml:space="preserve">Personal  </w:t>
            </w:r>
          </w:p>
        </w:tc>
        <w:tc>
          <w:tcPr>
            <w:tcW w:w="2859" w:type="dxa"/>
            <w:tcBorders>
              <w:top w:val="nil"/>
              <w:left w:val="nil"/>
              <w:bottom w:val="single" w:sz="4" w:space="0" w:color="auto"/>
              <w:right w:val="single" w:sz="8" w:space="0" w:color="auto"/>
            </w:tcBorders>
            <w:noWrap/>
            <w:vAlign w:val="center"/>
          </w:tcPr>
          <w:p w:rsidR="007459B2" w:rsidRPr="00903B7F" w:rsidRDefault="007459B2" w:rsidP="00245E18">
            <w:pPr>
              <w:widowControl/>
              <w:autoSpaceDE/>
              <w:autoSpaceDN/>
              <w:adjustRightInd/>
              <w:jc w:val="right"/>
              <w:rPr>
                <w:rFonts w:cs="Arial"/>
                <w:color w:val="000000"/>
                <w:szCs w:val="20"/>
              </w:rPr>
            </w:pPr>
            <w:r>
              <w:rPr>
                <w:color w:val="000000"/>
              </w:rPr>
              <w:t xml:space="preserve">                          5 606 860 </w:t>
            </w:r>
          </w:p>
        </w:tc>
      </w:tr>
      <w:tr w:rsidR="007459B2" w:rsidRPr="00903B7F" w:rsidTr="00245E18">
        <w:trPr>
          <w:trHeight w:val="206"/>
          <w:jc w:val="center"/>
        </w:trPr>
        <w:tc>
          <w:tcPr>
            <w:tcW w:w="5182" w:type="dxa"/>
            <w:tcBorders>
              <w:top w:val="nil"/>
              <w:left w:val="single" w:sz="8" w:space="0" w:color="auto"/>
              <w:bottom w:val="single" w:sz="4" w:space="0" w:color="auto"/>
              <w:right w:val="single" w:sz="4" w:space="0" w:color="auto"/>
            </w:tcBorders>
            <w:noWrap/>
            <w:vAlign w:val="center"/>
          </w:tcPr>
          <w:p w:rsidR="007459B2" w:rsidRPr="00903B7F" w:rsidRDefault="007459B2" w:rsidP="00245E18">
            <w:pPr>
              <w:widowControl/>
              <w:autoSpaceDE/>
              <w:autoSpaceDN/>
              <w:adjustRightInd/>
              <w:rPr>
                <w:rFonts w:cs="Arial"/>
                <w:color w:val="000000"/>
                <w:szCs w:val="20"/>
              </w:rPr>
            </w:pPr>
            <w:r>
              <w:rPr>
                <w:color w:val="000000"/>
              </w:rPr>
              <w:t>Servicios contractuales</w:t>
            </w:r>
          </w:p>
        </w:tc>
        <w:tc>
          <w:tcPr>
            <w:tcW w:w="2859" w:type="dxa"/>
            <w:tcBorders>
              <w:top w:val="nil"/>
              <w:left w:val="nil"/>
              <w:bottom w:val="single" w:sz="4" w:space="0" w:color="auto"/>
              <w:right w:val="single" w:sz="8" w:space="0" w:color="auto"/>
            </w:tcBorders>
            <w:noWrap/>
            <w:vAlign w:val="center"/>
          </w:tcPr>
          <w:p w:rsidR="007459B2" w:rsidRPr="00903B7F" w:rsidRDefault="007459B2" w:rsidP="00245E18">
            <w:pPr>
              <w:widowControl/>
              <w:autoSpaceDE/>
              <w:autoSpaceDN/>
              <w:adjustRightInd/>
              <w:jc w:val="right"/>
              <w:rPr>
                <w:rFonts w:cs="Arial"/>
                <w:color w:val="000000"/>
                <w:szCs w:val="20"/>
              </w:rPr>
            </w:pPr>
            <w:r>
              <w:rPr>
                <w:color w:val="000000"/>
              </w:rPr>
              <w:t xml:space="preserve">314 970 </w:t>
            </w:r>
          </w:p>
        </w:tc>
      </w:tr>
      <w:tr w:rsidR="007459B2" w:rsidRPr="00903B7F" w:rsidTr="00245E18">
        <w:trPr>
          <w:trHeight w:val="206"/>
          <w:jc w:val="center"/>
        </w:trPr>
        <w:tc>
          <w:tcPr>
            <w:tcW w:w="5182" w:type="dxa"/>
            <w:tcBorders>
              <w:top w:val="nil"/>
              <w:left w:val="single" w:sz="8" w:space="0" w:color="auto"/>
              <w:bottom w:val="single" w:sz="4" w:space="0" w:color="auto"/>
              <w:right w:val="single" w:sz="4" w:space="0" w:color="auto"/>
            </w:tcBorders>
            <w:noWrap/>
            <w:vAlign w:val="center"/>
          </w:tcPr>
          <w:p w:rsidR="007459B2" w:rsidRPr="00903B7F" w:rsidRDefault="007459B2" w:rsidP="00245E18">
            <w:pPr>
              <w:widowControl/>
              <w:autoSpaceDE/>
              <w:autoSpaceDN/>
              <w:adjustRightInd/>
              <w:rPr>
                <w:rFonts w:cs="Arial"/>
                <w:color w:val="000000"/>
                <w:szCs w:val="20"/>
              </w:rPr>
            </w:pPr>
            <w:r>
              <w:rPr>
                <w:color w:val="000000"/>
              </w:rPr>
              <w:t>Gastos de funcionamiento</w:t>
            </w:r>
          </w:p>
        </w:tc>
        <w:tc>
          <w:tcPr>
            <w:tcW w:w="2859" w:type="dxa"/>
            <w:tcBorders>
              <w:top w:val="nil"/>
              <w:left w:val="nil"/>
              <w:bottom w:val="single" w:sz="4" w:space="0" w:color="auto"/>
              <w:right w:val="single" w:sz="8" w:space="0" w:color="auto"/>
            </w:tcBorders>
            <w:noWrap/>
            <w:vAlign w:val="center"/>
          </w:tcPr>
          <w:p w:rsidR="007459B2" w:rsidRPr="00903B7F" w:rsidRDefault="007459B2" w:rsidP="00245E18">
            <w:pPr>
              <w:widowControl/>
              <w:autoSpaceDE/>
              <w:autoSpaceDN/>
              <w:adjustRightInd/>
              <w:jc w:val="right"/>
              <w:rPr>
                <w:rFonts w:cs="Arial"/>
                <w:color w:val="000000"/>
                <w:szCs w:val="20"/>
              </w:rPr>
            </w:pPr>
            <w:r>
              <w:rPr>
                <w:color w:val="000000"/>
              </w:rPr>
              <w:t xml:space="preserve">                             367 532 </w:t>
            </w:r>
          </w:p>
        </w:tc>
      </w:tr>
      <w:tr w:rsidR="007459B2" w:rsidRPr="00903B7F" w:rsidTr="00245E18">
        <w:trPr>
          <w:trHeight w:val="206"/>
          <w:jc w:val="center"/>
        </w:trPr>
        <w:tc>
          <w:tcPr>
            <w:tcW w:w="5182" w:type="dxa"/>
            <w:tcBorders>
              <w:top w:val="nil"/>
              <w:left w:val="single" w:sz="8" w:space="0" w:color="auto"/>
              <w:bottom w:val="single" w:sz="4" w:space="0" w:color="auto"/>
              <w:right w:val="single" w:sz="4" w:space="0" w:color="auto"/>
            </w:tcBorders>
            <w:noWrap/>
            <w:vAlign w:val="center"/>
          </w:tcPr>
          <w:p w:rsidR="007459B2" w:rsidRPr="00903B7F" w:rsidRDefault="007459B2" w:rsidP="00245E18">
            <w:pPr>
              <w:widowControl/>
              <w:autoSpaceDE/>
              <w:autoSpaceDN/>
              <w:adjustRightInd/>
              <w:rPr>
                <w:rFonts w:cs="Arial"/>
                <w:color w:val="000000"/>
                <w:szCs w:val="20"/>
              </w:rPr>
            </w:pPr>
            <w:r>
              <w:rPr>
                <w:color w:val="000000"/>
              </w:rPr>
              <w:t>Suministros</w:t>
            </w:r>
          </w:p>
        </w:tc>
        <w:tc>
          <w:tcPr>
            <w:tcW w:w="2859" w:type="dxa"/>
            <w:tcBorders>
              <w:top w:val="nil"/>
              <w:left w:val="nil"/>
              <w:bottom w:val="single" w:sz="4" w:space="0" w:color="auto"/>
              <w:right w:val="single" w:sz="8" w:space="0" w:color="auto"/>
            </w:tcBorders>
            <w:noWrap/>
            <w:vAlign w:val="center"/>
          </w:tcPr>
          <w:p w:rsidR="007459B2" w:rsidRPr="00903B7F" w:rsidRDefault="007459B2" w:rsidP="00245E18">
            <w:pPr>
              <w:widowControl/>
              <w:autoSpaceDE/>
              <w:autoSpaceDN/>
              <w:adjustRightInd/>
              <w:jc w:val="right"/>
              <w:rPr>
                <w:rFonts w:cs="Arial"/>
                <w:color w:val="000000"/>
                <w:szCs w:val="20"/>
              </w:rPr>
            </w:pPr>
            <w:r>
              <w:rPr>
                <w:color w:val="000000"/>
              </w:rPr>
              <w:t xml:space="preserve">                               18 105 </w:t>
            </w:r>
          </w:p>
        </w:tc>
      </w:tr>
      <w:tr w:rsidR="007459B2" w:rsidRPr="00903B7F" w:rsidTr="00245E18">
        <w:trPr>
          <w:trHeight w:val="206"/>
          <w:jc w:val="center"/>
        </w:trPr>
        <w:tc>
          <w:tcPr>
            <w:tcW w:w="5182" w:type="dxa"/>
            <w:tcBorders>
              <w:top w:val="nil"/>
              <w:left w:val="single" w:sz="8" w:space="0" w:color="auto"/>
              <w:bottom w:val="single" w:sz="4" w:space="0" w:color="auto"/>
              <w:right w:val="single" w:sz="4" w:space="0" w:color="auto"/>
            </w:tcBorders>
            <w:noWrap/>
            <w:vAlign w:val="center"/>
          </w:tcPr>
          <w:p w:rsidR="007459B2" w:rsidRPr="00903B7F" w:rsidRDefault="007459B2" w:rsidP="00245E18">
            <w:pPr>
              <w:widowControl/>
              <w:autoSpaceDE/>
              <w:autoSpaceDN/>
              <w:adjustRightInd/>
              <w:rPr>
                <w:rFonts w:cs="Arial"/>
                <w:color w:val="000000"/>
                <w:szCs w:val="20"/>
              </w:rPr>
            </w:pPr>
            <w:r>
              <w:rPr>
                <w:color w:val="000000"/>
              </w:rPr>
              <w:t>Equipo</w:t>
            </w:r>
          </w:p>
        </w:tc>
        <w:tc>
          <w:tcPr>
            <w:tcW w:w="2859" w:type="dxa"/>
            <w:tcBorders>
              <w:top w:val="nil"/>
              <w:left w:val="nil"/>
              <w:bottom w:val="single" w:sz="4" w:space="0" w:color="auto"/>
              <w:right w:val="single" w:sz="8" w:space="0" w:color="auto"/>
            </w:tcBorders>
            <w:noWrap/>
            <w:vAlign w:val="center"/>
          </w:tcPr>
          <w:p w:rsidR="007459B2" w:rsidRPr="00903B7F" w:rsidRDefault="007459B2" w:rsidP="00245E18">
            <w:pPr>
              <w:widowControl/>
              <w:autoSpaceDE/>
              <w:autoSpaceDN/>
              <w:adjustRightInd/>
              <w:jc w:val="right"/>
              <w:rPr>
                <w:rFonts w:cs="Arial"/>
                <w:color w:val="000000"/>
                <w:szCs w:val="20"/>
              </w:rPr>
            </w:pPr>
            <w:r>
              <w:rPr>
                <w:color w:val="000000"/>
              </w:rPr>
              <w:t xml:space="preserve">                               32 777 </w:t>
            </w:r>
          </w:p>
        </w:tc>
      </w:tr>
      <w:tr w:rsidR="007459B2" w:rsidRPr="00903B7F" w:rsidTr="00245E18">
        <w:trPr>
          <w:trHeight w:val="206"/>
          <w:jc w:val="center"/>
        </w:trPr>
        <w:tc>
          <w:tcPr>
            <w:tcW w:w="5182" w:type="dxa"/>
            <w:tcBorders>
              <w:top w:val="nil"/>
              <w:left w:val="single" w:sz="8" w:space="0" w:color="auto"/>
              <w:bottom w:val="single" w:sz="4" w:space="0" w:color="auto"/>
              <w:right w:val="single" w:sz="4" w:space="0" w:color="auto"/>
            </w:tcBorders>
            <w:noWrap/>
            <w:vAlign w:val="center"/>
          </w:tcPr>
          <w:p w:rsidR="007459B2" w:rsidRPr="00903B7F" w:rsidRDefault="007459B2" w:rsidP="00245E18">
            <w:pPr>
              <w:widowControl/>
              <w:autoSpaceDE/>
              <w:autoSpaceDN/>
              <w:adjustRightInd/>
              <w:rPr>
                <w:rFonts w:cs="Arial"/>
                <w:color w:val="000000"/>
                <w:szCs w:val="20"/>
              </w:rPr>
            </w:pPr>
            <w:r>
              <w:rPr>
                <w:color w:val="000000"/>
              </w:rPr>
              <w:t xml:space="preserve">Viajes </w:t>
            </w:r>
          </w:p>
        </w:tc>
        <w:tc>
          <w:tcPr>
            <w:tcW w:w="2859" w:type="dxa"/>
            <w:tcBorders>
              <w:top w:val="nil"/>
              <w:left w:val="nil"/>
              <w:bottom w:val="single" w:sz="4" w:space="0" w:color="auto"/>
              <w:right w:val="single" w:sz="8" w:space="0" w:color="auto"/>
            </w:tcBorders>
            <w:noWrap/>
            <w:vAlign w:val="center"/>
          </w:tcPr>
          <w:p w:rsidR="007459B2" w:rsidRPr="00903B7F" w:rsidRDefault="007459B2" w:rsidP="00245E18">
            <w:pPr>
              <w:widowControl/>
              <w:autoSpaceDE/>
              <w:autoSpaceDN/>
              <w:adjustRightInd/>
              <w:jc w:val="right"/>
              <w:rPr>
                <w:rFonts w:cs="Arial"/>
                <w:color w:val="000000"/>
                <w:szCs w:val="20"/>
              </w:rPr>
            </w:pPr>
            <w:r>
              <w:rPr>
                <w:color w:val="000000"/>
              </w:rPr>
              <w:t xml:space="preserve">                             246 152 </w:t>
            </w:r>
          </w:p>
        </w:tc>
      </w:tr>
      <w:tr w:rsidR="007459B2" w:rsidRPr="00903B7F" w:rsidTr="00245E18">
        <w:trPr>
          <w:trHeight w:val="206"/>
          <w:jc w:val="center"/>
        </w:trPr>
        <w:tc>
          <w:tcPr>
            <w:tcW w:w="5182" w:type="dxa"/>
            <w:tcBorders>
              <w:top w:val="nil"/>
              <w:left w:val="single" w:sz="8" w:space="0" w:color="auto"/>
              <w:bottom w:val="single" w:sz="4" w:space="0" w:color="auto"/>
              <w:right w:val="single" w:sz="4" w:space="0" w:color="auto"/>
            </w:tcBorders>
            <w:noWrap/>
            <w:vAlign w:val="center"/>
          </w:tcPr>
          <w:p w:rsidR="007459B2" w:rsidRPr="00903B7F" w:rsidRDefault="007459B2" w:rsidP="00245E18">
            <w:pPr>
              <w:widowControl/>
              <w:autoSpaceDE/>
              <w:autoSpaceDN/>
              <w:adjustRightInd/>
              <w:rPr>
                <w:rFonts w:cs="Arial"/>
                <w:color w:val="000000"/>
                <w:szCs w:val="20"/>
              </w:rPr>
            </w:pPr>
            <w:r>
              <w:rPr>
                <w:color w:val="000000"/>
              </w:rPr>
              <w:t>Gastos de apoyo a los programas</w:t>
            </w:r>
          </w:p>
        </w:tc>
        <w:tc>
          <w:tcPr>
            <w:tcW w:w="2859" w:type="dxa"/>
            <w:tcBorders>
              <w:top w:val="nil"/>
              <w:left w:val="nil"/>
              <w:bottom w:val="single" w:sz="4" w:space="0" w:color="auto"/>
              <w:right w:val="single" w:sz="8" w:space="0" w:color="auto"/>
            </w:tcBorders>
            <w:noWrap/>
            <w:vAlign w:val="center"/>
          </w:tcPr>
          <w:p w:rsidR="007459B2" w:rsidRPr="00903B7F" w:rsidRDefault="007459B2" w:rsidP="00245E18">
            <w:pPr>
              <w:widowControl/>
              <w:autoSpaceDE/>
              <w:autoSpaceDN/>
              <w:adjustRightInd/>
              <w:jc w:val="right"/>
              <w:rPr>
                <w:rFonts w:cs="Arial"/>
                <w:color w:val="000000"/>
                <w:szCs w:val="20"/>
              </w:rPr>
            </w:pPr>
            <w:r>
              <w:rPr>
                <w:color w:val="000000"/>
              </w:rPr>
              <w:t xml:space="preserve">                             856 232 </w:t>
            </w:r>
          </w:p>
        </w:tc>
      </w:tr>
      <w:tr w:rsidR="007459B2" w:rsidRPr="00903B7F" w:rsidTr="00245E18">
        <w:trPr>
          <w:trHeight w:val="309"/>
          <w:jc w:val="center"/>
        </w:trPr>
        <w:tc>
          <w:tcPr>
            <w:tcW w:w="5182" w:type="dxa"/>
            <w:tcBorders>
              <w:top w:val="nil"/>
              <w:left w:val="single" w:sz="8" w:space="0" w:color="auto"/>
              <w:bottom w:val="single" w:sz="8" w:space="0" w:color="auto"/>
              <w:right w:val="single" w:sz="4" w:space="0" w:color="auto"/>
            </w:tcBorders>
            <w:noWrap/>
            <w:vAlign w:val="center"/>
          </w:tcPr>
          <w:p w:rsidR="007459B2" w:rsidRPr="00903B7F" w:rsidRDefault="007459B2" w:rsidP="00245E18">
            <w:pPr>
              <w:widowControl/>
              <w:autoSpaceDE/>
              <w:autoSpaceDN/>
              <w:adjustRightInd/>
              <w:rPr>
                <w:rFonts w:cs="Arial"/>
                <w:b/>
                <w:bCs/>
                <w:color w:val="000000"/>
                <w:szCs w:val="20"/>
              </w:rPr>
            </w:pPr>
            <w:proofErr w:type="gramStart"/>
            <w:r>
              <w:rPr>
                <w:b/>
                <w:color w:val="000000"/>
              </w:rPr>
              <w:t>Total</w:t>
            </w:r>
            <w:proofErr w:type="gramEnd"/>
            <w:r>
              <w:rPr>
                <w:b/>
                <w:color w:val="000000"/>
              </w:rPr>
              <w:t xml:space="preserve"> general que deberá ser compartido por las Partes</w:t>
            </w:r>
          </w:p>
        </w:tc>
        <w:tc>
          <w:tcPr>
            <w:tcW w:w="2859" w:type="dxa"/>
            <w:tcBorders>
              <w:top w:val="nil"/>
              <w:left w:val="nil"/>
              <w:bottom w:val="single" w:sz="8" w:space="0" w:color="auto"/>
              <w:right w:val="single" w:sz="8" w:space="0" w:color="auto"/>
            </w:tcBorders>
            <w:noWrap/>
            <w:vAlign w:val="center"/>
          </w:tcPr>
          <w:p w:rsidR="007459B2" w:rsidRPr="00903B7F" w:rsidRDefault="007459B2" w:rsidP="00245E18">
            <w:pPr>
              <w:widowControl/>
              <w:autoSpaceDE/>
              <w:autoSpaceDN/>
              <w:adjustRightInd/>
              <w:jc w:val="right"/>
              <w:rPr>
                <w:rFonts w:cs="Arial"/>
                <w:b/>
                <w:bCs/>
                <w:color w:val="000000"/>
                <w:szCs w:val="20"/>
              </w:rPr>
            </w:pPr>
            <w:r>
              <w:rPr>
                <w:b/>
                <w:color w:val="000000"/>
              </w:rPr>
              <w:t xml:space="preserve">                         7 442 628 </w:t>
            </w:r>
          </w:p>
        </w:tc>
      </w:tr>
    </w:tbl>
    <w:p w:rsidR="007459B2" w:rsidRPr="00903B7F" w:rsidRDefault="007459B2" w:rsidP="0033299A">
      <w:pPr>
        <w:pStyle w:val="ListParagraph"/>
        <w:widowControl/>
        <w:kinsoku w:val="0"/>
        <w:overflowPunct w:val="0"/>
        <w:autoSpaceDE/>
        <w:autoSpaceDN/>
        <w:adjustRightInd/>
        <w:ind w:left="0"/>
        <w:jc w:val="both"/>
        <w:textAlignment w:val="baseline"/>
        <w:rPr>
          <w:rFonts w:cs="Arial"/>
          <w:sz w:val="22"/>
          <w:szCs w:val="22"/>
        </w:rPr>
      </w:pPr>
    </w:p>
    <w:p w:rsidR="007459B2" w:rsidRDefault="007459B2" w:rsidP="0033299A">
      <w:pPr>
        <w:pStyle w:val="NoSpacing"/>
        <w:jc w:val="both"/>
        <w:rPr>
          <w:rFonts w:ascii="Arial" w:hAnsi="Arial" w:cs="Arial"/>
          <w:b/>
        </w:rPr>
      </w:pPr>
    </w:p>
    <w:p w:rsidR="007459B2" w:rsidRDefault="007459B2" w:rsidP="0033299A">
      <w:pPr>
        <w:pStyle w:val="NoSpacing"/>
        <w:jc w:val="both"/>
        <w:rPr>
          <w:rFonts w:ascii="Arial" w:hAnsi="Arial" w:cs="Arial"/>
          <w:b/>
        </w:rPr>
      </w:pPr>
      <w:r>
        <w:rPr>
          <w:rFonts w:ascii="Arial" w:hAnsi="Arial"/>
          <w:b/>
        </w:rPr>
        <w:t xml:space="preserve">Hipótesis 2: Crecimiento real cero </w:t>
      </w:r>
    </w:p>
    <w:p w:rsidR="007459B2" w:rsidRPr="00903B7F" w:rsidRDefault="007459B2" w:rsidP="0033299A">
      <w:pPr>
        <w:pStyle w:val="NoSpacing"/>
        <w:jc w:val="both"/>
        <w:rPr>
          <w:rFonts w:ascii="Arial" w:hAnsi="Arial" w:cs="Arial"/>
          <w:b/>
        </w:rPr>
      </w:pPr>
    </w:p>
    <w:p w:rsidR="007459B2" w:rsidRPr="001E0D2C" w:rsidRDefault="007459B2" w:rsidP="001E0D2C">
      <w:pPr>
        <w:numPr>
          <w:ilvl w:val="0"/>
          <w:numId w:val="2"/>
        </w:numPr>
        <w:tabs>
          <w:tab w:val="left" w:pos="360"/>
        </w:tabs>
        <w:contextualSpacing/>
        <w:jc w:val="both"/>
        <w:rPr>
          <w:rFonts w:cs="Arial"/>
          <w:sz w:val="22"/>
          <w:szCs w:val="22"/>
        </w:rPr>
      </w:pPr>
      <w:r>
        <w:rPr>
          <w:sz w:val="22"/>
        </w:rPr>
        <w:t xml:space="preserve">La Hipótesis 2 se basa en la Hipótesis 1, con la adición de fondos para la prestación de servicios a la COP13 y las reuniones de los órganos rectores. Significa que en esta hipótesis se dispone de los recursos necesarios para los servicios relacionados con la preparación de la COP13, incluida la traducción, interpretación y redacción de informes. </w:t>
      </w:r>
      <w:r>
        <w:rPr>
          <w:sz w:val="22"/>
        </w:rPr>
        <w:lastRenderedPageBreak/>
        <w:t xml:space="preserve">Cubriría, además, los gastos de viaje y dietas de los miembros del Comité del período de sesiones del Consejo Científico y del Comité Permanente. Según las disposiciones establecidas, ambos Comités se reunirán dos veces durante el trienio. </w:t>
      </w:r>
    </w:p>
    <w:p w:rsidR="007459B2" w:rsidRPr="00903B7F" w:rsidRDefault="007459B2" w:rsidP="0033299A">
      <w:pPr>
        <w:pStyle w:val="NoSpacing"/>
        <w:jc w:val="both"/>
        <w:rPr>
          <w:rFonts w:ascii="Arial" w:hAnsi="Arial" w:cs="Arial"/>
        </w:rPr>
      </w:pPr>
    </w:p>
    <w:tbl>
      <w:tblPr>
        <w:tblW w:w="8093" w:type="dxa"/>
        <w:jc w:val="center"/>
        <w:tblLook w:val="00A0" w:firstRow="1" w:lastRow="0" w:firstColumn="1" w:lastColumn="0" w:noHBand="0" w:noVBand="0"/>
      </w:tblPr>
      <w:tblGrid>
        <w:gridCol w:w="5147"/>
        <w:gridCol w:w="2946"/>
      </w:tblGrid>
      <w:tr w:rsidR="007459B2" w:rsidRPr="00903B7F" w:rsidTr="00245E18">
        <w:trPr>
          <w:trHeight w:val="331"/>
          <w:jc w:val="center"/>
        </w:trPr>
        <w:tc>
          <w:tcPr>
            <w:tcW w:w="8093" w:type="dxa"/>
            <w:gridSpan w:val="2"/>
            <w:tcBorders>
              <w:top w:val="single" w:sz="8" w:space="0" w:color="auto"/>
              <w:left w:val="single" w:sz="8" w:space="0" w:color="auto"/>
              <w:bottom w:val="single" w:sz="8" w:space="0" w:color="auto"/>
              <w:right w:val="single" w:sz="8" w:space="0" w:color="auto"/>
            </w:tcBorders>
            <w:noWrap/>
            <w:vAlign w:val="center"/>
          </w:tcPr>
          <w:p w:rsidR="007459B2" w:rsidRPr="001E0D2C" w:rsidRDefault="007459B2" w:rsidP="00245E18">
            <w:pPr>
              <w:widowControl/>
              <w:autoSpaceDE/>
              <w:autoSpaceDN/>
              <w:adjustRightInd/>
              <w:rPr>
                <w:rFonts w:cs="Arial"/>
                <w:b/>
                <w:bCs/>
                <w:color w:val="000000"/>
                <w:szCs w:val="20"/>
              </w:rPr>
            </w:pPr>
            <w:r>
              <w:rPr>
                <w:b/>
                <w:color w:val="000000"/>
              </w:rPr>
              <w:t>Costos totales por categoría para el período 2018-2020 (en euros)</w:t>
            </w:r>
          </w:p>
        </w:tc>
      </w:tr>
      <w:tr w:rsidR="007459B2" w:rsidRPr="00903B7F" w:rsidTr="00245E18">
        <w:trPr>
          <w:trHeight w:val="5"/>
          <w:jc w:val="center"/>
        </w:trPr>
        <w:tc>
          <w:tcPr>
            <w:tcW w:w="5147" w:type="dxa"/>
            <w:tcBorders>
              <w:top w:val="single" w:sz="8" w:space="0" w:color="auto"/>
              <w:left w:val="single" w:sz="8" w:space="0" w:color="auto"/>
              <w:bottom w:val="single" w:sz="4" w:space="0" w:color="auto"/>
              <w:right w:val="single" w:sz="4" w:space="0" w:color="auto"/>
            </w:tcBorders>
            <w:noWrap/>
            <w:vAlign w:val="center"/>
          </w:tcPr>
          <w:p w:rsidR="007459B2" w:rsidRPr="00903B7F" w:rsidRDefault="007459B2" w:rsidP="00245E18">
            <w:pPr>
              <w:widowControl/>
              <w:autoSpaceDE/>
              <w:autoSpaceDN/>
              <w:adjustRightInd/>
              <w:rPr>
                <w:rFonts w:cs="Arial"/>
                <w:color w:val="000000"/>
                <w:szCs w:val="20"/>
              </w:rPr>
            </w:pPr>
            <w:r>
              <w:rPr>
                <w:color w:val="000000"/>
              </w:rPr>
              <w:t xml:space="preserve">Personal </w:t>
            </w:r>
          </w:p>
        </w:tc>
        <w:tc>
          <w:tcPr>
            <w:tcW w:w="2946" w:type="dxa"/>
            <w:tcBorders>
              <w:top w:val="single" w:sz="8" w:space="0" w:color="auto"/>
              <w:left w:val="nil"/>
              <w:bottom w:val="single" w:sz="4" w:space="0" w:color="auto"/>
              <w:right w:val="single" w:sz="8" w:space="0" w:color="auto"/>
            </w:tcBorders>
            <w:noWrap/>
            <w:vAlign w:val="center"/>
          </w:tcPr>
          <w:p w:rsidR="007459B2" w:rsidRPr="00903B7F" w:rsidRDefault="007459B2" w:rsidP="00245E18">
            <w:pPr>
              <w:widowControl/>
              <w:autoSpaceDE/>
              <w:autoSpaceDN/>
              <w:adjustRightInd/>
              <w:jc w:val="right"/>
              <w:rPr>
                <w:rFonts w:cs="Arial"/>
                <w:color w:val="000000"/>
                <w:szCs w:val="20"/>
              </w:rPr>
            </w:pPr>
            <w:r>
              <w:rPr>
                <w:color w:val="000000"/>
              </w:rPr>
              <w:t xml:space="preserve">                          5 606 860 </w:t>
            </w:r>
          </w:p>
        </w:tc>
      </w:tr>
      <w:tr w:rsidR="007459B2" w:rsidRPr="00903B7F" w:rsidTr="00245E18">
        <w:trPr>
          <w:trHeight w:val="5"/>
          <w:jc w:val="center"/>
        </w:trPr>
        <w:tc>
          <w:tcPr>
            <w:tcW w:w="5147" w:type="dxa"/>
            <w:tcBorders>
              <w:top w:val="nil"/>
              <w:left w:val="single" w:sz="8" w:space="0" w:color="auto"/>
              <w:bottom w:val="single" w:sz="4" w:space="0" w:color="auto"/>
              <w:right w:val="single" w:sz="4" w:space="0" w:color="auto"/>
            </w:tcBorders>
            <w:noWrap/>
            <w:vAlign w:val="center"/>
          </w:tcPr>
          <w:p w:rsidR="007459B2" w:rsidRPr="00903B7F" w:rsidRDefault="007459B2" w:rsidP="00245E18">
            <w:pPr>
              <w:widowControl/>
              <w:autoSpaceDE/>
              <w:autoSpaceDN/>
              <w:adjustRightInd/>
              <w:rPr>
                <w:rFonts w:cs="Arial"/>
                <w:color w:val="000000"/>
                <w:szCs w:val="20"/>
              </w:rPr>
            </w:pPr>
            <w:r>
              <w:rPr>
                <w:color w:val="000000"/>
              </w:rPr>
              <w:t>Servicios contractuales</w:t>
            </w:r>
          </w:p>
        </w:tc>
        <w:tc>
          <w:tcPr>
            <w:tcW w:w="2946" w:type="dxa"/>
            <w:tcBorders>
              <w:top w:val="nil"/>
              <w:left w:val="nil"/>
              <w:bottom w:val="single" w:sz="4" w:space="0" w:color="auto"/>
              <w:right w:val="single" w:sz="8" w:space="0" w:color="auto"/>
            </w:tcBorders>
            <w:noWrap/>
            <w:vAlign w:val="center"/>
          </w:tcPr>
          <w:p w:rsidR="007459B2" w:rsidRPr="00903B7F" w:rsidRDefault="007459B2" w:rsidP="00245E18">
            <w:pPr>
              <w:widowControl/>
              <w:autoSpaceDE/>
              <w:autoSpaceDN/>
              <w:adjustRightInd/>
              <w:jc w:val="right"/>
              <w:rPr>
                <w:rFonts w:cs="Arial"/>
                <w:color w:val="000000"/>
                <w:szCs w:val="20"/>
              </w:rPr>
            </w:pPr>
            <w:r>
              <w:rPr>
                <w:color w:val="000000"/>
              </w:rPr>
              <w:t xml:space="preserve">                             622 043 </w:t>
            </w:r>
          </w:p>
        </w:tc>
      </w:tr>
      <w:tr w:rsidR="007459B2" w:rsidRPr="00903B7F" w:rsidTr="00245E18">
        <w:trPr>
          <w:trHeight w:val="5"/>
          <w:jc w:val="center"/>
        </w:trPr>
        <w:tc>
          <w:tcPr>
            <w:tcW w:w="5147" w:type="dxa"/>
            <w:tcBorders>
              <w:top w:val="nil"/>
              <w:left w:val="single" w:sz="8" w:space="0" w:color="auto"/>
              <w:bottom w:val="single" w:sz="4" w:space="0" w:color="auto"/>
              <w:right w:val="single" w:sz="4" w:space="0" w:color="auto"/>
            </w:tcBorders>
            <w:noWrap/>
            <w:vAlign w:val="center"/>
          </w:tcPr>
          <w:p w:rsidR="007459B2" w:rsidRPr="00903B7F" w:rsidRDefault="007459B2" w:rsidP="00245E18">
            <w:pPr>
              <w:widowControl/>
              <w:autoSpaceDE/>
              <w:autoSpaceDN/>
              <w:adjustRightInd/>
              <w:rPr>
                <w:rFonts w:cs="Arial"/>
                <w:color w:val="000000"/>
                <w:szCs w:val="20"/>
              </w:rPr>
            </w:pPr>
            <w:r>
              <w:rPr>
                <w:color w:val="000000"/>
              </w:rPr>
              <w:t>Gastos de funcionamiento</w:t>
            </w:r>
          </w:p>
        </w:tc>
        <w:tc>
          <w:tcPr>
            <w:tcW w:w="2946" w:type="dxa"/>
            <w:tcBorders>
              <w:top w:val="nil"/>
              <w:left w:val="nil"/>
              <w:bottom w:val="single" w:sz="4" w:space="0" w:color="auto"/>
              <w:right w:val="single" w:sz="8" w:space="0" w:color="auto"/>
            </w:tcBorders>
            <w:noWrap/>
            <w:vAlign w:val="center"/>
          </w:tcPr>
          <w:p w:rsidR="007459B2" w:rsidRPr="00903B7F" w:rsidRDefault="007459B2" w:rsidP="00245E18">
            <w:pPr>
              <w:widowControl/>
              <w:autoSpaceDE/>
              <w:autoSpaceDN/>
              <w:adjustRightInd/>
              <w:jc w:val="right"/>
              <w:rPr>
                <w:rFonts w:cs="Arial"/>
                <w:color w:val="000000"/>
                <w:szCs w:val="20"/>
              </w:rPr>
            </w:pPr>
            <w:r>
              <w:rPr>
                <w:color w:val="000000"/>
              </w:rPr>
              <w:t xml:space="preserve">                             367 532 </w:t>
            </w:r>
          </w:p>
        </w:tc>
      </w:tr>
      <w:tr w:rsidR="007459B2" w:rsidRPr="00903B7F" w:rsidTr="00245E18">
        <w:trPr>
          <w:trHeight w:val="5"/>
          <w:jc w:val="center"/>
        </w:trPr>
        <w:tc>
          <w:tcPr>
            <w:tcW w:w="5147" w:type="dxa"/>
            <w:tcBorders>
              <w:top w:val="nil"/>
              <w:left w:val="single" w:sz="8" w:space="0" w:color="auto"/>
              <w:bottom w:val="single" w:sz="4" w:space="0" w:color="auto"/>
              <w:right w:val="single" w:sz="4" w:space="0" w:color="auto"/>
            </w:tcBorders>
            <w:noWrap/>
            <w:vAlign w:val="center"/>
          </w:tcPr>
          <w:p w:rsidR="007459B2" w:rsidRPr="00903B7F" w:rsidRDefault="007459B2" w:rsidP="00245E18">
            <w:pPr>
              <w:widowControl/>
              <w:autoSpaceDE/>
              <w:autoSpaceDN/>
              <w:adjustRightInd/>
              <w:rPr>
                <w:rFonts w:cs="Arial"/>
                <w:color w:val="000000"/>
                <w:szCs w:val="20"/>
              </w:rPr>
            </w:pPr>
            <w:r>
              <w:rPr>
                <w:color w:val="000000"/>
              </w:rPr>
              <w:t>Suministros</w:t>
            </w:r>
          </w:p>
        </w:tc>
        <w:tc>
          <w:tcPr>
            <w:tcW w:w="2946" w:type="dxa"/>
            <w:tcBorders>
              <w:top w:val="nil"/>
              <w:left w:val="nil"/>
              <w:bottom w:val="single" w:sz="4" w:space="0" w:color="auto"/>
              <w:right w:val="single" w:sz="8" w:space="0" w:color="auto"/>
            </w:tcBorders>
            <w:noWrap/>
            <w:vAlign w:val="center"/>
          </w:tcPr>
          <w:p w:rsidR="007459B2" w:rsidRPr="00903B7F" w:rsidRDefault="007459B2" w:rsidP="00245E18">
            <w:pPr>
              <w:widowControl/>
              <w:autoSpaceDE/>
              <w:autoSpaceDN/>
              <w:adjustRightInd/>
              <w:jc w:val="right"/>
              <w:rPr>
                <w:rFonts w:cs="Arial"/>
                <w:color w:val="000000"/>
                <w:szCs w:val="20"/>
              </w:rPr>
            </w:pPr>
            <w:r>
              <w:rPr>
                <w:color w:val="000000"/>
              </w:rPr>
              <w:t xml:space="preserve">                               18 105 </w:t>
            </w:r>
          </w:p>
        </w:tc>
      </w:tr>
      <w:tr w:rsidR="007459B2" w:rsidRPr="00903B7F" w:rsidTr="00245E18">
        <w:trPr>
          <w:trHeight w:val="5"/>
          <w:jc w:val="center"/>
        </w:trPr>
        <w:tc>
          <w:tcPr>
            <w:tcW w:w="5147" w:type="dxa"/>
            <w:tcBorders>
              <w:top w:val="nil"/>
              <w:left w:val="single" w:sz="8" w:space="0" w:color="auto"/>
              <w:bottom w:val="single" w:sz="4" w:space="0" w:color="auto"/>
              <w:right w:val="single" w:sz="4" w:space="0" w:color="auto"/>
            </w:tcBorders>
            <w:noWrap/>
            <w:vAlign w:val="center"/>
          </w:tcPr>
          <w:p w:rsidR="007459B2" w:rsidRPr="00903B7F" w:rsidRDefault="007459B2" w:rsidP="00245E18">
            <w:pPr>
              <w:widowControl/>
              <w:autoSpaceDE/>
              <w:autoSpaceDN/>
              <w:adjustRightInd/>
              <w:rPr>
                <w:rFonts w:cs="Arial"/>
                <w:color w:val="000000"/>
                <w:szCs w:val="20"/>
              </w:rPr>
            </w:pPr>
            <w:r>
              <w:rPr>
                <w:color w:val="000000"/>
              </w:rPr>
              <w:t>Equipo</w:t>
            </w:r>
          </w:p>
        </w:tc>
        <w:tc>
          <w:tcPr>
            <w:tcW w:w="2946" w:type="dxa"/>
            <w:tcBorders>
              <w:top w:val="nil"/>
              <w:left w:val="nil"/>
              <w:bottom w:val="single" w:sz="4" w:space="0" w:color="auto"/>
              <w:right w:val="single" w:sz="8" w:space="0" w:color="auto"/>
            </w:tcBorders>
            <w:noWrap/>
            <w:vAlign w:val="center"/>
          </w:tcPr>
          <w:p w:rsidR="007459B2" w:rsidRPr="00903B7F" w:rsidRDefault="007459B2" w:rsidP="00245E18">
            <w:pPr>
              <w:widowControl/>
              <w:autoSpaceDE/>
              <w:autoSpaceDN/>
              <w:adjustRightInd/>
              <w:jc w:val="right"/>
              <w:rPr>
                <w:rFonts w:cs="Arial"/>
                <w:color w:val="000000"/>
                <w:szCs w:val="20"/>
              </w:rPr>
            </w:pPr>
            <w:r>
              <w:rPr>
                <w:color w:val="000000"/>
              </w:rPr>
              <w:t xml:space="preserve">                               32 777 </w:t>
            </w:r>
          </w:p>
        </w:tc>
      </w:tr>
      <w:tr w:rsidR="007459B2" w:rsidRPr="00903B7F" w:rsidTr="00245E18">
        <w:trPr>
          <w:trHeight w:val="5"/>
          <w:jc w:val="center"/>
        </w:trPr>
        <w:tc>
          <w:tcPr>
            <w:tcW w:w="5147" w:type="dxa"/>
            <w:tcBorders>
              <w:top w:val="nil"/>
              <w:left w:val="single" w:sz="8" w:space="0" w:color="auto"/>
              <w:bottom w:val="single" w:sz="4" w:space="0" w:color="auto"/>
              <w:right w:val="single" w:sz="4" w:space="0" w:color="auto"/>
            </w:tcBorders>
            <w:noWrap/>
            <w:vAlign w:val="center"/>
          </w:tcPr>
          <w:p w:rsidR="007459B2" w:rsidRPr="00903B7F" w:rsidRDefault="007459B2" w:rsidP="00245E18">
            <w:pPr>
              <w:widowControl/>
              <w:autoSpaceDE/>
              <w:autoSpaceDN/>
              <w:adjustRightInd/>
              <w:rPr>
                <w:rFonts w:cs="Arial"/>
                <w:color w:val="000000"/>
                <w:szCs w:val="20"/>
              </w:rPr>
            </w:pPr>
            <w:r>
              <w:rPr>
                <w:color w:val="000000"/>
              </w:rPr>
              <w:t xml:space="preserve">Viajes </w:t>
            </w:r>
          </w:p>
        </w:tc>
        <w:tc>
          <w:tcPr>
            <w:tcW w:w="2946" w:type="dxa"/>
            <w:tcBorders>
              <w:top w:val="nil"/>
              <w:left w:val="nil"/>
              <w:bottom w:val="single" w:sz="4" w:space="0" w:color="auto"/>
              <w:right w:val="single" w:sz="8" w:space="0" w:color="auto"/>
            </w:tcBorders>
            <w:noWrap/>
            <w:vAlign w:val="center"/>
          </w:tcPr>
          <w:p w:rsidR="007459B2" w:rsidRPr="00903B7F" w:rsidRDefault="007459B2" w:rsidP="00245E18">
            <w:pPr>
              <w:widowControl/>
              <w:autoSpaceDE/>
              <w:autoSpaceDN/>
              <w:adjustRightInd/>
              <w:jc w:val="right"/>
              <w:rPr>
                <w:rFonts w:cs="Arial"/>
                <w:color w:val="000000"/>
                <w:szCs w:val="20"/>
              </w:rPr>
            </w:pPr>
            <w:r>
              <w:rPr>
                <w:color w:val="000000"/>
              </w:rPr>
              <w:t xml:space="preserve">                             407 378 </w:t>
            </w:r>
          </w:p>
        </w:tc>
      </w:tr>
      <w:tr w:rsidR="007459B2" w:rsidRPr="00903B7F" w:rsidTr="00245E18">
        <w:trPr>
          <w:trHeight w:val="5"/>
          <w:jc w:val="center"/>
        </w:trPr>
        <w:tc>
          <w:tcPr>
            <w:tcW w:w="5147" w:type="dxa"/>
            <w:tcBorders>
              <w:top w:val="nil"/>
              <w:left w:val="single" w:sz="8" w:space="0" w:color="auto"/>
              <w:bottom w:val="single" w:sz="4" w:space="0" w:color="auto"/>
              <w:right w:val="single" w:sz="4" w:space="0" w:color="auto"/>
            </w:tcBorders>
            <w:noWrap/>
            <w:vAlign w:val="center"/>
          </w:tcPr>
          <w:p w:rsidR="007459B2" w:rsidRPr="00903B7F" w:rsidRDefault="007459B2" w:rsidP="00245E18">
            <w:pPr>
              <w:widowControl/>
              <w:autoSpaceDE/>
              <w:autoSpaceDN/>
              <w:adjustRightInd/>
              <w:rPr>
                <w:rFonts w:cs="Arial"/>
                <w:color w:val="000000"/>
                <w:szCs w:val="20"/>
              </w:rPr>
            </w:pPr>
            <w:r>
              <w:rPr>
                <w:color w:val="000000"/>
              </w:rPr>
              <w:t>Gastos de apoyo a los programas</w:t>
            </w:r>
          </w:p>
        </w:tc>
        <w:tc>
          <w:tcPr>
            <w:tcW w:w="2946" w:type="dxa"/>
            <w:tcBorders>
              <w:top w:val="nil"/>
              <w:left w:val="nil"/>
              <w:bottom w:val="single" w:sz="4" w:space="0" w:color="auto"/>
              <w:right w:val="single" w:sz="8" w:space="0" w:color="auto"/>
            </w:tcBorders>
            <w:noWrap/>
            <w:vAlign w:val="center"/>
          </w:tcPr>
          <w:p w:rsidR="007459B2" w:rsidRPr="00903B7F" w:rsidRDefault="007459B2" w:rsidP="00245E18">
            <w:pPr>
              <w:widowControl/>
              <w:autoSpaceDE/>
              <w:autoSpaceDN/>
              <w:adjustRightInd/>
              <w:jc w:val="right"/>
              <w:rPr>
                <w:rFonts w:cs="Arial"/>
                <w:color w:val="000000"/>
                <w:szCs w:val="20"/>
              </w:rPr>
            </w:pPr>
            <w:r>
              <w:rPr>
                <w:color w:val="000000"/>
              </w:rPr>
              <w:t xml:space="preserve">                             917 110 </w:t>
            </w:r>
          </w:p>
        </w:tc>
      </w:tr>
      <w:tr w:rsidR="007459B2" w:rsidRPr="00903B7F" w:rsidTr="00245E18">
        <w:trPr>
          <w:trHeight w:val="350"/>
          <w:jc w:val="center"/>
        </w:trPr>
        <w:tc>
          <w:tcPr>
            <w:tcW w:w="5147" w:type="dxa"/>
            <w:tcBorders>
              <w:top w:val="nil"/>
              <w:left w:val="single" w:sz="8" w:space="0" w:color="auto"/>
              <w:bottom w:val="single" w:sz="8" w:space="0" w:color="auto"/>
              <w:right w:val="single" w:sz="4" w:space="0" w:color="auto"/>
            </w:tcBorders>
            <w:noWrap/>
            <w:vAlign w:val="center"/>
          </w:tcPr>
          <w:p w:rsidR="007459B2" w:rsidRPr="00903B7F" w:rsidRDefault="007459B2" w:rsidP="00245E18">
            <w:pPr>
              <w:widowControl/>
              <w:autoSpaceDE/>
              <w:autoSpaceDN/>
              <w:adjustRightInd/>
              <w:rPr>
                <w:rFonts w:cs="Arial"/>
                <w:b/>
                <w:bCs/>
                <w:color w:val="000000"/>
                <w:szCs w:val="20"/>
              </w:rPr>
            </w:pPr>
            <w:proofErr w:type="gramStart"/>
            <w:r>
              <w:rPr>
                <w:b/>
                <w:color w:val="000000"/>
              </w:rPr>
              <w:t>Total</w:t>
            </w:r>
            <w:proofErr w:type="gramEnd"/>
            <w:r>
              <w:rPr>
                <w:b/>
                <w:color w:val="000000"/>
              </w:rPr>
              <w:t xml:space="preserve"> general que deberá ser compartido por las Partes</w:t>
            </w:r>
          </w:p>
        </w:tc>
        <w:tc>
          <w:tcPr>
            <w:tcW w:w="2946" w:type="dxa"/>
            <w:tcBorders>
              <w:top w:val="nil"/>
              <w:left w:val="nil"/>
              <w:bottom w:val="single" w:sz="8" w:space="0" w:color="auto"/>
              <w:right w:val="single" w:sz="8" w:space="0" w:color="auto"/>
            </w:tcBorders>
            <w:noWrap/>
            <w:vAlign w:val="center"/>
          </w:tcPr>
          <w:p w:rsidR="007459B2" w:rsidRPr="00903B7F" w:rsidRDefault="007459B2" w:rsidP="00245E18">
            <w:pPr>
              <w:widowControl/>
              <w:autoSpaceDE/>
              <w:autoSpaceDN/>
              <w:adjustRightInd/>
              <w:jc w:val="right"/>
              <w:rPr>
                <w:rFonts w:cs="Arial"/>
                <w:b/>
                <w:bCs/>
                <w:color w:val="000000"/>
                <w:szCs w:val="20"/>
              </w:rPr>
            </w:pPr>
            <w:r>
              <w:rPr>
                <w:b/>
                <w:color w:val="000000"/>
              </w:rPr>
              <w:t xml:space="preserve">                         7 971 806 </w:t>
            </w:r>
          </w:p>
        </w:tc>
      </w:tr>
    </w:tbl>
    <w:p w:rsidR="007459B2" w:rsidRPr="00502DE0" w:rsidRDefault="007459B2" w:rsidP="0033299A">
      <w:pPr>
        <w:pStyle w:val="NoSpacing"/>
        <w:jc w:val="both"/>
        <w:rPr>
          <w:rFonts w:ascii="Arial" w:hAnsi="Arial" w:cs="Arial"/>
          <w:sz w:val="18"/>
          <w:szCs w:val="18"/>
        </w:rPr>
      </w:pPr>
    </w:p>
    <w:p w:rsidR="007459B2" w:rsidRPr="00502DE0" w:rsidRDefault="007459B2" w:rsidP="0033299A">
      <w:pPr>
        <w:pStyle w:val="NoSpacing"/>
        <w:jc w:val="both"/>
        <w:rPr>
          <w:rFonts w:ascii="Arial" w:hAnsi="Arial" w:cs="Arial"/>
          <w:b/>
          <w:sz w:val="18"/>
          <w:szCs w:val="18"/>
        </w:rPr>
      </w:pPr>
    </w:p>
    <w:p w:rsidR="007459B2" w:rsidRPr="003029A7" w:rsidRDefault="007459B2" w:rsidP="0033299A">
      <w:pPr>
        <w:pStyle w:val="NoSpacing"/>
        <w:jc w:val="both"/>
        <w:rPr>
          <w:rFonts w:ascii="Arial" w:hAnsi="Arial" w:cs="Arial"/>
          <w:b/>
        </w:rPr>
      </w:pPr>
      <w:r>
        <w:rPr>
          <w:rFonts w:ascii="Arial" w:hAnsi="Arial"/>
          <w:b/>
        </w:rPr>
        <w:t xml:space="preserve">Hipótesis 3: 4% de aumento con respecto a la Hipótesis 2  </w:t>
      </w:r>
    </w:p>
    <w:p w:rsidR="007459B2" w:rsidRPr="00502DE0" w:rsidRDefault="007459B2" w:rsidP="0033299A">
      <w:pPr>
        <w:pStyle w:val="NoSpacing"/>
        <w:jc w:val="both"/>
        <w:rPr>
          <w:rFonts w:ascii="Arial" w:hAnsi="Arial" w:cs="Arial"/>
          <w:b/>
          <w:sz w:val="18"/>
          <w:szCs w:val="18"/>
        </w:rPr>
      </w:pPr>
    </w:p>
    <w:p w:rsidR="007459B2" w:rsidRPr="001E0D2C" w:rsidRDefault="007459B2" w:rsidP="001E0D2C">
      <w:pPr>
        <w:numPr>
          <w:ilvl w:val="0"/>
          <w:numId w:val="2"/>
        </w:numPr>
        <w:tabs>
          <w:tab w:val="left" w:pos="360"/>
        </w:tabs>
        <w:contextualSpacing/>
        <w:jc w:val="both"/>
        <w:rPr>
          <w:rFonts w:cs="Arial"/>
          <w:sz w:val="22"/>
          <w:szCs w:val="22"/>
        </w:rPr>
      </w:pPr>
      <w:r>
        <w:rPr>
          <w:sz w:val="22"/>
        </w:rPr>
        <w:t xml:space="preserve">En la Hipótesis 3 se prevé un aumento limitado del 4% con respecto a la Hipótesis 2. En la Hipótesis 3 se mantienen todos los elementos ya incluidos en la Hipótesis 2, con la adición de la reclasificación del actual puesto de P-2 de Oficial de información asociado, proporcionado por el AEWA, a P-3 para supervisar la Unidad de gestión común de la información, la comunicación y la divulgación, establecida en el marco de las sinergias creadas en 2015 en el ámbito de la familia de la CMS. La diferencia entre los grados P-2 y P-3 representaría el 18% de los costos de este puesto, mientras que el restante 82% de los costos está cubierto actualmente con cargo al presupuesto del AEWA. El motivo de esta reclasificación es que el titular de este puesto supervisa un equipo de cinco colaboradores y la cartera de labores ha aumentado considerablemente.  Sin embargo, como esta propuesta tendría un costo neutro para el AEWA y se lograrían considerables sinergias para la familia de la CMS, se espera que las Partes en el AEWA apoyen la propuesta. </w:t>
      </w:r>
    </w:p>
    <w:p w:rsidR="007459B2" w:rsidRPr="001E0D2C" w:rsidRDefault="007459B2" w:rsidP="001E0D2C">
      <w:pPr>
        <w:tabs>
          <w:tab w:val="left" w:pos="360"/>
        </w:tabs>
        <w:ind w:left="360"/>
        <w:contextualSpacing/>
        <w:jc w:val="both"/>
        <w:rPr>
          <w:rFonts w:cs="Arial"/>
          <w:sz w:val="22"/>
          <w:szCs w:val="22"/>
        </w:rPr>
      </w:pPr>
    </w:p>
    <w:p w:rsidR="007459B2" w:rsidRPr="001E0D2C" w:rsidRDefault="007459B2" w:rsidP="001E0D2C">
      <w:pPr>
        <w:numPr>
          <w:ilvl w:val="0"/>
          <w:numId w:val="2"/>
        </w:numPr>
        <w:tabs>
          <w:tab w:val="left" w:pos="360"/>
        </w:tabs>
        <w:contextualSpacing/>
        <w:jc w:val="both"/>
        <w:rPr>
          <w:rFonts w:cs="Arial"/>
          <w:sz w:val="22"/>
          <w:szCs w:val="22"/>
        </w:rPr>
      </w:pPr>
      <w:r>
        <w:rPr>
          <w:sz w:val="22"/>
        </w:rPr>
        <w:t xml:space="preserve">La COP11 había acordado establecer el puesto a tiempo parcial de P2 de Oficial de información asociado. Este Oficial se ocupa principalmente del mantenimiento y elaboración de los sitios web (familia de la CMS, Día Mundial de las Aves Migratorias), así como de las diferentes plataformas en línea que se han creado p. ej. intercambio de información sobre un determinado tema en el ámbito del Consejo Científico y los medios de comunicación social. El resultado ha sido que, debido a la gran demanda de ese tipo de conocimientos, no fue posible encontrar un candidato adecuado en régimen de tiempo parcial. No obstante, se contrató a un consultor para que cubriera la vacante, lo cual no es una solución idónea, debido a la duración limitada de dos años como máximo para los consultores con arreglo a las normas y los reglamentos de las Naciones Unidas. La Secretaría propone, en consecuencia, que se considere la posibilidad de aumentar el puesto actual del 50% al 100%, con el fin de atraer a solicitantes altamente cualificados para ocupar este puesto en los años venideros.  </w:t>
      </w:r>
    </w:p>
    <w:p w:rsidR="007459B2" w:rsidRPr="001E0D2C" w:rsidRDefault="007459B2" w:rsidP="001E0D2C">
      <w:pPr>
        <w:tabs>
          <w:tab w:val="left" w:pos="360"/>
        </w:tabs>
        <w:ind w:left="360"/>
        <w:contextualSpacing/>
        <w:jc w:val="both"/>
        <w:rPr>
          <w:rFonts w:cs="Arial"/>
          <w:sz w:val="22"/>
          <w:szCs w:val="22"/>
        </w:rPr>
      </w:pPr>
    </w:p>
    <w:p w:rsidR="007459B2" w:rsidRPr="001E0D2C" w:rsidRDefault="007459B2" w:rsidP="001E0D2C">
      <w:pPr>
        <w:numPr>
          <w:ilvl w:val="0"/>
          <w:numId w:val="2"/>
        </w:numPr>
        <w:tabs>
          <w:tab w:val="left" w:pos="360"/>
        </w:tabs>
        <w:contextualSpacing/>
        <w:jc w:val="both"/>
        <w:rPr>
          <w:rFonts w:cs="Arial"/>
          <w:sz w:val="22"/>
          <w:szCs w:val="22"/>
        </w:rPr>
      </w:pPr>
      <w:r>
        <w:rPr>
          <w:sz w:val="22"/>
        </w:rPr>
        <w:t xml:space="preserve">En cuanto a los gastos no relacionados con el personal, en la Hipótesis 3 se ha incluido una asignación única de 25.000 euros para el análisis de los informes nacionales que presentan las Partes en la Convención. </w:t>
      </w:r>
    </w:p>
    <w:p w:rsidR="007459B2" w:rsidRPr="00903B7F" w:rsidRDefault="007459B2" w:rsidP="0033299A">
      <w:pPr>
        <w:pStyle w:val="NoSpacing"/>
        <w:jc w:val="both"/>
        <w:rPr>
          <w:rFonts w:ascii="Arial" w:hAnsi="Arial" w:cs="Arial"/>
        </w:rPr>
      </w:pPr>
    </w:p>
    <w:tbl>
      <w:tblPr>
        <w:tblW w:w="7560" w:type="dxa"/>
        <w:tblInd w:w="828" w:type="dxa"/>
        <w:tblLook w:val="00A0" w:firstRow="1" w:lastRow="0" w:firstColumn="1" w:lastColumn="0" w:noHBand="0" w:noVBand="0"/>
      </w:tblPr>
      <w:tblGrid>
        <w:gridCol w:w="4503"/>
        <w:gridCol w:w="3057"/>
      </w:tblGrid>
      <w:tr w:rsidR="007459B2" w:rsidRPr="00903B7F" w:rsidTr="00245E18">
        <w:trPr>
          <w:trHeight w:val="358"/>
        </w:trPr>
        <w:tc>
          <w:tcPr>
            <w:tcW w:w="7560" w:type="dxa"/>
            <w:gridSpan w:val="2"/>
            <w:tcBorders>
              <w:top w:val="single" w:sz="8" w:space="0" w:color="auto"/>
              <w:left w:val="single" w:sz="8" w:space="0" w:color="auto"/>
              <w:bottom w:val="single" w:sz="8" w:space="0" w:color="auto"/>
              <w:right w:val="single" w:sz="8" w:space="0" w:color="auto"/>
            </w:tcBorders>
            <w:noWrap/>
            <w:vAlign w:val="center"/>
          </w:tcPr>
          <w:p w:rsidR="007459B2" w:rsidRPr="001E0D2C" w:rsidRDefault="007459B2" w:rsidP="00245E18">
            <w:pPr>
              <w:widowControl/>
              <w:autoSpaceDE/>
              <w:autoSpaceDN/>
              <w:adjustRightInd/>
              <w:rPr>
                <w:rFonts w:cs="Arial"/>
                <w:b/>
                <w:bCs/>
                <w:color w:val="000000"/>
                <w:szCs w:val="20"/>
              </w:rPr>
            </w:pPr>
            <w:r>
              <w:rPr>
                <w:b/>
                <w:color w:val="000000"/>
              </w:rPr>
              <w:t>Costos totales por categoría para el período 2018-2020 (en euros)</w:t>
            </w:r>
          </w:p>
        </w:tc>
      </w:tr>
      <w:tr w:rsidR="007459B2" w:rsidRPr="00903B7F" w:rsidTr="00245E18">
        <w:trPr>
          <w:trHeight w:val="79"/>
        </w:trPr>
        <w:tc>
          <w:tcPr>
            <w:tcW w:w="4503" w:type="dxa"/>
            <w:tcBorders>
              <w:top w:val="nil"/>
              <w:left w:val="single" w:sz="8" w:space="0" w:color="auto"/>
              <w:bottom w:val="single" w:sz="4" w:space="0" w:color="auto"/>
              <w:right w:val="single" w:sz="4" w:space="0" w:color="auto"/>
            </w:tcBorders>
            <w:noWrap/>
            <w:vAlign w:val="center"/>
          </w:tcPr>
          <w:p w:rsidR="007459B2" w:rsidRPr="00903B7F" w:rsidRDefault="007459B2" w:rsidP="00245E18">
            <w:pPr>
              <w:widowControl/>
              <w:autoSpaceDE/>
              <w:autoSpaceDN/>
              <w:adjustRightInd/>
              <w:rPr>
                <w:rFonts w:cs="Arial"/>
                <w:color w:val="000000"/>
                <w:szCs w:val="20"/>
              </w:rPr>
            </w:pPr>
            <w:r>
              <w:rPr>
                <w:color w:val="000000"/>
              </w:rPr>
              <w:t xml:space="preserve">Personal </w:t>
            </w:r>
          </w:p>
        </w:tc>
        <w:tc>
          <w:tcPr>
            <w:tcW w:w="3057" w:type="dxa"/>
            <w:tcBorders>
              <w:top w:val="nil"/>
              <w:left w:val="nil"/>
              <w:bottom w:val="single" w:sz="4" w:space="0" w:color="auto"/>
              <w:right w:val="single" w:sz="8" w:space="0" w:color="auto"/>
            </w:tcBorders>
            <w:noWrap/>
            <w:vAlign w:val="center"/>
          </w:tcPr>
          <w:p w:rsidR="007459B2" w:rsidRPr="00903B7F" w:rsidRDefault="007459B2" w:rsidP="00245E18">
            <w:pPr>
              <w:widowControl/>
              <w:autoSpaceDE/>
              <w:autoSpaceDN/>
              <w:adjustRightInd/>
              <w:jc w:val="right"/>
              <w:rPr>
                <w:rFonts w:cs="Arial"/>
                <w:color w:val="000000"/>
                <w:szCs w:val="20"/>
              </w:rPr>
            </w:pPr>
            <w:r>
              <w:rPr>
                <w:color w:val="000000"/>
              </w:rPr>
              <w:t xml:space="preserve">                          5 869 723 </w:t>
            </w:r>
          </w:p>
        </w:tc>
      </w:tr>
      <w:tr w:rsidR="007459B2" w:rsidRPr="00903B7F" w:rsidTr="00245E18">
        <w:trPr>
          <w:trHeight w:val="79"/>
        </w:trPr>
        <w:tc>
          <w:tcPr>
            <w:tcW w:w="4503" w:type="dxa"/>
            <w:tcBorders>
              <w:top w:val="nil"/>
              <w:left w:val="single" w:sz="8" w:space="0" w:color="auto"/>
              <w:bottom w:val="single" w:sz="4" w:space="0" w:color="auto"/>
              <w:right w:val="single" w:sz="4" w:space="0" w:color="auto"/>
            </w:tcBorders>
            <w:noWrap/>
            <w:vAlign w:val="center"/>
          </w:tcPr>
          <w:p w:rsidR="007459B2" w:rsidRPr="00903B7F" w:rsidRDefault="007459B2" w:rsidP="00245E18">
            <w:pPr>
              <w:widowControl/>
              <w:autoSpaceDE/>
              <w:autoSpaceDN/>
              <w:adjustRightInd/>
              <w:rPr>
                <w:rFonts w:cs="Arial"/>
                <w:color w:val="000000"/>
                <w:szCs w:val="20"/>
              </w:rPr>
            </w:pPr>
            <w:r>
              <w:rPr>
                <w:color w:val="000000"/>
              </w:rPr>
              <w:t>Servicios contractuales</w:t>
            </w:r>
          </w:p>
        </w:tc>
        <w:tc>
          <w:tcPr>
            <w:tcW w:w="3057" w:type="dxa"/>
            <w:tcBorders>
              <w:top w:val="nil"/>
              <w:left w:val="nil"/>
              <w:bottom w:val="single" w:sz="4" w:space="0" w:color="auto"/>
              <w:right w:val="single" w:sz="8" w:space="0" w:color="auto"/>
            </w:tcBorders>
            <w:noWrap/>
            <w:vAlign w:val="center"/>
          </w:tcPr>
          <w:p w:rsidR="007459B2" w:rsidRPr="00903B7F" w:rsidRDefault="007459B2" w:rsidP="00245E18">
            <w:pPr>
              <w:widowControl/>
              <w:autoSpaceDE/>
              <w:autoSpaceDN/>
              <w:adjustRightInd/>
              <w:jc w:val="right"/>
              <w:rPr>
                <w:rFonts w:cs="Arial"/>
                <w:color w:val="000000"/>
                <w:szCs w:val="20"/>
              </w:rPr>
            </w:pPr>
            <w:r>
              <w:rPr>
                <w:color w:val="000000"/>
              </w:rPr>
              <w:t xml:space="preserve">                             622 043 </w:t>
            </w:r>
          </w:p>
        </w:tc>
      </w:tr>
      <w:tr w:rsidR="007459B2" w:rsidRPr="00903B7F" w:rsidTr="00245E18">
        <w:trPr>
          <w:trHeight w:val="79"/>
        </w:trPr>
        <w:tc>
          <w:tcPr>
            <w:tcW w:w="4503" w:type="dxa"/>
            <w:tcBorders>
              <w:top w:val="nil"/>
              <w:left w:val="single" w:sz="8" w:space="0" w:color="auto"/>
              <w:bottom w:val="single" w:sz="4" w:space="0" w:color="auto"/>
              <w:right w:val="single" w:sz="4" w:space="0" w:color="auto"/>
            </w:tcBorders>
            <w:noWrap/>
            <w:vAlign w:val="center"/>
          </w:tcPr>
          <w:p w:rsidR="007459B2" w:rsidRPr="00903B7F" w:rsidRDefault="007459B2" w:rsidP="00245E18">
            <w:pPr>
              <w:widowControl/>
              <w:autoSpaceDE/>
              <w:autoSpaceDN/>
              <w:adjustRightInd/>
              <w:rPr>
                <w:rFonts w:cs="Arial"/>
                <w:color w:val="000000"/>
                <w:szCs w:val="20"/>
              </w:rPr>
            </w:pPr>
            <w:r>
              <w:rPr>
                <w:color w:val="000000"/>
              </w:rPr>
              <w:t>Gastos de funcionamiento</w:t>
            </w:r>
          </w:p>
        </w:tc>
        <w:tc>
          <w:tcPr>
            <w:tcW w:w="3057" w:type="dxa"/>
            <w:tcBorders>
              <w:top w:val="nil"/>
              <w:left w:val="nil"/>
              <w:bottom w:val="single" w:sz="4" w:space="0" w:color="auto"/>
              <w:right w:val="single" w:sz="8" w:space="0" w:color="auto"/>
            </w:tcBorders>
            <w:noWrap/>
            <w:vAlign w:val="center"/>
          </w:tcPr>
          <w:p w:rsidR="007459B2" w:rsidRPr="00903B7F" w:rsidRDefault="007459B2" w:rsidP="00245E18">
            <w:pPr>
              <w:widowControl/>
              <w:autoSpaceDE/>
              <w:autoSpaceDN/>
              <w:adjustRightInd/>
              <w:jc w:val="right"/>
              <w:rPr>
                <w:rFonts w:cs="Arial"/>
                <w:color w:val="000000"/>
                <w:szCs w:val="20"/>
              </w:rPr>
            </w:pPr>
            <w:r>
              <w:rPr>
                <w:color w:val="000000"/>
              </w:rPr>
              <w:t xml:space="preserve">                             367 532 </w:t>
            </w:r>
          </w:p>
        </w:tc>
      </w:tr>
      <w:tr w:rsidR="007459B2" w:rsidRPr="00903B7F" w:rsidTr="00245E18">
        <w:trPr>
          <w:trHeight w:val="79"/>
        </w:trPr>
        <w:tc>
          <w:tcPr>
            <w:tcW w:w="4503" w:type="dxa"/>
            <w:tcBorders>
              <w:top w:val="nil"/>
              <w:left w:val="single" w:sz="8" w:space="0" w:color="auto"/>
              <w:bottom w:val="single" w:sz="4" w:space="0" w:color="auto"/>
              <w:right w:val="single" w:sz="4" w:space="0" w:color="auto"/>
            </w:tcBorders>
            <w:noWrap/>
            <w:vAlign w:val="center"/>
          </w:tcPr>
          <w:p w:rsidR="007459B2" w:rsidRPr="00903B7F" w:rsidRDefault="007459B2" w:rsidP="00245E18">
            <w:pPr>
              <w:widowControl/>
              <w:autoSpaceDE/>
              <w:autoSpaceDN/>
              <w:adjustRightInd/>
              <w:rPr>
                <w:rFonts w:cs="Arial"/>
                <w:color w:val="000000"/>
                <w:szCs w:val="20"/>
              </w:rPr>
            </w:pPr>
            <w:r>
              <w:rPr>
                <w:color w:val="000000"/>
              </w:rPr>
              <w:t>Suministros</w:t>
            </w:r>
          </w:p>
        </w:tc>
        <w:tc>
          <w:tcPr>
            <w:tcW w:w="3057" w:type="dxa"/>
            <w:tcBorders>
              <w:top w:val="nil"/>
              <w:left w:val="nil"/>
              <w:bottom w:val="single" w:sz="4" w:space="0" w:color="auto"/>
              <w:right w:val="single" w:sz="8" w:space="0" w:color="auto"/>
            </w:tcBorders>
            <w:noWrap/>
            <w:vAlign w:val="center"/>
          </w:tcPr>
          <w:p w:rsidR="007459B2" w:rsidRPr="00903B7F" w:rsidRDefault="007459B2" w:rsidP="00245E18">
            <w:pPr>
              <w:widowControl/>
              <w:autoSpaceDE/>
              <w:autoSpaceDN/>
              <w:adjustRightInd/>
              <w:jc w:val="right"/>
              <w:rPr>
                <w:rFonts w:cs="Arial"/>
                <w:color w:val="000000"/>
                <w:szCs w:val="20"/>
              </w:rPr>
            </w:pPr>
            <w:r>
              <w:rPr>
                <w:color w:val="000000"/>
              </w:rPr>
              <w:t xml:space="preserve">                               18 105 </w:t>
            </w:r>
          </w:p>
        </w:tc>
      </w:tr>
      <w:tr w:rsidR="007459B2" w:rsidRPr="00903B7F" w:rsidTr="00245E18">
        <w:trPr>
          <w:trHeight w:val="79"/>
        </w:trPr>
        <w:tc>
          <w:tcPr>
            <w:tcW w:w="4503" w:type="dxa"/>
            <w:tcBorders>
              <w:top w:val="nil"/>
              <w:left w:val="single" w:sz="8" w:space="0" w:color="auto"/>
              <w:bottom w:val="single" w:sz="4" w:space="0" w:color="auto"/>
              <w:right w:val="single" w:sz="4" w:space="0" w:color="auto"/>
            </w:tcBorders>
            <w:noWrap/>
            <w:vAlign w:val="center"/>
          </w:tcPr>
          <w:p w:rsidR="007459B2" w:rsidRPr="00903B7F" w:rsidRDefault="007459B2" w:rsidP="00245E18">
            <w:pPr>
              <w:widowControl/>
              <w:autoSpaceDE/>
              <w:autoSpaceDN/>
              <w:adjustRightInd/>
              <w:rPr>
                <w:rFonts w:cs="Arial"/>
                <w:color w:val="000000"/>
                <w:szCs w:val="20"/>
              </w:rPr>
            </w:pPr>
            <w:r>
              <w:rPr>
                <w:color w:val="000000"/>
              </w:rPr>
              <w:t>Equipo</w:t>
            </w:r>
          </w:p>
        </w:tc>
        <w:tc>
          <w:tcPr>
            <w:tcW w:w="3057" w:type="dxa"/>
            <w:tcBorders>
              <w:top w:val="nil"/>
              <w:left w:val="nil"/>
              <w:bottom w:val="single" w:sz="4" w:space="0" w:color="auto"/>
              <w:right w:val="single" w:sz="8" w:space="0" w:color="auto"/>
            </w:tcBorders>
            <w:noWrap/>
            <w:vAlign w:val="center"/>
          </w:tcPr>
          <w:p w:rsidR="007459B2" w:rsidRPr="00903B7F" w:rsidRDefault="007459B2" w:rsidP="00245E18">
            <w:pPr>
              <w:widowControl/>
              <w:autoSpaceDE/>
              <w:autoSpaceDN/>
              <w:adjustRightInd/>
              <w:jc w:val="right"/>
              <w:rPr>
                <w:rFonts w:cs="Arial"/>
                <w:color w:val="000000"/>
                <w:szCs w:val="20"/>
              </w:rPr>
            </w:pPr>
            <w:r>
              <w:rPr>
                <w:color w:val="000000"/>
              </w:rPr>
              <w:t xml:space="preserve">                               32 777 </w:t>
            </w:r>
          </w:p>
        </w:tc>
      </w:tr>
      <w:tr w:rsidR="007459B2" w:rsidRPr="00903B7F" w:rsidTr="00245E18">
        <w:trPr>
          <w:trHeight w:val="79"/>
        </w:trPr>
        <w:tc>
          <w:tcPr>
            <w:tcW w:w="4503" w:type="dxa"/>
            <w:tcBorders>
              <w:top w:val="nil"/>
              <w:left w:val="single" w:sz="8" w:space="0" w:color="auto"/>
              <w:bottom w:val="single" w:sz="4" w:space="0" w:color="auto"/>
              <w:right w:val="single" w:sz="4" w:space="0" w:color="auto"/>
            </w:tcBorders>
            <w:noWrap/>
            <w:vAlign w:val="center"/>
          </w:tcPr>
          <w:p w:rsidR="007459B2" w:rsidRPr="00903B7F" w:rsidRDefault="007459B2" w:rsidP="00245E18">
            <w:pPr>
              <w:widowControl/>
              <w:autoSpaceDE/>
              <w:autoSpaceDN/>
              <w:adjustRightInd/>
              <w:rPr>
                <w:rFonts w:cs="Arial"/>
                <w:color w:val="000000"/>
                <w:szCs w:val="20"/>
              </w:rPr>
            </w:pPr>
            <w:r>
              <w:rPr>
                <w:color w:val="000000"/>
              </w:rPr>
              <w:t xml:space="preserve">Viajes </w:t>
            </w:r>
          </w:p>
        </w:tc>
        <w:tc>
          <w:tcPr>
            <w:tcW w:w="3057" w:type="dxa"/>
            <w:tcBorders>
              <w:top w:val="nil"/>
              <w:left w:val="nil"/>
              <w:bottom w:val="single" w:sz="4" w:space="0" w:color="auto"/>
              <w:right w:val="single" w:sz="8" w:space="0" w:color="auto"/>
            </w:tcBorders>
            <w:noWrap/>
            <w:vAlign w:val="center"/>
          </w:tcPr>
          <w:p w:rsidR="007459B2" w:rsidRPr="00903B7F" w:rsidRDefault="007459B2" w:rsidP="00245E18">
            <w:pPr>
              <w:widowControl/>
              <w:autoSpaceDE/>
              <w:autoSpaceDN/>
              <w:adjustRightInd/>
              <w:jc w:val="right"/>
              <w:rPr>
                <w:rFonts w:cs="Arial"/>
                <w:color w:val="000000"/>
                <w:szCs w:val="20"/>
              </w:rPr>
            </w:pPr>
            <w:r>
              <w:rPr>
                <w:color w:val="000000"/>
              </w:rPr>
              <w:t xml:space="preserve">                             407 378 </w:t>
            </w:r>
          </w:p>
        </w:tc>
      </w:tr>
      <w:tr w:rsidR="007459B2" w:rsidRPr="00903B7F" w:rsidTr="00245E18">
        <w:trPr>
          <w:trHeight w:val="79"/>
        </w:trPr>
        <w:tc>
          <w:tcPr>
            <w:tcW w:w="4503" w:type="dxa"/>
            <w:tcBorders>
              <w:top w:val="nil"/>
              <w:left w:val="single" w:sz="8" w:space="0" w:color="auto"/>
              <w:bottom w:val="single" w:sz="4" w:space="0" w:color="auto"/>
              <w:right w:val="single" w:sz="4" w:space="0" w:color="auto"/>
            </w:tcBorders>
            <w:noWrap/>
            <w:vAlign w:val="center"/>
          </w:tcPr>
          <w:p w:rsidR="007459B2" w:rsidRPr="00903B7F" w:rsidRDefault="007459B2" w:rsidP="00245E18">
            <w:pPr>
              <w:widowControl/>
              <w:autoSpaceDE/>
              <w:autoSpaceDN/>
              <w:adjustRightInd/>
              <w:rPr>
                <w:rFonts w:cs="Arial"/>
                <w:color w:val="000000"/>
                <w:szCs w:val="20"/>
              </w:rPr>
            </w:pPr>
            <w:r>
              <w:rPr>
                <w:color w:val="000000"/>
              </w:rPr>
              <w:t>Gastos de apoyo a los programas</w:t>
            </w:r>
          </w:p>
        </w:tc>
        <w:tc>
          <w:tcPr>
            <w:tcW w:w="3057" w:type="dxa"/>
            <w:tcBorders>
              <w:top w:val="nil"/>
              <w:left w:val="nil"/>
              <w:bottom w:val="single" w:sz="4" w:space="0" w:color="auto"/>
              <w:right w:val="single" w:sz="8" w:space="0" w:color="auto"/>
            </w:tcBorders>
            <w:noWrap/>
            <w:vAlign w:val="center"/>
          </w:tcPr>
          <w:p w:rsidR="007459B2" w:rsidRPr="00903B7F" w:rsidRDefault="007459B2" w:rsidP="00245E18">
            <w:pPr>
              <w:widowControl/>
              <w:autoSpaceDE/>
              <w:autoSpaceDN/>
              <w:adjustRightInd/>
              <w:jc w:val="right"/>
              <w:rPr>
                <w:rFonts w:cs="Arial"/>
                <w:color w:val="000000"/>
                <w:szCs w:val="20"/>
              </w:rPr>
            </w:pPr>
            <w:r>
              <w:rPr>
                <w:color w:val="000000"/>
              </w:rPr>
              <w:t xml:space="preserve">                             951 283 </w:t>
            </w:r>
          </w:p>
        </w:tc>
      </w:tr>
      <w:tr w:rsidR="007459B2" w:rsidRPr="00903B7F" w:rsidTr="00245E18">
        <w:trPr>
          <w:trHeight w:val="341"/>
        </w:trPr>
        <w:tc>
          <w:tcPr>
            <w:tcW w:w="4503" w:type="dxa"/>
            <w:tcBorders>
              <w:top w:val="nil"/>
              <w:left w:val="single" w:sz="8" w:space="0" w:color="auto"/>
              <w:bottom w:val="single" w:sz="8" w:space="0" w:color="auto"/>
              <w:right w:val="single" w:sz="4" w:space="0" w:color="auto"/>
            </w:tcBorders>
            <w:noWrap/>
            <w:vAlign w:val="center"/>
          </w:tcPr>
          <w:p w:rsidR="007459B2" w:rsidRPr="00903B7F" w:rsidRDefault="007459B2" w:rsidP="00245E18">
            <w:pPr>
              <w:widowControl/>
              <w:autoSpaceDE/>
              <w:autoSpaceDN/>
              <w:adjustRightInd/>
              <w:rPr>
                <w:rFonts w:cs="Arial"/>
                <w:b/>
                <w:bCs/>
                <w:color w:val="000000"/>
                <w:szCs w:val="20"/>
              </w:rPr>
            </w:pPr>
            <w:proofErr w:type="gramStart"/>
            <w:r>
              <w:rPr>
                <w:b/>
                <w:color w:val="000000"/>
              </w:rPr>
              <w:t>Total</w:t>
            </w:r>
            <w:proofErr w:type="gramEnd"/>
            <w:r>
              <w:rPr>
                <w:b/>
                <w:color w:val="000000"/>
              </w:rPr>
              <w:t xml:space="preserve"> general que deberá ser compartido por las Partes</w:t>
            </w:r>
          </w:p>
        </w:tc>
        <w:tc>
          <w:tcPr>
            <w:tcW w:w="3057" w:type="dxa"/>
            <w:tcBorders>
              <w:top w:val="nil"/>
              <w:left w:val="nil"/>
              <w:bottom w:val="single" w:sz="8" w:space="0" w:color="auto"/>
              <w:right w:val="single" w:sz="8" w:space="0" w:color="auto"/>
            </w:tcBorders>
            <w:noWrap/>
            <w:vAlign w:val="center"/>
          </w:tcPr>
          <w:p w:rsidR="007459B2" w:rsidRPr="00903B7F" w:rsidRDefault="007459B2" w:rsidP="00245E18">
            <w:pPr>
              <w:widowControl/>
              <w:autoSpaceDE/>
              <w:autoSpaceDN/>
              <w:adjustRightInd/>
              <w:jc w:val="right"/>
              <w:rPr>
                <w:rFonts w:cs="Arial"/>
                <w:b/>
                <w:bCs/>
                <w:color w:val="000000"/>
                <w:szCs w:val="20"/>
              </w:rPr>
            </w:pPr>
            <w:r>
              <w:rPr>
                <w:b/>
                <w:color w:val="000000"/>
              </w:rPr>
              <w:t xml:space="preserve">                         8 268 842 </w:t>
            </w:r>
          </w:p>
        </w:tc>
      </w:tr>
    </w:tbl>
    <w:p w:rsidR="007459B2" w:rsidRPr="00903B7F" w:rsidRDefault="007459B2" w:rsidP="0033299A">
      <w:pPr>
        <w:pStyle w:val="NoSpacing"/>
        <w:jc w:val="both"/>
        <w:rPr>
          <w:rFonts w:ascii="Arial" w:hAnsi="Arial" w:cs="Arial"/>
        </w:rPr>
      </w:pPr>
    </w:p>
    <w:p w:rsidR="007459B2" w:rsidRPr="001E0D2C" w:rsidRDefault="007459B2" w:rsidP="001E0D2C">
      <w:pPr>
        <w:numPr>
          <w:ilvl w:val="0"/>
          <w:numId w:val="2"/>
        </w:numPr>
        <w:tabs>
          <w:tab w:val="left" w:pos="360"/>
        </w:tabs>
        <w:contextualSpacing/>
        <w:jc w:val="both"/>
        <w:rPr>
          <w:rFonts w:cs="Arial"/>
          <w:sz w:val="22"/>
          <w:szCs w:val="22"/>
        </w:rPr>
      </w:pPr>
      <w:r>
        <w:rPr>
          <w:sz w:val="22"/>
        </w:rPr>
        <w:t>El componente de personal en las tres hipótesis se ha calculado sobre la base de una plantilla indicativa establecida para el trienio 2015-2017. La COP11 aprobó los 9,195 puestos del cuadro orgánico financiados con cargo al presupuesto básico. Con las hipótesis presupuestarias de crecimiento nominal cero y crecimiento real cero, los puestos del cuadro orgánico financiados con cargo al presupuesto básico permanecerían invariados. En la Hipótesis 3, se propone que los puestos del cuadro orgánico financiados con cargo al presupuesto básico se incrementen en 0,68 con respecto a la plantilla de la Secretaría de 2015-</w:t>
      </w:r>
      <w:proofErr w:type="gramStart"/>
      <w:r>
        <w:rPr>
          <w:sz w:val="22"/>
        </w:rPr>
        <w:t>2017 .</w:t>
      </w:r>
      <w:proofErr w:type="gramEnd"/>
      <w:r>
        <w:rPr>
          <w:sz w:val="22"/>
        </w:rPr>
        <w:t xml:space="preserve"> </w:t>
      </w:r>
    </w:p>
    <w:p w:rsidR="007459B2" w:rsidRDefault="007459B2" w:rsidP="0033299A">
      <w:pPr>
        <w:pStyle w:val="NoSpacing"/>
        <w:jc w:val="both"/>
        <w:rPr>
          <w:rFonts w:ascii="Arial" w:hAnsi="Arial" w:cs="Arial"/>
        </w:rPr>
      </w:pPr>
    </w:p>
    <w:p w:rsidR="007459B2" w:rsidRPr="008F58F6" w:rsidRDefault="007459B2" w:rsidP="0033299A">
      <w:pPr>
        <w:pStyle w:val="NoSpacing"/>
        <w:jc w:val="both"/>
        <w:rPr>
          <w:rFonts w:ascii="Arial" w:hAnsi="Arial" w:cs="Arial"/>
          <w:b/>
          <w:i/>
        </w:rPr>
      </w:pPr>
      <w:r>
        <w:rPr>
          <w:rFonts w:ascii="Arial" w:hAnsi="Arial"/>
          <w:b/>
          <w:i/>
        </w:rPr>
        <w:t>Gastos de apoyo a los programas</w:t>
      </w:r>
    </w:p>
    <w:p w:rsidR="007459B2" w:rsidRDefault="007459B2" w:rsidP="0033299A">
      <w:pPr>
        <w:jc w:val="both"/>
        <w:rPr>
          <w:rFonts w:cs="Arial"/>
          <w:sz w:val="22"/>
          <w:szCs w:val="22"/>
        </w:rPr>
      </w:pPr>
    </w:p>
    <w:p w:rsidR="007459B2" w:rsidRPr="001E0D2C" w:rsidRDefault="007459B2" w:rsidP="001E0D2C">
      <w:pPr>
        <w:numPr>
          <w:ilvl w:val="0"/>
          <w:numId w:val="2"/>
        </w:numPr>
        <w:tabs>
          <w:tab w:val="left" w:pos="360"/>
        </w:tabs>
        <w:contextualSpacing/>
        <w:jc w:val="both"/>
        <w:rPr>
          <w:rFonts w:cs="Arial"/>
          <w:sz w:val="22"/>
          <w:szCs w:val="22"/>
        </w:rPr>
      </w:pPr>
      <w:r>
        <w:rPr>
          <w:sz w:val="22"/>
        </w:rPr>
        <w:t xml:space="preserve">De conformidad con la Resolución 35/217 de la Asamblea General de las Naciones Unidas, de 17 de diciembre de 1980, la ONU Medio Ambiente aplica una tasa del 13% sobre los gastos del Fondo Fiduciario realizados para la administración de la Secretaría de la CMS. La resolución de la Asamblea General tiene por objeto asegurar que los recursos básicos proporcionados a los organismos de las Naciones Unidas no se desvíen de los mandatos básicos aprobados por sus órganos legislativos hacia la administración o implementación de actividades extrapresupuestarias. En el caso de la ONU Medio Ambiente, el Director Ejecutivo, de conformidad con lo establecido en la política de los gastos de apoyo a los programas (PSC por sus siglas en inglés), decidió devolver una parte del 13% de los PSC aplicado a los gastos de todos los fondos de la familia de la CMS, para ayudar a cubrir los gastos de los servicios de apoyo administrativo de la Secretaría de la CMS. Estos recursos se utilizan actualmente para financiar un puesto de categoría profesional (Oficial de gestión administrativa y financiera P-4) y cinco puestos del cuadro de servicios generales (cuatro con sede en Bonn [Alemania] y uno ubicado en Abu </w:t>
      </w:r>
      <w:proofErr w:type="spellStart"/>
      <w:r>
        <w:rPr>
          <w:sz w:val="22"/>
        </w:rPr>
        <w:t>Dhabi</w:t>
      </w:r>
      <w:proofErr w:type="spellEnd"/>
      <w:r>
        <w:rPr>
          <w:sz w:val="22"/>
        </w:rPr>
        <w:t xml:space="preserve"> [Emiratos Árabes Unidos]).</w:t>
      </w:r>
    </w:p>
    <w:p w:rsidR="007459B2" w:rsidRPr="00903B7F" w:rsidRDefault="007459B2" w:rsidP="0033299A">
      <w:pPr>
        <w:pStyle w:val="NoSpacing"/>
        <w:jc w:val="both"/>
        <w:rPr>
          <w:rFonts w:ascii="Arial" w:hAnsi="Arial" w:cs="Arial"/>
        </w:rPr>
      </w:pPr>
    </w:p>
    <w:p w:rsidR="007459B2" w:rsidRPr="008F58F6" w:rsidRDefault="007459B2" w:rsidP="008F58F6">
      <w:pPr>
        <w:jc w:val="both"/>
        <w:rPr>
          <w:rFonts w:cs="Arial"/>
          <w:sz w:val="22"/>
          <w:szCs w:val="22"/>
          <w:u w:val="single"/>
        </w:rPr>
      </w:pPr>
      <w:r>
        <w:rPr>
          <w:sz w:val="22"/>
          <w:u w:val="single"/>
        </w:rPr>
        <w:t>Escala de cuotas de contribución abonables por las Partes</w:t>
      </w:r>
    </w:p>
    <w:p w:rsidR="007459B2" w:rsidRPr="00903B7F" w:rsidRDefault="007459B2" w:rsidP="0033299A">
      <w:pPr>
        <w:pStyle w:val="NoSpacing"/>
        <w:jc w:val="both"/>
        <w:rPr>
          <w:rFonts w:ascii="Arial" w:hAnsi="Arial" w:cs="Arial"/>
        </w:rPr>
      </w:pPr>
    </w:p>
    <w:p w:rsidR="007459B2" w:rsidRPr="001E0D2C" w:rsidRDefault="007459B2" w:rsidP="001E0D2C">
      <w:pPr>
        <w:numPr>
          <w:ilvl w:val="0"/>
          <w:numId w:val="2"/>
        </w:numPr>
        <w:tabs>
          <w:tab w:val="left" w:pos="360"/>
        </w:tabs>
        <w:contextualSpacing/>
        <w:jc w:val="both"/>
        <w:rPr>
          <w:rFonts w:cs="Arial"/>
          <w:sz w:val="22"/>
          <w:szCs w:val="22"/>
        </w:rPr>
      </w:pPr>
      <w:r>
        <w:rPr>
          <w:sz w:val="22"/>
        </w:rPr>
        <w:t xml:space="preserve">Las cuotas asignadas de las Partes para cada una de las hipótesis presupuestarias se presentan en el Anexo 2. Las cuotas asignadas se basan en la actual escala de cuotas de las Naciones Unidas para 2016-2018, que fue adoptada por la Asamblea General mediante su Resolución 70/245, de 23 de diciembre de 2016, ajustada para tener en cuenta el hecho de que no todos los Estados Miembros de las Naciones Unidas son Partes en la Convención. </w:t>
      </w:r>
    </w:p>
    <w:p w:rsidR="007459B2" w:rsidRPr="00903B7F" w:rsidRDefault="007459B2" w:rsidP="0033299A">
      <w:pPr>
        <w:pStyle w:val="NoSpacing"/>
        <w:jc w:val="both"/>
        <w:rPr>
          <w:rFonts w:ascii="Arial" w:hAnsi="Arial" w:cs="Arial"/>
          <w:b/>
        </w:rPr>
      </w:pPr>
    </w:p>
    <w:p w:rsidR="007459B2" w:rsidRPr="008F58F6" w:rsidRDefault="007459B2" w:rsidP="008F58F6">
      <w:pPr>
        <w:jc w:val="both"/>
        <w:rPr>
          <w:rFonts w:cs="Arial"/>
          <w:sz w:val="22"/>
          <w:szCs w:val="22"/>
          <w:u w:val="single"/>
        </w:rPr>
      </w:pPr>
      <w:r>
        <w:rPr>
          <w:sz w:val="22"/>
          <w:u w:val="single"/>
        </w:rPr>
        <w:t xml:space="preserve">Examen de la clasificación de los puestos de la Secretaría </w:t>
      </w:r>
    </w:p>
    <w:p w:rsidR="007459B2" w:rsidRPr="00903B7F" w:rsidRDefault="007459B2" w:rsidP="0033299A">
      <w:pPr>
        <w:pStyle w:val="NoSpacing"/>
        <w:jc w:val="both"/>
        <w:rPr>
          <w:rFonts w:ascii="Arial" w:hAnsi="Arial" w:cs="Arial"/>
        </w:rPr>
      </w:pPr>
    </w:p>
    <w:p w:rsidR="007459B2" w:rsidRPr="001E0D2C" w:rsidRDefault="007459B2" w:rsidP="001E0D2C">
      <w:pPr>
        <w:numPr>
          <w:ilvl w:val="0"/>
          <w:numId w:val="2"/>
        </w:numPr>
        <w:tabs>
          <w:tab w:val="left" w:pos="360"/>
        </w:tabs>
        <w:contextualSpacing/>
        <w:jc w:val="both"/>
        <w:rPr>
          <w:rFonts w:cs="Arial"/>
          <w:sz w:val="22"/>
          <w:szCs w:val="22"/>
        </w:rPr>
      </w:pPr>
      <w:r>
        <w:rPr>
          <w:sz w:val="22"/>
        </w:rPr>
        <w:t xml:space="preserve">A partir de la COP9 en adelante, la COP ha pedido al Director Ejecutivo de la ONU Medio Ambiente que realizara un examen de la clasificación de todos los puestos de la Secretaría. Esta petición fue reiterada en la COP11 a través de la Resolución 11.1, párrafo dispositivo15. El examen efectivo se emprendió en 2016 y fue realizado por un consultor independiente que examinó las descripciones originales de los puestos y las comparó con las responsabilidades efectivas de los titulares. Desde que los funcionarios entraron en servicio, a veces hace diez años o más, su descripción del trabajo nunca ha sido modificada para reflejar cualesquiera cambios en las respectivas funciones. El informe del consultor se adjunta como Anexo 5 al presente documento. </w:t>
      </w:r>
    </w:p>
    <w:p w:rsidR="007459B2" w:rsidRPr="001E0D2C" w:rsidRDefault="007459B2" w:rsidP="001E0D2C">
      <w:pPr>
        <w:tabs>
          <w:tab w:val="left" w:pos="360"/>
        </w:tabs>
        <w:ind w:left="360"/>
        <w:contextualSpacing/>
        <w:jc w:val="both"/>
        <w:rPr>
          <w:rFonts w:cs="Arial"/>
          <w:sz w:val="22"/>
          <w:szCs w:val="22"/>
        </w:rPr>
      </w:pPr>
    </w:p>
    <w:p w:rsidR="007459B2" w:rsidRDefault="007459B2" w:rsidP="001E0D2C">
      <w:pPr>
        <w:numPr>
          <w:ilvl w:val="0"/>
          <w:numId w:val="2"/>
        </w:numPr>
        <w:tabs>
          <w:tab w:val="left" w:pos="360"/>
        </w:tabs>
        <w:contextualSpacing/>
        <w:jc w:val="both"/>
        <w:rPr>
          <w:rFonts w:cs="Arial"/>
          <w:sz w:val="22"/>
          <w:szCs w:val="22"/>
        </w:rPr>
      </w:pPr>
      <w:r>
        <w:rPr>
          <w:sz w:val="22"/>
        </w:rPr>
        <w:t xml:space="preserve">Con la excepción del puesto de P-3, Oficial de información descrito en el párrafo 20, no se propone ningún cambio de clasificación de los puestos de la CMS en ninguna de las tres hipótesis mencionadas anteriormente. Para aplicar los resultados de la labor de clasificación de los puestos gradualmente en los próximos años, podrían aprovecharse las oportunidades que podrían originarse, por ejemplo, a través de cambios estructurales y en el marco del presupuesto asignado. </w:t>
      </w:r>
    </w:p>
    <w:p w:rsidR="00502DE0" w:rsidRDefault="00502DE0">
      <w:pPr>
        <w:widowControl/>
        <w:autoSpaceDE/>
        <w:autoSpaceDN/>
        <w:adjustRightInd/>
        <w:rPr>
          <w:rFonts w:cs="Arial"/>
          <w:sz w:val="22"/>
          <w:szCs w:val="22"/>
        </w:rPr>
      </w:pPr>
      <w:r>
        <w:rPr>
          <w:rFonts w:cs="Arial"/>
          <w:sz w:val="22"/>
          <w:szCs w:val="22"/>
        </w:rPr>
        <w:br w:type="page"/>
      </w:r>
    </w:p>
    <w:p w:rsidR="007459B2" w:rsidRDefault="007459B2" w:rsidP="00DF6B58">
      <w:pPr>
        <w:pStyle w:val="ListParagraph"/>
        <w:rPr>
          <w:rFonts w:cs="Arial"/>
          <w:sz w:val="22"/>
          <w:szCs w:val="22"/>
        </w:rPr>
      </w:pPr>
    </w:p>
    <w:p w:rsidR="007459B2" w:rsidRDefault="007459B2" w:rsidP="00A14313">
      <w:pPr>
        <w:jc w:val="both"/>
        <w:rPr>
          <w:rFonts w:cs="Arial"/>
          <w:sz w:val="22"/>
          <w:szCs w:val="22"/>
          <w:u w:val="single"/>
        </w:rPr>
      </w:pPr>
      <w:r>
        <w:rPr>
          <w:sz w:val="22"/>
          <w:u w:val="single"/>
        </w:rPr>
        <w:t>Programa de trabajo propuesto para 2018-2020</w:t>
      </w:r>
    </w:p>
    <w:p w:rsidR="007459B2" w:rsidRDefault="007459B2" w:rsidP="00A14313">
      <w:pPr>
        <w:jc w:val="both"/>
        <w:rPr>
          <w:rFonts w:cs="Arial"/>
          <w:sz w:val="22"/>
          <w:szCs w:val="22"/>
          <w:u w:val="single"/>
        </w:rPr>
      </w:pPr>
    </w:p>
    <w:p w:rsidR="007459B2" w:rsidRDefault="007459B2" w:rsidP="0008223A">
      <w:pPr>
        <w:numPr>
          <w:ilvl w:val="0"/>
          <w:numId w:val="2"/>
        </w:numPr>
        <w:tabs>
          <w:tab w:val="left" w:pos="360"/>
        </w:tabs>
        <w:contextualSpacing/>
        <w:jc w:val="both"/>
        <w:rPr>
          <w:rFonts w:cs="Arial"/>
          <w:sz w:val="22"/>
          <w:szCs w:val="22"/>
        </w:rPr>
      </w:pPr>
      <w:r>
        <w:rPr>
          <w:sz w:val="22"/>
        </w:rPr>
        <w:t>El Programa de trabajo propuesto para 2018-2020 se incluye en el Anexo 4.</w:t>
      </w:r>
    </w:p>
    <w:p w:rsidR="007459B2" w:rsidRDefault="007459B2" w:rsidP="00DF6B58">
      <w:pPr>
        <w:pStyle w:val="ListParagraph"/>
        <w:rPr>
          <w:rFonts w:cs="Arial"/>
          <w:sz w:val="22"/>
          <w:szCs w:val="22"/>
        </w:rPr>
      </w:pPr>
    </w:p>
    <w:p w:rsidR="007459B2" w:rsidRPr="0008223A" w:rsidRDefault="007459B2" w:rsidP="00DF6B58">
      <w:pPr>
        <w:jc w:val="both"/>
        <w:rPr>
          <w:rFonts w:cs="Arial"/>
          <w:sz w:val="22"/>
          <w:szCs w:val="22"/>
          <w:u w:val="single"/>
        </w:rPr>
      </w:pPr>
      <w:r>
        <w:rPr>
          <w:sz w:val="22"/>
          <w:u w:val="single"/>
        </w:rPr>
        <w:t>Anexos</w:t>
      </w:r>
    </w:p>
    <w:p w:rsidR="007459B2" w:rsidRPr="0008223A" w:rsidRDefault="007459B2" w:rsidP="00DF6B58">
      <w:pPr>
        <w:pStyle w:val="ListParagraph"/>
        <w:widowControl/>
        <w:numPr>
          <w:ilvl w:val="0"/>
          <w:numId w:val="50"/>
        </w:numPr>
        <w:autoSpaceDE/>
        <w:adjustRightInd/>
        <w:spacing w:before="60" w:after="60"/>
        <w:contextualSpacing w:val="0"/>
        <w:jc w:val="both"/>
        <w:rPr>
          <w:rFonts w:cs="Arial"/>
          <w:sz w:val="22"/>
          <w:szCs w:val="22"/>
        </w:rPr>
      </w:pPr>
      <w:r>
        <w:rPr>
          <w:sz w:val="22"/>
        </w:rPr>
        <w:t>Presupuesto propuesto para el trienio 2018-2020 - Hipótesis1: Crecimiento nominal cero, Anexo 1 (A)</w:t>
      </w:r>
    </w:p>
    <w:p w:rsidR="007459B2" w:rsidRPr="0008223A" w:rsidRDefault="007459B2" w:rsidP="00DF6B58">
      <w:pPr>
        <w:pStyle w:val="ListParagraph"/>
        <w:widowControl/>
        <w:numPr>
          <w:ilvl w:val="0"/>
          <w:numId w:val="50"/>
        </w:numPr>
        <w:autoSpaceDE/>
        <w:adjustRightInd/>
        <w:spacing w:before="60" w:after="60"/>
        <w:contextualSpacing w:val="0"/>
        <w:jc w:val="both"/>
        <w:rPr>
          <w:rFonts w:cs="Arial"/>
          <w:sz w:val="22"/>
          <w:szCs w:val="22"/>
        </w:rPr>
      </w:pPr>
      <w:r>
        <w:rPr>
          <w:sz w:val="22"/>
        </w:rPr>
        <w:t>Presupuesto propuesto para el trienio 2018-2020 - Hipótesis 2: Crecimiento real cero, Anexo 1 (B)</w:t>
      </w:r>
    </w:p>
    <w:p w:rsidR="007459B2" w:rsidRPr="0008223A" w:rsidRDefault="007459B2" w:rsidP="00DF6B58">
      <w:pPr>
        <w:pStyle w:val="ListParagraph"/>
        <w:widowControl/>
        <w:numPr>
          <w:ilvl w:val="0"/>
          <w:numId w:val="50"/>
        </w:numPr>
        <w:autoSpaceDE/>
        <w:adjustRightInd/>
        <w:spacing w:before="60" w:after="60"/>
        <w:contextualSpacing w:val="0"/>
        <w:jc w:val="both"/>
        <w:rPr>
          <w:rFonts w:cs="Arial"/>
          <w:sz w:val="22"/>
          <w:szCs w:val="22"/>
        </w:rPr>
      </w:pPr>
      <w:r>
        <w:rPr>
          <w:sz w:val="22"/>
        </w:rPr>
        <w:t>Presupuesto propuesto para el trienio 2018-2020 - Hipótesis 3: Anexo 1 (C)</w:t>
      </w:r>
    </w:p>
    <w:p w:rsidR="007459B2" w:rsidRPr="0008223A" w:rsidRDefault="007459B2" w:rsidP="00DF6B58">
      <w:pPr>
        <w:pStyle w:val="ListParagraph"/>
        <w:widowControl/>
        <w:numPr>
          <w:ilvl w:val="0"/>
          <w:numId w:val="50"/>
        </w:numPr>
        <w:autoSpaceDE/>
        <w:adjustRightInd/>
        <w:spacing w:before="60" w:after="60"/>
        <w:contextualSpacing w:val="0"/>
        <w:jc w:val="both"/>
        <w:rPr>
          <w:rFonts w:cs="Arial"/>
          <w:sz w:val="22"/>
          <w:szCs w:val="22"/>
        </w:rPr>
      </w:pPr>
      <w:r>
        <w:rPr>
          <w:sz w:val="22"/>
        </w:rPr>
        <w:t>Escala de cuotas para el trienio 2018 - 2020 Presupuesto, Anexo 2</w:t>
      </w:r>
    </w:p>
    <w:p w:rsidR="007459B2" w:rsidRPr="0008223A" w:rsidRDefault="007459B2" w:rsidP="00DF6B58">
      <w:pPr>
        <w:pStyle w:val="ListParagraph"/>
        <w:widowControl/>
        <w:numPr>
          <w:ilvl w:val="0"/>
          <w:numId w:val="50"/>
        </w:numPr>
        <w:autoSpaceDE/>
        <w:adjustRightInd/>
        <w:spacing w:before="60" w:after="60"/>
        <w:contextualSpacing w:val="0"/>
        <w:jc w:val="both"/>
        <w:rPr>
          <w:rFonts w:cs="Arial"/>
          <w:sz w:val="22"/>
          <w:szCs w:val="22"/>
        </w:rPr>
      </w:pPr>
      <w:r>
        <w:rPr>
          <w:sz w:val="22"/>
        </w:rPr>
        <w:t>Proyecto de resolución sobre asuntos administrativos y financieros, Anexo 3</w:t>
      </w:r>
    </w:p>
    <w:p w:rsidR="007459B2" w:rsidRPr="0008223A" w:rsidRDefault="007459B2" w:rsidP="00DF6B58">
      <w:pPr>
        <w:pStyle w:val="ListParagraph"/>
        <w:widowControl/>
        <w:numPr>
          <w:ilvl w:val="0"/>
          <w:numId w:val="50"/>
        </w:numPr>
        <w:autoSpaceDE/>
        <w:adjustRightInd/>
        <w:spacing w:before="60" w:after="60"/>
        <w:contextualSpacing w:val="0"/>
        <w:jc w:val="both"/>
        <w:rPr>
          <w:rFonts w:cs="Arial"/>
          <w:sz w:val="22"/>
          <w:szCs w:val="22"/>
        </w:rPr>
      </w:pPr>
      <w:r>
        <w:rPr>
          <w:sz w:val="22"/>
        </w:rPr>
        <w:t>Programa de trabajo propuesto para 2018-2020, Anexo 4</w:t>
      </w:r>
    </w:p>
    <w:p w:rsidR="007459B2" w:rsidRPr="0008223A" w:rsidRDefault="007459B2" w:rsidP="00FA750B">
      <w:pPr>
        <w:pStyle w:val="ListParagraph"/>
        <w:widowControl/>
        <w:numPr>
          <w:ilvl w:val="0"/>
          <w:numId w:val="50"/>
        </w:numPr>
        <w:autoSpaceDE/>
        <w:adjustRightInd/>
        <w:spacing w:before="60" w:after="60"/>
        <w:contextualSpacing w:val="0"/>
        <w:jc w:val="both"/>
        <w:rPr>
          <w:rFonts w:cs="Arial"/>
          <w:sz w:val="22"/>
          <w:szCs w:val="22"/>
        </w:rPr>
      </w:pPr>
      <w:r>
        <w:rPr>
          <w:sz w:val="22"/>
        </w:rPr>
        <w:t>Informe sobre la clasificación de los puestos de la Secretaría, Anexo 5</w:t>
      </w:r>
    </w:p>
    <w:p w:rsidR="007459B2" w:rsidRPr="001E0D2C" w:rsidRDefault="007459B2" w:rsidP="00DF6B58">
      <w:pPr>
        <w:tabs>
          <w:tab w:val="left" w:pos="360"/>
        </w:tabs>
        <w:ind w:left="360"/>
        <w:contextualSpacing/>
        <w:jc w:val="both"/>
        <w:rPr>
          <w:rFonts w:cs="Arial"/>
          <w:sz w:val="22"/>
          <w:szCs w:val="22"/>
        </w:rPr>
      </w:pPr>
    </w:p>
    <w:p w:rsidR="007459B2" w:rsidRPr="00CD0FE9" w:rsidRDefault="007459B2" w:rsidP="007910DD">
      <w:pPr>
        <w:jc w:val="both"/>
        <w:rPr>
          <w:rFonts w:cs="Arial"/>
          <w:sz w:val="22"/>
          <w:szCs w:val="22"/>
        </w:rPr>
      </w:pPr>
    </w:p>
    <w:p w:rsidR="007459B2" w:rsidRPr="008F58F6" w:rsidRDefault="007459B2" w:rsidP="008F58F6">
      <w:pPr>
        <w:jc w:val="both"/>
        <w:rPr>
          <w:rFonts w:cs="Arial"/>
          <w:sz w:val="22"/>
          <w:szCs w:val="22"/>
          <w:u w:val="single"/>
        </w:rPr>
      </w:pPr>
      <w:r>
        <w:rPr>
          <w:sz w:val="22"/>
          <w:u w:val="single"/>
        </w:rPr>
        <w:t>Medidas que se recomiendan</w:t>
      </w:r>
    </w:p>
    <w:p w:rsidR="007459B2" w:rsidRPr="00CD0FE9" w:rsidRDefault="007459B2" w:rsidP="007910DD">
      <w:pPr>
        <w:rPr>
          <w:rFonts w:cs="Arial"/>
          <w:sz w:val="22"/>
          <w:szCs w:val="22"/>
        </w:rPr>
      </w:pPr>
    </w:p>
    <w:p w:rsidR="007459B2" w:rsidRPr="00CD0FE9" w:rsidRDefault="007459B2" w:rsidP="001E0D2C">
      <w:pPr>
        <w:numPr>
          <w:ilvl w:val="0"/>
          <w:numId w:val="2"/>
        </w:numPr>
        <w:tabs>
          <w:tab w:val="left" w:pos="360"/>
        </w:tabs>
        <w:contextualSpacing/>
        <w:jc w:val="both"/>
        <w:rPr>
          <w:rFonts w:cs="Arial"/>
          <w:sz w:val="22"/>
          <w:szCs w:val="22"/>
        </w:rPr>
      </w:pPr>
      <w:r>
        <w:rPr>
          <w:sz w:val="22"/>
        </w:rPr>
        <w:t>Se recomienda a la Conferencia de las Partes que:</w:t>
      </w:r>
    </w:p>
    <w:p w:rsidR="007459B2" w:rsidRPr="00CD0FE9" w:rsidRDefault="007459B2" w:rsidP="007910DD">
      <w:pPr>
        <w:jc w:val="both"/>
        <w:rPr>
          <w:rFonts w:cs="Arial"/>
          <w:sz w:val="22"/>
          <w:szCs w:val="22"/>
        </w:rPr>
      </w:pPr>
    </w:p>
    <w:p w:rsidR="007459B2" w:rsidRPr="00CD0FE9" w:rsidRDefault="007459B2" w:rsidP="00200759">
      <w:pPr>
        <w:widowControl/>
        <w:numPr>
          <w:ilvl w:val="0"/>
          <w:numId w:val="3"/>
        </w:numPr>
        <w:autoSpaceDE/>
        <w:adjustRightInd/>
        <w:contextualSpacing/>
        <w:jc w:val="both"/>
        <w:rPr>
          <w:rFonts w:cs="Arial"/>
          <w:sz w:val="22"/>
          <w:szCs w:val="22"/>
        </w:rPr>
      </w:pPr>
      <w:r>
        <w:rPr>
          <w:sz w:val="22"/>
        </w:rPr>
        <w:t>adopte el proyecto de Resolución que figura en el Anexo 3 del presente documento.</w:t>
      </w:r>
    </w:p>
    <w:p w:rsidR="007459B2" w:rsidRPr="00CD0FE9" w:rsidRDefault="007459B2" w:rsidP="007910DD">
      <w:pPr>
        <w:widowControl/>
        <w:autoSpaceDE/>
        <w:adjustRightInd/>
        <w:ind w:left="1440"/>
        <w:contextualSpacing/>
        <w:jc w:val="both"/>
        <w:rPr>
          <w:rFonts w:cs="Arial"/>
          <w:sz w:val="22"/>
          <w:szCs w:val="22"/>
        </w:rPr>
      </w:pPr>
    </w:p>
    <w:p w:rsidR="007459B2" w:rsidRDefault="007459B2" w:rsidP="0003449E">
      <w:pPr>
        <w:widowControl/>
        <w:autoSpaceDE/>
        <w:adjustRightInd/>
        <w:jc w:val="right"/>
        <w:rPr>
          <w:rFonts w:cs="Arial"/>
          <w:sz w:val="22"/>
          <w:szCs w:val="22"/>
        </w:rPr>
        <w:sectPr w:rsidR="007459B2" w:rsidSect="000D59F2">
          <w:headerReference w:type="first" r:id="rId14"/>
          <w:footerReference w:type="first" r:id="rId15"/>
          <w:endnotePr>
            <w:numFmt w:val="decimal"/>
          </w:endnotePr>
          <w:pgSz w:w="11905" w:h="16837" w:code="9"/>
          <w:pgMar w:top="1008" w:right="1411" w:bottom="1152" w:left="1411" w:header="432" w:footer="432" w:gutter="0"/>
          <w:cols w:space="720"/>
          <w:noEndnote/>
          <w:titlePg/>
          <w:rtlGutter/>
          <w:docGrid w:linePitch="272"/>
        </w:sectPr>
      </w:pPr>
    </w:p>
    <w:p w:rsidR="007459B2" w:rsidRPr="00CD0FE9" w:rsidRDefault="007459B2" w:rsidP="00245E18">
      <w:pPr>
        <w:widowControl/>
        <w:autoSpaceDE/>
        <w:adjustRightInd/>
        <w:jc w:val="right"/>
        <w:rPr>
          <w:rFonts w:cs="Arial"/>
          <w:b/>
          <w:bCs/>
          <w:caps/>
          <w:sz w:val="22"/>
          <w:szCs w:val="22"/>
        </w:rPr>
      </w:pPr>
      <w:r>
        <w:rPr>
          <w:b/>
          <w:caps/>
          <w:sz w:val="22"/>
        </w:rPr>
        <w:lastRenderedPageBreak/>
        <w:t>Anexo 1 (A)</w:t>
      </w:r>
    </w:p>
    <w:p w:rsidR="007459B2" w:rsidRPr="00414E42" w:rsidRDefault="007459B2" w:rsidP="00245E18">
      <w:pPr>
        <w:widowControl/>
        <w:autoSpaceDE/>
        <w:autoSpaceDN/>
        <w:adjustRightInd/>
        <w:jc w:val="center"/>
        <w:rPr>
          <w:rFonts w:cs="Arial"/>
          <w:b/>
          <w:bCs/>
          <w:color w:val="000000"/>
          <w:sz w:val="22"/>
          <w:szCs w:val="22"/>
        </w:rPr>
      </w:pPr>
      <w:r>
        <w:rPr>
          <w:b/>
          <w:color w:val="000000"/>
          <w:sz w:val="22"/>
        </w:rPr>
        <w:t xml:space="preserve">PRESUPUESTO PROPUESTO PARA EL TRIENIO 2018 - 2020: </w:t>
      </w:r>
    </w:p>
    <w:p w:rsidR="007459B2" w:rsidRPr="00414E42" w:rsidRDefault="007459B2" w:rsidP="00245E18">
      <w:pPr>
        <w:autoSpaceDE/>
        <w:autoSpaceDN/>
        <w:adjustRightInd/>
        <w:spacing w:after="120"/>
        <w:jc w:val="center"/>
        <w:outlineLvl w:val="1"/>
        <w:rPr>
          <w:rFonts w:cs="Arial"/>
          <w:b/>
          <w:bCs/>
          <w:iCs/>
          <w:color w:val="000000"/>
          <w:sz w:val="22"/>
          <w:szCs w:val="22"/>
        </w:rPr>
      </w:pPr>
      <w:r>
        <w:rPr>
          <w:b/>
          <w:color w:val="000000"/>
          <w:sz w:val="22"/>
        </w:rPr>
        <w:t>HIPÓTESIS 1: CRECIMIENTO NOMINAL CERO</w:t>
      </w:r>
    </w:p>
    <w:p w:rsidR="007459B2" w:rsidRPr="00414E42" w:rsidRDefault="007459B2" w:rsidP="00245E18">
      <w:pPr>
        <w:autoSpaceDE/>
        <w:autoSpaceDN/>
        <w:adjustRightInd/>
        <w:spacing w:after="120"/>
        <w:jc w:val="center"/>
        <w:outlineLvl w:val="1"/>
        <w:rPr>
          <w:rFonts w:cs="Arial"/>
          <w:iCs/>
          <w:color w:val="000000"/>
          <w:szCs w:val="18"/>
        </w:rPr>
      </w:pPr>
      <w:r>
        <w:rPr>
          <w:color w:val="000000"/>
        </w:rPr>
        <w:t>(Todas las cifras en euros)</w:t>
      </w:r>
    </w:p>
    <w:tbl>
      <w:tblPr>
        <w:tblW w:w="9316" w:type="dxa"/>
        <w:jc w:val="center"/>
        <w:tblLook w:val="00A0" w:firstRow="1" w:lastRow="0" w:firstColumn="1" w:lastColumn="0" w:noHBand="0" w:noVBand="0"/>
      </w:tblPr>
      <w:tblGrid>
        <w:gridCol w:w="6140"/>
        <w:gridCol w:w="1017"/>
        <w:gridCol w:w="1017"/>
        <w:gridCol w:w="1017"/>
        <w:gridCol w:w="1017"/>
      </w:tblGrid>
      <w:tr w:rsidR="007459B2" w:rsidRPr="00E0707E" w:rsidTr="00245E18">
        <w:trPr>
          <w:trHeight w:val="513"/>
          <w:jc w:val="center"/>
        </w:trPr>
        <w:tc>
          <w:tcPr>
            <w:tcW w:w="0" w:type="auto"/>
            <w:tcBorders>
              <w:top w:val="single" w:sz="12" w:space="0" w:color="auto"/>
              <w:left w:val="nil"/>
              <w:bottom w:val="single" w:sz="12" w:space="0" w:color="auto"/>
              <w:right w:val="nil"/>
            </w:tcBorders>
            <w:noWrap/>
            <w:vAlign w:val="center"/>
          </w:tcPr>
          <w:p w:rsidR="007459B2" w:rsidRPr="00E0707E" w:rsidRDefault="007459B2" w:rsidP="00245E18">
            <w:pPr>
              <w:widowControl/>
              <w:autoSpaceDE/>
              <w:autoSpaceDN/>
              <w:adjustRightInd/>
              <w:rPr>
                <w:rFonts w:cs="Arial"/>
                <w:b/>
                <w:bCs/>
                <w:i/>
                <w:iCs/>
                <w:color w:val="000000"/>
                <w:szCs w:val="18"/>
              </w:rPr>
            </w:pPr>
            <w:r>
              <w:rPr>
                <w:b/>
                <w:i/>
              </w:rPr>
              <w:t xml:space="preserve">Partida de gastos  </w:t>
            </w:r>
          </w:p>
        </w:tc>
        <w:tc>
          <w:tcPr>
            <w:tcW w:w="0" w:type="auto"/>
            <w:tcBorders>
              <w:top w:val="single" w:sz="12" w:space="0" w:color="auto"/>
              <w:left w:val="nil"/>
              <w:bottom w:val="single" w:sz="12" w:space="0" w:color="auto"/>
              <w:right w:val="nil"/>
            </w:tcBorders>
            <w:noWrap/>
            <w:vAlign w:val="center"/>
          </w:tcPr>
          <w:p w:rsidR="007459B2" w:rsidRPr="00E0707E" w:rsidRDefault="007459B2" w:rsidP="00245E18">
            <w:pPr>
              <w:widowControl/>
              <w:autoSpaceDE/>
              <w:autoSpaceDN/>
              <w:adjustRightInd/>
              <w:jc w:val="right"/>
              <w:rPr>
                <w:rFonts w:cs="Arial"/>
                <w:b/>
                <w:bCs/>
                <w:i/>
                <w:iCs/>
                <w:color w:val="000000"/>
                <w:szCs w:val="18"/>
              </w:rPr>
            </w:pPr>
            <w:r>
              <w:rPr>
                <w:b/>
                <w:i/>
                <w:color w:val="000000"/>
              </w:rPr>
              <w:t>2018</w:t>
            </w:r>
          </w:p>
        </w:tc>
        <w:tc>
          <w:tcPr>
            <w:tcW w:w="0" w:type="auto"/>
            <w:tcBorders>
              <w:top w:val="single" w:sz="12" w:space="0" w:color="auto"/>
              <w:left w:val="nil"/>
              <w:bottom w:val="single" w:sz="12" w:space="0" w:color="auto"/>
              <w:right w:val="nil"/>
            </w:tcBorders>
            <w:noWrap/>
            <w:vAlign w:val="center"/>
          </w:tcPr>
          <w:p w:rsidR="007459B2" w:rsidRPr="00E0707E" w:rsidRDefault="007459B2" w:rsidP="00245E18">
            <w:pPr>
              <w:widowControl/>
              <w:autoSpaceDE/>
              <w:autoSpaceDN/>
              <w:adjustRightInd/>
              <w:jc w:val="right"/>
              <w:rPr>
                <w:rFonts w:cs="Arial"/>
                <w:b/>
                <w:bCs/>
                <w:i/>
                <w:iCs/>
                <w:color w:val="000000"/>
                <w:szCs w:val="18"/>
              </w:rPr>
            </w:pPr>
            <w:r>
              <w:rPr>
                <w:b/>
                <w:i/>
                <w:color w:val="000000"/>
              </w:rPr>
              <w:t>2019</w:t>
            </w:r>
          </w:p>
        </w:tc>
        <w:tc>
          <w:tcPr>
            <w:tcW w:w="0" w:type="auto"/>
            <w:tcBorders>
              <w:top w:val="single" w:sz="12" w:space="0" w:color="auto"/>
              <w:left w:val="nil"/>
              <w:bottom w:val="single" w:sz="12" w:space="0" w:color="auto"/>
              <w:right w:val="nil"/>
            </w:tcBorders>
            <w:noWrap/>
            <w:vAlign w:val="center"/>
          </w:tcPr>
          <w:p w:rsidR="007459B2" w:rsidRPr="00E0707E" w:rsidRDefault="007459B2" w:rsidP="00245E18">
            <w:pPr>
              <w:widowControl/>
              <w:autoSpaceDE/>
              <w:autoSpaceDN/>
              <w:adjustRightInd/>
              <w:jc w:val="right"/>
              <w:rPr>
                <w:rFonts w:cs="Arial"/>
                <w:b/>
                <w:bCs/>
                <w:i/>
                <w:iCs/>
                <w:color w:val="000000"/>
                <w:szCs w:val="18"/>
              </w:rPr>
            </w:pPr>
            <w:r>
              <w:rPr>
                <w:b/>
                <w:i/>
                <w:color w:val="000000"/>
              </w:rPr>
              <w:t>2020</w:t>
            </w:r>
          </w:p>
        </w:tc>
        <w:tc>
          <w:tcPr>
            <w:tcW w:w="0" w:type="auto"/>
            <w:tcBorders>
              <w:top w:val="single" w:sz="12" w:space="0" w:color="auto"/>
              <w:left w:val="nil"/>
              <w:bottom w:val="single" w:sz="12" w:space="0" w:color="auto"/>
              <w:right w:val="nil"/>
            </w:tcBorders>
            <w:noWrap/>
            <w:vAlign w:val="center"/>
          </w:tcPr>
          <w:p w:rsidR="007459B2" w:rsidRPr="00E0707E" w:rsidRDefault="007459B2" w:rsidP="00245E18">
            <w:pPr>
              <w:widowControl/>
              <w:autoSpaceDE/>
              <w:autoSpaceDN/>
              <w:adjustRightInd/>
              <w:jc w:val="right"/>
              <w:rPr>
                <w:rFonts w:cs="Arial"/>
                <w:b/>
                <w:bCs/>
                <w:i/>
                <w:iCs/>
                <w:color w:val="000000"/>
                <w:szCs w:val="18"/>
              </w:rPr>
            </w:pPr>
            <w:r>
              <w:rPr>
                <w:b/>
                <w:i/>
                <w:color w:val="000000"/>
              </w:rPr>
              <w:t>Total</w:t>
            </w:r>
          </w:p>
        </w:tc>
      </w:tr>
      <w:tr w:rsidR="007459B2" w:rsidRPr="00E0707E" w:rsidTr="00245E18">
        <w:trPr>
          <w:trHeight w:val="328"/>
          <w:jc w:val="center"/>
        </w:trPr>
        <w:tc>
          <w:tcPr>
            <w:tcW w:w="0" w:type="auto"/>
            <w:tcBorders>
              <w:top w:val="single" w:sz="12" w:space="0" w:color="auto"/>
              <w:left w:val="nil"/>
              <w:bottom w:val="nil"/>
              <w:right w:val="nil"/>
            </w:tcBorders>
            <w:noWrap/>
          </w:tcPr>
          <w:p w:rsidR="007459B2" w:rsidRPr="00E0707E" w:rsidRDefault="007459B2" w:rsidP="00245E18">
            <w:pPr>
              <w:widowControl/>
              <w:autoSpaceDE/>
              <w:autoSpaceDN/>
              <w:adjustRightInd/>
              <w:rPr>
                <w:rFonts w:cs="Arial"/>
                <w:b/>
                <w:bCs/>
                <w:color w:val="000000"/>
                <w:szCs w:val="18"/>
              </w:rPr>
            </w:pPr>
            <w:r>
              <w:rPr>
                <w:b/>
                <w:color w:val="000000"/>
              </w:rPr>
              <w:t>Gastos de personal</w:t>
            </w:r>
          </w:p>
        </w:tc>
        <w:tc>
          <w:tcPr>
            <w:tcW w:w="0" w:type="auto"/>
            <w:tcBorders>
              <w:top w:val="single" w:sz="12" w:space="0" w:color="auto"/>
              <w:left w:val="nil"/>
              <w:bottom w:val="nil"/>
              <w:right w:val="nil"/>
            </w:tcBorders>
            <w:noWrap/>
          </w:tcPr>
          <w:p w:rsidR="007459B2" w:rsidRPr="00E0707E" w:rsidRDefault="007459B2" w:rsidP="00245E18">
            <w:pPr>
              <w:widowControl/>
              <w:autoSpaceDE/>
              <w:autoSpaceDN/>
              <w:adjustRightInd/>
              <w:rPr>
                <w:rFonts w:cs="Arial"/>
                <w:b/>
                <w:bCs/>
                <w:color w:val="000000"/>
                <w:szCs w:val="18"/>
              </w:rPr>
            </w:pPr>
          </w:p>
        </w:tc>
        <w:tc>
          <w:tcPr>
            <w:tcW w:w="0" w:type="auto"/>
            <w:tcBorders>
              <w:top w:val="single" w:sz="12" w:space="0" w:color="auto"/>
              <w:left w:val="nil"/>
              <w:bottom w:val="nil"/>
              <w:right w:val="nil"/>
            </w:tcBorders>
            <w:noWrap/>
          </w:tcPr>
          <w:p w:rsidR="007459B2" w:rsidRPr="00E0707E" w:rsidRDefault="007459B2" w:rsidP="00245E18">
            <w:pPr>
              <w:widowControl/>
              <w:autoSpaceDE/>
              <w:autoSpaceDN/>
              <w:adjustRightInd/>
              <w:jc w:val="right"/>
              <w:rPr>
                <w:rFonts w:cs="Arial"/>
                <w:szCs w:val="18"/>
              </w:rPr>
            </w:pPr>
          </w:p>
        </w:tc>
        <w:tc>
          <w:tcPr>
            <w:tcW w:w="0" w:type="auto"/>
            <w:tcBorders>
              <w:top w:val="single" w:sz="12" w:space="0" w:color="auto"/>
              <w:left w:val="nil"/>
              <w:bottom w:val="nil"/>
              <w:right w:val="nil"/>
            </w:tcBorders>
            <w:noWrap/>
          </w:tcPr>
          <w:p w:rsidR="007459B2" w:rsidRPr="00E0707E" w:rsidRDefault="007459B2" w:rsidP="00245E18">
            <w:pPr>
              <w:widowControl/>
              <w:autoSpaceDE/>
              <w:autoSpaceDN/>
              <w:adjustRightInd/>
              <w:jc w:val="right"/>
              <w:rPr>
                <w:rFonts w:cs="Arial"/>
                <w:szCs w:val="18"/>
              </w:rPr>
            </w:pPr>
          </w:p>
        </w:tc>
        <w:tc>
          <w:tcPr>
            <w:tcW w:w="0" w:type="auto"/>
            <w:tcBorders>
              <w:top w:val="single" w:sz="12" w:space="0" w:color="auto"/>
              <w:left w:val="nil"/>
              <w:bottom w:val="nil"/>
              <w:right w:val="nil"/>
            </w:tcBorders>
            <w:noWrap/>
          </w:tcPr>
          <w:p w:rsidR="007459B2" w:rsidRPr="00E0707E" w:rsidRDefault="007459B2" w:rsidP="00245E18">
            <w:pPr>
              <w:widowControl/>
              <w:autoSpaceDE/>
              <w:autoSpaceDN/>
              <w:adjustRightInd/>
              <w:jc w:val="right"/>
              <w:rPr>
                <w:rFonts w:cs="Arial"/>
                <w:szCs w:val="18"/>
              </w:rPr>
            </w:pPr>
          </w:p>
        </w:tc>
      </w:tr>
      <w:tr w:rsidR="007459B2" w:rsidRPr="00E0707E" w:rsidTr="00245E18">
        <w:trPr>
          <w:trHeight w:val="328"/>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color w:val="000000"/>
                <w:szCs w:val="18"/>
              </w:rPr>
            </w:pPr>
            <w:r>
              <w:rPr>
                <w:color w:val="000000"/>
              </w:rPr>
              <w:t xml:space="preserve">Personal profesional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1 359 336</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1 386 523</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1 414 253</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4 160 113</w:t>
            </w:r>
          </w:p>
        </w:tc>
      </w:tr>
      <w:tr w:rsidR="007459B2" w:rsidRPr="00E0707E" w:rsidTr="00245E18">
        <w:trPr>
          <w:trHeight w:val="328"/>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color w:val="000000"/>
                <w:szCs w:val="18"/>
              </w:rPr>
            </w:pPr>
            <w:r>
              <w:rPr>
                <w:color w:val="000000"/>
              </w:rPr>
              <w:t>Personal de apoyo general</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472 732</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482 186</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491 830</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1 446 747</w:t>
            </w:r>
          </w:p>
        </w:tc>
      </w:tr>
      <w:tr w:rsidR="007459B2" w:rsidRPr="00E0707E" w:rsidTr="00245E18">
        <w:trPr>
          <w:trHeight w:val="328"/>
          <w:jc w:val="center"/>
        </w:trPr>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rPr>
                <w:rFonts w:cs="Arial"/>
                <w:b/>
                <w:bCs/>
                <w:color w:val="000000"/>
                <w:szCs w:val="18"/>
              </w:rPr>
            </w:pPr>
            <w:proofErr w:type="gramStart"/>
            <w:r>
              <w:rPr>
                <w:b/>
                <w:color w:val="000000"/>
              </w:rPr>
              <w:t>Total</w:t>
            </w:r>
            <w:proofErr w:type="gramEnd"/>
            <w:r>
              <w:rPr>
                <w:b/>
                <w:color w:val="000000"/>
              </w:rPr>
              <w:t xml:space="preserve"> parcial</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1 832 068</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1 868 709</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1 906 083</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 xml:space="preserve">5 606 860 </w:t>
            </w:r>
          </w:p>
        </w:tc>
      </w:tr>
      <w:tr w:rsidR="007459B2" w:rsidRPr="00E0707E" w:rsidTr="00245E18">
        <w:trPr>
          <w:trHeight w:val="328"/>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b/>
                <w:bCs/>
                <w:color w:val="000000"/>
                <w:szCs w:val="18"/>
              </w:rPr>
            </w:pPr>
            <w:r>
              <w:rPr>
                <w:b/>
                <w:color w:val="000000"/>
              </w:rPr>
              <w:t>Servicios contractuales</w:t>
            </w:r>
          </w:p>
        </w:tc>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b/>
                <w:bCs/>
                <w:color w:val="000000"/>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r>
      <w:tr w:rsidR="007459B2" w:rsidRPr="00E0707E" w:rsidTr="00245E18">
        <w:trPr>
          <w:trHeight w:val="328"/>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color w:val="000000"/>
                <w:szCs w:val="18"/>
              </w:rPr>
            </w:pPr>
            <w:r>
              <w:rPr>
                <w:color w:val="000000"/>
              </w:rPr>
              <w:t>Servicios contractuales (traducciones generales y edición de documentos)</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90 168</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91 971</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93 811</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275 950</w:t>
            </w:r>
          </w:p>
        </w:tc>
      </w:tr>
      <w:tr w:rsidR="007459B2" w:rsidRPr="00E0707E" w:rsidTr="00245E18">
        <w:trPr>
          <w:trHeight w:val="328"/>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color w:val="000000"/>
                <w:szCs w:val="18"/>
              </w:rPr>
            </w:pPr>
            <w:r>
              <w:rPr>
                <w:color w:val="000000"/>
              </w:rPr>
              <w:t>Servicios a la COP13 (interpretación, redacción de informes, etc.)</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0</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0</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0</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0</w:t>
            </w:r>
          </w:p>
        </w:tc>
      </w:tr>
      <w:tr w:rsidR="007459B2" w:rsidRPr="00E0707E" w:rsidTr="00245E18">
        <w:trPr>
          <w:trHeight w:val="328"/>
          <w:jc w:val="center"/>
        </w:trPr>
        <w:tc>
          <w:tcPr>
            <w:tcW w:w="0" w:type="auto"/>
            <w:tcBorders>
              <w:top w:val="nil"/>
              <w:left w:val="nil"/>
              <w:bottom w:val="nil"/>
              <w:right w:val="nil"/>
            </w:tcBorders>
          </w:tcPr>
          <w:p w:rsidR="007459B2" w:rsidRPr="00E0707E" w:rsidRDefault="007459B2" w:rsidP="00245E18">
            <w:pPr>
              <w:widowControl/>
              <w:autoSpaceDE/>
              <w:autoSpaceDN/>
              <w:adjustRightInd/>
              <w:rPr>
                <w:rFonts w:cs="Arial"/>
                <w:color w:val="000000"/>
                <w:szCs w:val="18"/>
              </w:rPr>
            </w:pPr>
            <w:r>
              <w:rPr>
                <w:color w:val="000000"/>
              </w:rPr>
              <w:t>Producción de materiales de información</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12 750</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13 005</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13 265</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39 020</w:t>
            </w:r>
          </w:p>
        </w:tc>
      </w:tr>
      <w:tr w:rsidR="007459B2" w:rsidRPr="00E0707E" w:rsidTr="00245E18">
        <w:trPr>
          <w:trHeight w:val="328"/>
          <w:jc w:val="center"/>
        </w:trPr>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rPr>
                <w:rFonts w:cs="Arial"/>
                <w:b/>
                <w:bCs/>
                <w:color w:val="000000"/>
                <w:szCs w:val="18"/>
              </w:rPr>
            </w:pPr>
            <w:proofErr w:type="gramStart"/>
            <w:r>
              <w:rPr>
                <w:b/>
                <w:color w:val="000000"/>
              </w:rPr>
              <w:t>Total</w:t>
            </w:r>
            <w:proofErr w:type="gramEnd"/>
            <w:r>
              <w:rPr>
                <w:b/>
                <w:color w:val="000000"/>
              </w:rPr>
              <w:t xml:space="preserve"> parcial</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102 918</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104 976</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107 076</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314 970</w:t>
            </w:r>
          </w:p>
        </w:tc>
      </w:tr>
      <w:tr w:rsidR="007459B2" w:rsidRPr="00E0707E" w:rsidTr="00245E18">
        <w:trPr>
          <w:trHeight w:val="328"/>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b/>
                <w:bCs/>
                <w:color w:val="000000"/>
                <w:szCs w:val="18"/>
              </w:rPr>
            </w:pPr>
            <w:r>
              <w:rPr>
                <w:b/>
                <w:color w:val="000000"/>
              </w:rPr>
              <w:t>Gastos de funcionamiento</w:t>
            </w:r>
          </w:p>
        </w:tc>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b/>
                <w:bCs/>
                <w:color w:val="000000"/>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r>
      <w:tr w:rsidR="007459B2" w:rsidRPr="00E0707E" w:rsidTr="00245E18">
        <w:trPr>
          <w:trHeight w:val="328"/>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color w:val="000000"/>
                <w:szCs w:val="18"/>
              </w:rPr>
            </w:pPr>
            <w:r>
              <w:rPr>
                <w:color w:val="000000"/>
              </w:rPr>
              <w:t>Instrumentos de TIC, elaboración y gestión del sitio web</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6 630</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6 763</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6 898</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20 290</w:t>
            </w:r>
          </w:p>
        </w:tc>
      </w:tr>
      <w:tr w:rsidR="007459B2" w:rsidRPr="00E0707E" w:rsidTr="00245E18">
        <w:trPr>
          <w:trHeight w:val="328"/>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color w:val="000000"/>
                <w:szCs w:val="18"/>
              </w:rPr>
            </w:pPr>
            <w:r>
              <w:rPr>
                <w:color w:val="000000"/>
              </w:rPr>
              <w:t>Formación del personal (capacitación, retiros)</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10 200</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10 404</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10 612</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31 216</w:t>
            </w:r>
          </w:p>
        </w:tc>
      </w:tr>
      <w:tr w:rsidR="007459B2" w:rsidRPr="00E0707E" w:rsidTr="00245E18">
        <w:trPr>
          <w:trHeight w:val="328"/>
          <w:jc w:val="center"/>
        </w:trPr>
        <w:tc>
          <w:tcPr>
            <w:tcW w:w="0" w:type="auto"/>
            <w:tcBorders>
              <w:top w:val="nil"/>
              <w:left w:val="nil"/>
              <w:bottom w:val="nil"/>
              <w:right w:val="nil"/>
            </w:tcBorders>
          </w:tcPr>
          <w:p w:rsidR="007459B2" w:rsidRPr="00E0707E" w:rsidRDefault="007459B2" w:rsidP="00245E18">
            <w:pPr>
              <w:widowControl/>
              <w:autoSpaceDE/>
              <w:autoSpaceDN/>
              <w:adjustRightInd/>
              <w:rPr>
                <w:rFonts w:cs="Arial"/>
                <w:color w:val="000000"/>
                <w:szCs w:val="18"/>
              </w:rPr>
            </w:pPr>
            <w:r>
              <w:rPr>
                <w:color w:val="000000"/>
              </w:rPr>
              <w:t>Servicios de tecnología de la información (UNV)</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71 400</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72 828</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74 285</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218 513</w:t>
            </w:r>
          </w:p>
        </w:tc>
      </w:tr>
      <w:tr w:rsidR="007459B2" w:rsidRPr="00E0707E" w:rsidTr="00245E18">
        <w:trPr>
          <w:trHeight w:val="328"/>
          <w:jc w:val="center"/>
        </w:trPr>
        <w:tc>
          <w:tcPr>
            <w:tcW w:w="0" w:type="auto"/>
            <w:tcBorders>
              <w:top w:val="nil"/>
              <w:left w:val="nil"/>
              <w:bottom w:val="nil"/>
              <w:right w:val="nil"/>
            </w:tcBorders>
          </w:tcPr>
          <w:p w:rsidR="007459B2" w:rsidRPr="003B5DB4" w:rsidRDefault="007459B2" w:rsidP="00245E18">
            <w:pPr>
              <w:widowControl/>
              <w:autoSpaceDE/>
              <w:autoSpaceDN/>
              <w:adjustRightInd/>
              <w:rPr>
                <w:rFonts w:cs="Arial"/>
                <w:color w:val="000000"/>
                <w:szCs w:val="18"/>
              </w:rPr>
            </w:pPr>
            <w:r>
              <w:rPr>
                <w:color w:val="000000"/>
              </w:rPr>
              <w:t>Servicios de automatización de oficinas (alojamiento de impresoras alquiladas, etc.)</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10 200</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10 404</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10 612</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31 216</w:t>
            </w:r>
          </w:p>
        </w:tc>
      </w:tr>
      <w:tr w:rsidR="007459B2" w:rsidRPr="00E0707E" w:rsidTr="00245E18">
        <w:trPr>
          <w:trHeight w:val="328"/>
          <w:jc w:val="center"/>
        </w:trPr>
        <w:tc>
          <w:tcPr>
            <w:tcW w:w="0" w:type="auto"/>
            <w:tcBorders>
              <w:top w:val="nil"/>
              <w:left w:val="nil"/>
              <w:bottom w:val="nil"/>
              <w:right w:val="nil"/>
            </w:tcBorders>
          </w:tcPr>
          <w:p w:rsidR="007459B2" w:rsidRPr="00E0707E" w:rsidRDefault="007459B2" w:rsidP="00245E18">
            <w:pPr>
              <w:widowControl/>
              <w:autoSpaceDE/>
              <w:autoSpaceDN/>
              <w:adjustRightInd/>
              <w:rPr>
                <w:rFonts w:cs="Arial"/>
                <w:color w:val="000000"/>
                <w:szCs w:val="18"/>
              </w:rPr>
            </w:pPr>
            <w:r>
              <w:rPr>
                <w:color w:val="000000"/>
              </w:rPr>
              <w:t>Servicios de comunicación y de mensajería</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17 850</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18 207</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18 571</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54 628</w:t>
            </w:r>
          </w:p>
        </w:tc>
      </w:tr>
      <w:tr w:rsidR="007459B2" w:rsidRPr="00E0707E" w:rsidTr="00245E18">
        <w:trPr>
          <w:trHeight w:val="328"/>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color w:val="000000"/>
                <w:szCs w:val="18"/>
              </w:rPr>
            </w:pPr>
            <w:r>
              <w:rPr>
                <w:color w:val="000000"/>
              </w:rPr>
              <w:t>Varios</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3 813</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3 889</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3 967</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11 669</w:t>
            </w:r>
          </w:p>
        </w:tc>
      </w:tr>
      <w:tr w:rsidR="007459B2" w:rsidRPr="00E0707E" w:rsidTr="00245E18">
        <w:trPr>
          <w:trHeight w:val="328"/>
          <w:jc w:val="center"/>
        </w:trPr>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rPr>
                <w:rFonts w:cs="Arial"/>
                <w:b/>
                <w:bCs/>
                <w:color w:val="000000"/>
                <w:szCs w:val="18"/>
              </w:rPr>
            </w:pPr>
            <w:proofErr w:type="gramStart"/>
            <w:r>
              <w:rPr>
                <w:b/>
                <w:color w:val="000000"/>
              </w:rPr>
              <w:t>Total</w:t>
            </w:r>
            <w:proofErr w:type="gramEnd"/>
            <w:r>
              <w:rPr>
                <w:b/>
                <w:color w:val="000000"/>
              </w:rPr>
              <w:t xml:space="preserve"> parcial</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120 093</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122 495</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124 945</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367 532</w:t>
            </w:r>
          </w:p>
        </w:tc>
      </w:tr>
      <w:tr w:rsidR="007459B2" w:rsidRPr="00E0707E" w:rsidTr="00245E18">
        <w:trPr>
          <w:trHeight w:val="328"/>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b/>
                <w:bCs/>
                <w:color w:val="000000"/>
                <w:szCs w:val="18"/>
              </w:rPr>
            </w:pPr>
            <w:r>
              <w:rPr>
                <w:b/>
                <w:color w:val="000000"/>
              </w:rPr>
              <w:t>Suministros</w:t>
            </w:r>
          </w:p>
        </w:tc>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b/>
                <w:bCs/>
                <w:color w:val="000000"/>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r>
      <w:tr w:rsidR="007459B2" w:rsidRPr="00E0707E" w:rsidTr="00245E18">
        <w:trPr>
          <w:trHeight w:val="328"/>
          <w:jc w:val="center"/>
        </w:trPr>
        <w:tc>
          <w:tcPr>
            <w:tcW w:w="0" w:type="auto"/>
            <w:tcBorders>
              <w:top w:val="nil"/>
              <w:left w:val="nil"/>
              <w:bottom w:val="nil"/>
              <w:right w:val="nil"/>
            </w:tcBorders>
          </w:tcPr>
          <w:p w:rsidR="007459B2" w:rsidRPr="00E0707E" w:rsidRDefault="007459B2" w:rsidP="00245E18">
            <w:pPr>
              <w:widowControl/>
              <w:autoSpaceDE/>
              <w:autoSpaceDN/>
              <w:adjustRightInd/>
              <w:rPr>
                <w:rFonts w:cs="Arial"/>
                <w:color w:val="000000"/>
                <w:szCs w:val="18"/>
              </w:rPr>
            </w:pPr>
            <w:r>
              <w:rPr>
                <w:color w:val="000000"/>
              </w:rPr>
              <w:t>Suministros de oficina</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5 916</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6 034</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6 155</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18 105</w:t>
            </w:r>
          </w:p>
        </w:tc>
      </w:tr>
      <w:tr w:rsidR="007459B2" w:rsidRPr="00E0707E" w:rsidTr="00245E18">
        <w:trPr>
          <w:trHeight w:val="328"/>
          <w:jc w:val="center"/>
        </w:trPr>
        <w:tc>
          <w:tcPr>
            <w:tcW w:w="0" w:type="auto"/>
            <w:tcBorders>
              <w:top w:val="single" w:sz="4" w:space="0" w:color="auto"/>
              <w:left w:val="nil"/>
              <w:bottom w:val="single" w:sz="4" w:space="0" w:color="auto"/>
              <w:right w:val="nil"/>
            </w:tcBorders>
          </w:tcPr>
          <w:p w:rsidR="007459B2" w:rsidRPr="00E0707E" w:rsidRDefault="007459B2" w:rsidP="00245E18">
            <w:pPr>
              <w:widowControl/>
              <w:autoSpaceDE/>
              <w:autoSpaceDN/>
              <w:adjustRightInd/>
              <w:rPr>
                <w:rFonts w:cs="Arial"/>
                <w:b/>
                <w:bCs/>
                <w:color w:val="000000"/>
                <w:szCs w:val="18"/>
              </w:rPr>
            </w:pPr>
            <w:proofErr w:type="gramStart"/>
            <w:r>
              <w:rPr>
                <w:b/>
                <w:color w:val="000000"/>
              </w:rPr>
              <w:t>Total</w:t>
            </w:r>
            <w:proofErr w:type="gramEnd"/>
            <w:r>
              <w:rPr>
                <w:b/>
                <w:color w:val="000000"/>
              </w:rPr>
              <w:t xml:space="preserve"> parcial</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5 916</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6 034</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6 155</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18 105</w:t>
            </w:r>
          </w:p>
        </w:tc>
      </w:tr>
      <w:tr w:rsidR="007459B2" w:rsidRPr="00E0707E" w:rsidTr="00245E18">
        <w:trPr>
          <w:trHeight w:val="328"/>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b/>
                <w:bCs/>
                <w:color w:val="000000"/>
                <w:szCs w:val="18"/>
              </w:rPr>
            </w:pPr>
            <w:r>
              <w:rPr>
                <w:b/>
                <w:color w:val="000000"/>
              </w:rPr>
              <w:t>Equipo</w:t>
            </w:r>
          </w:p>
        </w:tc>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b/>
                <w:bCs/>
                <w:color w:val="000000"/>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r>
      <w:tr w:rsidR="007459B2" w:rsidRPr="00E0707E" w:rsidTr="00245E18">
        <w:trPr>
          <w:trHeight w:val="328"/>
          <w:jc w:val="center"/>
        </w:trPr>
        <w:tc>
          <w:tcPr>
            <w:tcW w:w="0" w:type="auto"/>
            <w:tcBorders>
              <w:top w:val="nil"/>
              <w:left w:val="nil"/>
              <w:bottom w:val="nil"/>
              <w:right w:val="nil"/>
            </w:tcBorders>
          </w:tcPr>
          <w:p w:rsidR="007459B2" w:rsidRPr="00E0707E" w:rsidRDefault="007459B2" w:rsidP="00245E18">
            <w:pPr>
              <w:widowControl/>
              <w:autoSpaceDE/>
              <w:autoSpaceDN/>
              <w:adjustRightInd/>
              <w:rPr>
                <w:rFonts w:cs="Arial"/>
                <w:color w:val="000000"/>
                <w:szCs w:val="18"/>
              </w:rPr>
            </w:pPr>
            <w:r>
              <w:rPr>
                <w:color w:val="000000"/>
              </w:rPr>
              <w:t>Equipo no fungible</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10 710</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10 924</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11 143</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32 777</w:t>
            </w:r>
          </w:p>
        </w:tc>
      </w:tr>
      <w:tr w:rsidR="007459B2" w:rsidRPr="00E0707E" w:rsidTr="00245E18">
        <w:trPr>
          <w:trHeight w:val="328"/>
          <w:jc w:val="center"/>
        </w:trPr>
        <w:tc>
          <w:tcPr>
            <w:tcW w:w="0" w:type="auto"/>
            <w:tcBorders>
              <w:top w:val="single" w:sz="4" w:space="0" w:color="auto"/>
              <w:left w:val="nil"/>
              <w:bottom w:val="single" w:sz="4" w:space="0" w:color="auto"/>
              <w:right w:val="nil"/>
            </w:tcBorders>
          </w:tcPr>
          <w:p w:rsidR="007459B2" w:rsidRPr="00E0707E" w:rsidRDefault="007459B2" w:rsidP="00245E18">
            <w:pPr>
              <w:widowControl/>
              <w:autoSpaceDE/>
              <w:autoSpaceDN/>
              <w:adjustRightInd/>
              <w:rPr>
                <w:rFonts w:cs="Arial"/>
                <w:b/>
                <w:bCs/>
                <w:color w:val="000000"/>
                <w:szCs w:val="18"/>
              </w:rPr>
            </w:pPr>
            <w:proofErr w:type="gramStart"/>
            <w:r>
              <w:rPr>
                <w:b/>
                <w:color w:val="000000"/>
              </w:rPr>
              <w:t>Total</w:t>
            </w:r>
            <w:proofErr w:type="gramEnd"/>
            <w:r>
              <w:rPr>
                <w:b/>
                <w:color w:val="000000"/>
              </w:rPr>
              <w:t xml:space="preserve"> parcial</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10 710</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10 924</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11 143</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32 777</w:t>
            </w:r>
          </w:p>
        </w:tc>
      </w:tr>
      <w:tr w:rsidR="007459B2" w:rsidRPr="00E0707E" w:rsidTr="00245E18">
        <w:trPr>
          <w:trHeight w:val="328"/>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b/>
                <w:bCs/>
                <w:color w:val="000000"/>
                <w:szCs w:val="18"/>
              </w:rPr>
            </w:pPr>
            <w:r>
              <w:rPr>
                <w:b/>
                <w:color w:val="000000"/>
              </w:rPr>
              <w:t xml:space="preserve">Viajes </w:t>
            </w:r>
          </w:p>
        </w:tc>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b/>
                <w:bCs/>
                <w:color w:val="000000"/>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r>
      <w:tr w:rsidR="007459B2" w:rsidRPr="00E0707E" w:rsidTr="00245E18">
        <w:trPr>
          <w:trHeight w:val="328"/>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color w:val="000000"/>
                <w:szCs w:val="18"/>
              </w:rPr>
            </w:pPr>
            <w:r>
              <w:rPr>
                <w:color w:val="000000"/>
              </w:rPr>
              <w:t>Viajes del personal</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64 974</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66 273</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67 599</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198 846</w:t>
            </w:r>
          </w:p>
        </w:tc>
      </w:tr>
      <w:tr w:rsidR="007459B2" w:rsidRPr="00E0707E" w:rsidTr="00245E18">
        <w:trPr>
          <w:trHeight w:val="328"/>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color w:val="000000"/>
                <w:szCs w:val="18"/>
              </w:rPr>
            </w:pPr>
            <w:r>
              <w:rPr>
                <w:color w:val="000000"/>
              </w:rPr>
              <w:t>Viajes del personal - COP13</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0</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0</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47 306</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47 306</w:t>
            </w:r>
          </w:p>
        </w:tc>
      </w:tr>
      <w:tr w:rsidR="007459B2" w:rsidRPr="00E0707E" w:rsidTr="00245E18">
        <w:trPr>
          <w:trHeight w:val="328"/>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color w:val="000000"/>
                <w:szCs w:val="18"/>
              </w:rPr>
            </w:pPr>
            <w:r>
              <w:rPr>
                <w:color w:val="000000"/>
              </w:rPr>
              <w:t>Reuniones del Comité Permanente</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0</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0</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0</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0</w:t>
            </w:r>
          </w:p>
        </w:tc>
      </w:tr>
      <w:tr w:rsidR="007459B2" w:rsidRPr="00E0707E" w:rsidTr="00245E18">
        <w:trPr>
          <w:trHeight w:val="328"/>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color w:val="000000"/>
                <w:szCs w:val="18"/>
              </w:rPr>
            </w:pPr>
            <w:r>
              <w:rPr>
                <w:color w:val="000000"/>
              </w:rPr>
              <w:t>Reuniones del Consejo Científico</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0</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0</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0</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0</w:t>
            </w:r>
          </w:p>
        </w:tc>
      </w:tr>
      <w:tr w:rsidR="007459B2" w:rsidRPr="00E0707E" w:rsidTr="00245E18">
        <w:trPr>
          <w:trHeight w:val="328"/>
          <w:jc w:val="center"/>
        </w:trPr>
        <w:tc>
          <w:tcPr>
            <w:tcW w:w="0" w:type="auto"/>
            <w:tcBorders>
              <w:top w:val="single" w:sz="4" w:space="0" w:color="auto"/>
              <w:left w:val="nil"/>
              <w:bottom w:val="single" w:sz="12" w:space="0" w:color="auto"/>
              <w:right w:val="nil"/>
            </w:tcBorders>
            <w:noWrap/>
          </w:tcPr>
          <w:p w:rsidR="007459B2" w:rsidRPr="00E0707E" w:rsidRDefault="007459B2" w:rsidP="00245E18">
            <w:pPr>
              <w:widowControl/>
              <w:autoSpaceDE/>
              <w:autoSpaceDN/>
              <w:adjustRightInd/>
              <w:rPr>
                <w:rFonts w:cs="Arial"/>
                <w:b/>
                <w:bCs/>
                <w:color w:val="000000"/>
                <w:szCs w:val="18"/>
              </w:rPr>
            </w:pPr>
            <w:proofErr w:type="gramStart"/>
            <w:r>
              <w:rPr>
                <w:b/>
                <w:color w:val="000000"/>
              </w:rPr>
              <w:t>Total</w:t>
            </w:r>
            <w:proofErr w:type="gramEnd"/>
            <w:r>
              <w:rPr>
                <w:b/>
                <w:color w:val="000000"/>
              </w:rPr>
              <w:t xml:space="preserve"> parcial</w:t>
            </w:r>
          </w:p>
        </w:tc>
        <w:tc>
          <w:tcPr>
            <w:tcW w:w="0" w:type="auto"/>
            <w:tcBorders>
              <w:top w:val="single" w:sz="4" w:space="0" w:color="auto"/>
              <w:left w:val="nil"/>
              <w:bottom w:val="single" w:sz="12"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64 974</w:t>
            </w:r>
          </w:p>
        </w:tc>
        <w:tc>
          <w:tcPr>
            <w:tcW w:w="0" w:type="auto"/>
            <w:tcBorders>
              <w:top w:val="single" w:sz="4" w:space="0" w:color="auto"/>
              <w:left w:val="nil"/>
              <w:bottom w:val="single" w:sz="12"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66 273</w:t>
            </w:r>
          </w:p>
        </w:tc>
        <w:tc>
          <w:tcPr>
            <w:tcW w:w="0" w:type="auto"/>
            <w:tcBorders>
              <w:top w:val="single" w:sz="4" w:space="0" w:color="auto"/>
              <w:left w:val="nil"/>
              <w:bottom w:val="single" w:sz="12"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114 905</w:t>
            </w:r>
          </w:p>
        </w:tc>
        <w:tc>
          <w:tcPr>
            <w:tcW w:w="0" w:type="auto"/>
            <w:tcBorders>
              <w:top w:val="single" w:sz="4" w:space="0" w:color="auto"/>
              <w:left w:val="nil"/>
              <w:bottom w:val="single" w:sz="12"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246 152</w:t>
            </w:r>
          </w:p>
        </w:tc>
      </w:tr>
      <w:tr w:rsidR="007459B2" w:rsidRPr="00E0707E" w:rsidTr="00245E18">
        <w:trPr>
          <w:trHeight w:val="328"/>
          <w:jc w:val="center"/>
        </w:trPr>
        <w:tc>
          <w:tcPr>
            <w:tcW w:w="0" w:type="auto"/>
            <w:tcBorders>
              <w:top w:val="single" w:sz="12" w:space="0" w:color="auto"/>
              <w:left w:val="nil"/>
              <w:bottom w:val="single" w:sz="8" w:space="0" w:color="auto"/>
              <w:right w:val="nil"/>
            </w:tcBorders>
            <w:noWrap/>
          </w:tcPr>
          <w:p w:rsidR="007459B2" w:rsidRPr="00E0707E" w:rsidRDefault="007459B2" w:rsidP="00245E18">
            <w:pPr>
              <w:widowControl/>
              <w:autoSpaceDE/>
              <w:autoSpaceDN/>
              <w:adjustRightInd/>
              <w:rPr>
                <w:rFonts w:cs="Arial"/>
                <w:b/>
                <w:bCs/>
                <w:color w:val="000000"/>
                <w:szCs w:val="18"/>
              </w:rPr>
            </w:pPr>
            <w:r>
              <w:rPr>
                <w:b/>
                <w:color w:val="000000"/>
              </w:rPr>
              <w:t xml:space="preserve">Total </w:t>
            </w:r>
          </w:p>
        </w:tc>
        <w:tc>
          <w:tcPr>
            <w:tcW w:w="0" w:type="auto"/>
            <w:tcBorders>
              <w:top w:val="single" w:sz="12" w:space="0" w:color="auto"/>
              <w:left w:val="nil"/>
              <w:bottom w:val="single" w:sz="8"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2 136 678</w:t>
            </w:r>
          </w:p>
        </w:tc>
        <w:tc>
          <w:tcPr>
            <w:tcW w:w="0" w:type="auto"/>
            <w:tcBorders>
              <w:top w:val="single" w:sz="12" w:space="0" w:color="auto"/>
              <w:left w:val="nil"/>
              <w:bottom w:val="single" w:sz="8"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2 179 412</w:t>
            </w:r>
          </w:p>
        </w:tc>
        <w:tc>
          <w:tcPr>
            <w:tcW w:w="0" w:type="auto"/>
            <w:tcBorders>
              <w:top w:val="single" w:sz="12" w:space="0" w:color="auto"/>
              <w:left w:val="nil"/>
              <w:bottom w:val="single" w:sz="8"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2 270 306</w:t>
            </w:r>
          </w:p>
        </w:tc>
        <w:tc>
          <w:tcPr>
            <w:tcW w:w="0" w:type="auto"/>
            <w:tcBorders>
              <w:top w:val="single" w:sz="12" w:space="0" w:color="auto"/>
              <w:left w:val="nil"/>
              <w:bottom w:val="single" w:sz="8"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6 586 397</w:t>
            </w:r>
          </w:p>
        </w:tc>
      </w:tr>
      <w:tr w:rsidR="007459B2" w:rsidRPr="00E0707E" w:rsidTr="00245E18">
        <w:trPr>
          <w:trHeight w:val="328"/>
          <w:jc w:val="center"/>
        </w:trPr>
        <w:tc>
          <w:tcPr>
            <w:tcW w:w="0" w:type="auto"/>
            <w:tcBorders>
              <w:top w:val="nil"/>
              <w:left w:val="nil"/>
              <w:bottom w:val="single" w:sz="12" w:space="0" w:color="auto"/>
              <w:right w:val="nil"/>
            </w:tcBorders>
          </w:tcPr>
          <w:p w:rsidR="007459B2" w:rsidRPr="00E0707E" w:rsidRDefault="007459B2" w:rsidP="00245E18">
            <w:pPr>
              <w:widowControl/>
              <w:autoSpaceDE/>
              <w:autoSpaceDN/>
              <w:adjustRightInd/>
              <w:rPr>
                <w:rFonts w:cs="Arial"/>
                <w:color w:val="000000"/>
                <w:szCs w:val="18"/>
              </w:rPr>
            </w:pPr>
            <w:r>
              <w:rPr>
                <w:color w:val="000000"/>
              </w:rPr>
              <w:t>Gastos de apoyo a los programas</w:t>
            </w:r>
          </w:p>
        </w:tc>
        <w:tc>
          <w:tcPr>
            <w:tcW w:w="0" w:type="auto"/>
            <w:tcBorders>
              <w:top w:val="nil"/>
              <w:left w:val="nil"/>
              <w:bottom w:val="single" w:sz="12" w:space="0" w:color="auto"/>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277 768</w:t>
            </w:r>
          </w:p>
        </w:tc>
        <w:tc>
          <w:tcPr>
            <w:tcW w:w="0" w:type="auto"/>
            <w:tcBorders>
              <w:top w:val="nil"/>
              <w:left w:val="nil"/>
              <w:bottom w:val="single" w:sz="12" w:space="0" w:color="auto"/>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283 324</w:t>
            </w:r>
          </w:p>
        </w:tc>
        <w:tc>
          <w:tcPr>
            <w:tcW w:w="0" w:type="auto"/>
            <w:tcBorders>
              <w:top w:val="nil"/>
              <w:left w:val="nil"/>
              <w:bottom w:val="single" w:sz="12" w:space="0" w:color="auto"/>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295 140</w:t>
            </w:r>
          </w:p>
        </w:tc>
        <w:tc>
          <w:tcPr>
            <w:tcW w:w="0" w:type="auto"/>
            <w:tcBorders>
              <w:top w:val="nil"/>
              <w:left w:val="nil"/>
              <w:bottom w:val="single" w:sz="12" w:space="0" w:color="auto"/>
              <w:right w:val="nil"/>
            </w:tcBorders>
            <w:noWrap/>
          </w:tcPr>
          <w:p w:rsidR="007459B2" w:rsidRPr="00E0707E" w:rsidRDefault="007459B2" w:rsidP="00245E18">
            <w:pPr>
              <w:widowControl/>
              <w:autoSpaceDE/>
              <w:autoSpaceDN/>
              <w:adjustRightInd/>
              <w:jc w:val="right"/>
              <w:rPr>
                <w:rFonts w:cs="Arial"/>
                <w:color w:val="000000"/>
                <w:szCs w:val="18"/>
              </w:rPr>
            </w:pPr>
            <w:r>
              <w:rPr>
                <w:color w:val="000000"/>
              </w:rPr>
              <w:t>856 232</w:t>
            </w:r>
          </w:p>
        </w:tc>
      </w:tr>
      <w:tr w:rsidR="007459B2" w:rsidRPr="00E0707E" w:rsidTr="00245E18">
        <w:trPr>
          <w:trHeight w:val="328"/>
          <w:jc w:val="center"/>
        </w:trPr>
        <w:tc>
          <w:tcPr>
            <w:tcW w:w="0" w:type="auto"/>
            <w:tcBorders>
              <w:top w:val="single" w:sz="12" w:space="0" w:color="auto"/>
              <w:left w:val="nil"/>
              <w:bottom w:val="single" w:sz="12" w:space="0" w:color="auto"/>
              <w:right w:val="nil"/>
            </w:tcBorders>
          </w:tcPr>
          <w:p w:rsidR="007459B2" w:rsidRPr="00E0707E" w:rsidRDefault="007459B2" w:rsidP="00245E18">
            <w:pPr>
              <w:widowControl/>
              <w:autoSpaceDE/>
              <w:autoSpaceDN/>
              <w:adjustRightInd/>
              <w:rPr>
                <w:rFonts w:cs="Arial"/>
                <w:b/>
                <w:bCs/>
                <w:color w:val="000000"/>
                <w:szCs w:val="18"/>
              </w:rPr>
            </w:pPr>
            <w:proofErr w:type="gramStart"/>
            <w:r>
              <w:rPr>
                <w:b/>
                <w:color w:val="000000"/>
              </w:rPr>
              <w:t>Total</w:t>
            </w:r>
            <w:proofErr w:type="gramEnd"/>
            <w:r>
              <w:rPr>
                <w:b/>
                <w:color w:val="000000"/>
              </w:rPr>
              <w:t xml:space="preserve"> general </w:t>
            </w:r>
          </w:p>
        </w:tc>
        <w:tc>
          <w:tcPr>
            <w:tcW w:w="0" w:type="auto"/>
            <w:tcBorders>
              <w:top w:val="single" w:sz="12" w:space="0" w:color="auto"/>
              <w:left w:val="nil"/>
              <w:bottom w:val="single" w:sz="12"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2 414 447</w:t>
            </w:r>
          </w:p>
        </w:tc>
        <w:tc>
          <w:tcPr>
            <w:tcW w:w="0" w:type="auto"/>
            <w:tcBorders>
              <w:top w:val="single" w:sz="12" w:space="0" w:color="auto"/>
              <w:left w:val="nil"/>
              <w:bottom w:val="single" w:sz="12"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2 462 736</w:t>
            </w:r>
          </w:p>
        </w:tc>
        <w:tc>
          <w:tcPr>
            <w:tcW w:w="0" w:type="auto"/>
            <w:tcBorders>
              <w:top w:val="single" w:sz="12" w:space="0" w:color="auto"/>
              <w:left w:val="nil"/>
              <w:bottom w:val="single" w:sz="12"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2 565 446</w:t>
            </w:r>
          </w:p>
        </w:tc>
        <w:tc>
          <w:tcPr>
            <w:tcW w:w="0" w:type="auto"/>
            <w:tcBorders>
              <w:top w:val="single" w:sz="12" w:space="0" w:color="auto"/>
              <w:left w:val="nil"/>
              <w:bottom w:val="single" w:sz="12" w:space="0" w:color="auto"/>
              <w:right w:val="nil"/>
            </w:tcBorders>
            <w:noWrap/>
          </w:tcPr>
          <w:p w:rsidR="007459B2" w:rsidRPr="00E0707E" w:rsidRDefault="007459B2" w:rsidP="00245E18">
            <w:pPr>
              <w:widowControl/>
              <w:autoSpaceDE/>
              <w:autoSpaceDN/>
              <w:adjustRightInd/>
              <w:jc w:val="right"/>
              <w:rPr>
                <w:rFonts w:cs="Arial"/>
                <w:b/>
                <w:bCs/>
                <w:color w:val="000000"/>
                <w:szCs w:val="18"/>
              </w:rPr>
            </w:pPr>
            <w:r>
              <w:rPr>
                <w:b/>
                <w:color w:val="000000"/>
              </w:rPr>
              <w:t>7 442 628</w:t>
            </w:r>
          </w:p>
        </w:tc>
      </w:tr>
    </w:tbl>
    <w:p w:rsidR="007459B2" w:rsidRDefault="007459B2" w:rsidP="00245E18">
      <w:pPr>
        <w:autoSpaceDE/>
        <w:autoSpaceDN/>
        <w:adjustRightInd/>
        <w:spacing w:after="120"/>
        <w:jc w:val="center"/>
        <w:outlineLvl w:val="1"/>
        <w:rPr>
          <w:i/>
          <w:iCs/>
          <w:color w:val="000000"/>
          <w:sz w:val="24"/>
        </w:rPr>
        <w:sectPr w:rsidR="007459B2" w:rsidSect="00620809">
          <w:headerReference w:type="first" r:id="rId16"/>
          <w:endnotePr>
            <w:numFmt w:val="decimal"/>
          </w:endnotePr>
          <w:pgSz w:w="11905" w:h="16837" w:code="9"/>
          <w:pgMar w:top="1008" w:right="1411" w:bottom="1152" w:left="1411" w:header="432" w:footer="432" w:gutter="0"/>
          <w:cols w:space="720"/>
          <w:noEndnote/>
          <w:titlePg/>
          <w:docGrid w:linePitch="272"/>
        </w:sectPr>
      </w:pPr>
    </w:p>
    <w:p w:rsidR="007459B2" w:rsidRPr="00CD0FE9" w:rsidRDefault="007459B2" w:rsidP="00245E18">
      <w:pPr>
        <w:widowControl/>
        <w:autoSpaceDE/>
        <w:adjustRightInd/>
        <w:jc w:val="right"/>
        <w:rPr>
          <w:rFonts w:cs="Arial"/>
          <w:b/>
          <w:bCs/>
          <w:caps/>
          <w:sz w:val="22"/>
          <w:szCs w:val="22"/>
        </w:rPr>
      </w:pPr>
      <w:r>
        <w:rPr>
          <w:b/>
          <w:caps/>
          <w:sz w:val="22"/>
        </w:rPr>
        <w:lastRenderedPageBreak/>
        <w:t>Anexo 1 (B)</w:t>
      </w:r>
    </w:p>
    <w:p w:rsidR="007459B2" w:rsidRPr="00943230" w:rsidRDefault="007459B2" w:rsidP="00245E18">
      <w:pPr>
        <w:widowControl/>
        <w:autoSpaceDE/>
        <w:autoSpaceDN/>
        <w:adjustRightInd/>
        <w:jc w:val="center"/>
        <w:rPr>
          <w:rFonts w:cs="Arial"/>
          <w:b/>
          <w:bCs/>
          <w:sz w:val="22"/>
          <w:szCs w:val="22"/>
        </w:rPr>
      </w:pPr>
      <w:r>
        <w:rPr>
          <w:b/>
          <w:sz w:val="22"/>
        </w:rPr>
        <w:t xml:space="preserve">PRESUPUESTO PROPUESTO PARA EL TRIENIO 2018 - 2020: </w:t>
      </w:r>
    </w:p>
    <w:p w:rsidR="007459B2" w:rsidRPr="00943230" w:rsidRDefault="007459B2" w:rsidP="00245E18">
      <w:pPr>
        <w:autoSpaceDE/>
        <w:autoSpaceDN/>
        <w:adjustRightInd/>
        <w:spacing w:after="120"/>
        <w:jc w:val="center"/>
        <w:outlineLvl w:val="1"/>
        <w:rPr>
          <w:rFonts w:cs="Arial"/>
          <w:b/>
          <w:bCs/>
          <w:iCs/>
          <w:color w:val="000000"/>
          <w:sz w:val="22"/>
          <w:szCs w:val="22"/>
        </w:rPr>
      </w:pPr>
      <w:r>
        <w:rPr>
          <w:b/>
          <w:color w:val="000000"/>
          <w:sz w:val="22"/>
        </w:rPr>
        <w:t>HIPÓTESIS 2: CRECIMIENTO REAL CERO</w:t>
      </w:r>
    </w:p>
    <w:p w:rsidR="007459B2" w:rsidRPr="009F4A8E" w:rsidRDefault="007459B2" w:rsidP="00245E18">
      <w:pPr>
        <w:autoSpaceDE/>
        <w:autoSpaceDN/>
        <w:adjustRightInd/>
        <w:spacing w:after="120"/>
        <w:jc w:val="center"/>
        <w:outlineLvl w:val="1"/>
        <w:rPr>
          <w:rFonts w:cs="Arial"/>
          <w:szCs w:val="18"/>
        </w:rPr>
      </w:pPr>
      <w:r>
        <w:rPr>
          <w:color w:val="000000"/>
        </w:rPr>
        <w:t>(Todas las cifras en euros)</w:t>
      </w:r>
    </w:p>
    <w:tbl>
      <w:tblPr>
        <w:tblW w:w="9510" w:type="dxa"/>
        <w:jc w:val="center"/>
        <w:tblLook w:val="00A0" w:firstRow="1" w:lastRow="0" w:firstColumn="1" w:lastColumn="0" w:noHBand="0" w:noVBand="0"/>
      </w:tblPr>
      <w:tblGrid>
        <w:gridCol w:w="6140"/>
        <w:gridCol w:w="1017"/>
        <w:gridCol w:w="1017"/>
        <w:gridCol w:w="1017"/>
        <w:gridCol w:w="1017"/>
      </w:tblGrid>
      <w:tr w:rsidR="007459B2" w:rsidRPr="00E0707E" w:rsidTr="00245E18">
        <w:trPr>
          <w:trHeight w:val="530"/>
          <w:jc w:val="center"/>
        </w:trPr>
        <w:tc>
          <w:tcPr>
            <w:tcW w:w="0" w:type="auto"/>
            <w:tcBorders>
              <w:top w:val="single" w:sz="12" w:space="0" w:color="auto"/>
              <w:left w:val="nil"/>
              <w:bottom w:val="single" w:sz="12" w:space="0" w:color="auto"/>
              <w:right w:val="nil"/>
            </w:tcBorders>
            <w:noWrap/>
            <w:vAlign w:val="center"/>
          </w:tcPr>
          <w:p w:rsidR="007459B2" w:rsidRPr="00E0707E" w:rsidRDefault="007459B2" w:rsidP="00245E18">
            <w:pPr>
              <w:widowControl/>
              <w:autoSpaceDE/>
              <w:autoSpaceDN/>
              <w:adjustRightInd/>
              <w:rPr>
                <w:rFonts w:cs="Arial"/>
                <w:b/>
                <w:bCs/>
                <w:i/>
                <w:iCs/>
                <w:szCs w:val="18"/>
              </w:rPr>
            </w:pPr>
            <w:r>
              <w:rPr>
                <w:b/>
                <w:i/>
              </w:rPr>
              <w:t xml:space="preserve">Partida de gastos  </w:t>
            </w:r>
          </w:p>
        </w:tc>
        <w:tc>
          <w:tcPr>
            <w:tcW w:w="0" w:type="auto"/>
            <w:tcBorders>
              <w:top w:val="single" w:sz="12" w:space="0" w:color="auto"/>
              <w:left w:val="nil"/>
              <w:bottom w:val="single" w:sz="12" w:space="0" w:color="auto"/>
              <w:right w:val="nil"/>
            </w:tcBorders>
            <w:noWrap/>
            <w:vAlign w:val="center"/>
          </w:tcPr>
          <w:p w:rsidR="007459B2" w:rsidRPr="00E0707E" w:rsidRDefault="007459B2" w:rsidP="00245E18">
            <w:pPr>
              <w:widowControl/>
              <w:autoSpaceDE/>
              <w:autoSpaceDN/>
              <w:adjustRightInd/>
              <w:jc w:val="right"/>
              <w:rPr>
                <w:rFonts w:cs="Arial"/>
                <w:b/>
                <w:bCs/>
                <w:i/>
                <w:iCs/>
                <w:szCs w:val="18"/>
              </w:rPr>
            </w:pPr>
            <w:r>
              <w:rPr>
                <w:b/>
                <w:i/>
              </w:rPr>
              <w:t xml:space="preserve">2018 </w:t>
            </w:r>
          </w:p>
        </w:tc>
        <w:tc>
          <w:tcPr>
            <w:tcW w:w="0" w:type="auto"/>
            <w:tcBorders>
              <w:top w:val="single" w:sz="12" w:space="0" w:color="auto"/>
              <w:left w:val="nil"/>
              <w:bottom w:val="single" w:sz="12" w:space="0" w:color="auto"/>
              <w:right w:val="nil"/>
            </w:tcBorders>
            <w:noWrap/>
            <w:vAlign w:val="center"/>
          </w:tcPr>
          <w:p w:rsidR="007459B2" w:rsidRPr="00E0707E" w:rsidRDefault="007459B2" w:rsidP="00245E18">
            <w:pPr>
              <w:widowControl/>
              <w:autoSpaceDE/>
              <w:autoSpaceDN/>
              <w:adjustRightInd/>
              <w:jc w:val="right"/>
              <w:rPr>
                <w:rFonts w:cs="Arial"/>
                <w:b/>
                <w:bCs/>
                <w:i/>
                <w:iCs/>
                <w:szCs w:val="18"/>
              </w:rPr>
            </w:pPr>
            <w:r>
              <w:rPr>
                <w:b/>
                <w:i/>
              </w:rPr>
              <w:t xml:space="preserve">2019 </w:t>
            </w:r>
          </w:p>
        </w:tc>
        <w:tc>
          <w:tcPr>
            <w:tcW w:w="0" w:type="auto"/>
            <w:tcBorders>
              <w:top w:val="single" w:sz="12" w:space="0" w:color="auto"/>
              <w:left w:val="nil"/>
              <w:bottom w:val="single" w:sz="12" w:space="0" w:color="auto"/>
              <w:right w:val="nil"/>
            </w:tcBorders>
            <w:noWrap/>
            <w:vAlign w:val="center"/>
          </w:tcPr>
          <w:p w:rsidR="007459B2" w:rsidRPr="00E0707E" w:rsidRDefault="007459B2" w:rsidP="00245E18">
            <w:pPr>
              <w:widowControl/>
              <w:autoSpaceDE/>
              <w:autoSpaceDN/>
              <w:adjustRightInd/>
              <w:jc w:val="right"/>
              <w:rPr>
                <w:rFonts w:cs="Arial"/>
                <w:b/>
                <w:bCs/>
                <w:i/>
                <w:iCs/>
                <w:szCs w:val="18"/>
              </w:rPr>
            </w:pPr>
            <w:r>
              <w:rPr>
                <w:b/>
                <w:i/>
              </w:rPr>
              <w:t xml:space="preserve">2020 </w:t>
            </w:r>
          </w:p>
        </w:tc>
        <w:tc>
          <w:tcPr>
            <w:tcW w:w="0" w:type="auto"/>
            <w:tcBorders>
              <w:top w:val="single" w:sz="12" w:space="0" w:color="auto"/>
              <w:left w:val="nil"/>
              <w:bottom w:val="single" w:sz="12" w:space="0" w:color="auto"/>
              <w:right w:val="nil"/>
            </w:tcBorders>
            <w:noWrap/>
            <w:vAlign w:val="center"/>
          </w:tcPr>
          <w:p w:rsidR="007459B2" w:rsidRPr="00E0707E" w:rsidRDefault="007459B2" w:rsidP="00245E18">
            <w:pPr>
              <w:widowControl/>
              <w:autoSpaceDE/>
              <w:autoSpaceDN/>
              <w:adjustRightInd/>
              <w:jc w:val="right"/>
              <w:rPr>
                <w:rFonts w:cs="Arial"/>
                <w:b/>
                <w:bCs/>
                <w:i/>
                <w:iCs/>
                <w:szCs w:val="18"/>
              </w:rPr>
            </w:pPr>
            <w:r>
              <w:rPr>
                <w:b/>
                <w:i/>
              </w:rPr>
              <w:t xml:space="preserve"> Total </w:t>
            </w:r>
          </w:p>
        </w:tc>
      </w:tr>
      <w:tr w:rsidR="007459B2" w:rsidRPr="00E0707E" w:rsidTr="00245E18">
        <w:trPr>
          <w:trHeight w:val="316"/>
          <w:jc w:val="center"/>
        </w:trPr>
        <w:tc>
          <w:tcPr>
            <w:tcW w:w="0" w:type="auto"/>
            <w:tcBorders>
              <w:top w:val="single" w:sz="12" w:space="0" w:color="auto"/>
              <w:left w:val="nil"/>
              <w:bottom w:val="nil"/>
              <w:right w:val="nil"/>
            </w:tcBorders>
            <w:noWrap/>
          </w:tcPr>
          <w:p w:rsidR="007459B2" w:rsidRPr="00E0707E" w:rsidRDefault="007459B2" w:rsidP="00245E18">
            <w:pPr>
              <w:widowControl/>
              <w:autoSpaceDE/>
              <w:autoSpaceDN/>
              <w:adjustRightInd/>
              <w:rPr>
                <w:rFonts w:cs="Arial"/>
                <w:b/>
                <w:bCs/>
                <w:szCs w:val="18"/>
              </w:rPr>
            </w:pPr>
            <w:r>
              <w:rPr>
                <w:b/>
              </w:rPr>
              <w:t>Gastos de personal</w:t>
            </w:r>
          </w:p>
        </w:tc>
        <w:tc>
          <w:tcPr>
            <w:tcW w:w="0" w:type="auto"/>
            <w:tcBorders>
              <w:top w:val="single" w:sz="12" w:space="0" w:color="auto"/>
              <w:left w:val="nil"/>
              <w:bottom w:val="nil"/>
              <w:right w:val="nil"/>
            </w:tcBorders>
            <w:noWrap/>
          </w:tcPr>
          <w:p w:rsidR="007459B2" w:rsidRPr="00E0707E" w:rsidRDefault="007459B2" w:rsidP="00245E18">
            <w:pPr>
              <w:widowControl/>
              <w:autoSpaceDE/>
              <w:autoSpaceDN/>
              <w:adjustRightInd/>
              <w:rPr>
                <w:rFonts w:cs="Arial"/>
                <w:b/>
                <w:bCs/>
                <w:szCs w:val="18"/>
              </w:rPr>
            </w:pPr>
          </w:p>
        </w:tc>
        <w:tc>
          <w:tcPr>
            <w:tcW w:w="0" w:type="auto"/>
            <w:tcBorders>
              <w:top w:val="single" w:sz="12" w:space="0" w:color="auto"/>
              <w:left w:val="nil"/>
              <w:bottom w:val="nil"/>
              <w:right w:val="nil"/>
            </w:tcBorders>
            <w:noWrap/>
          </w:tcPr>
          <w:p w:rsidR="007459B2" w:rsidRPr="00E0707E" w:rsidRDefault="007459B2" w:rsidP="00245E18">
            <w:pPr>
              <w:widowControl/>
              <w:autoSpaceDE/>
              <w:autoSpaceDN/>
              <w:adjustRightInd/>
              <w:jc w:val="right"/>
              <w:rPr>
                <w:rFonts w:cs="Arial"/>
                <w:szCs w:val="18"/>
              </w:rPr>
            </w:pPr>
          </w:p>
        </w:tc>
        <w:tc>
          <w:tcPr>
            <w:tcW w:w="0" w:type="auto"/>
            <w:tcBorders>
              <w:top w:val="single" w:sz="12" w:space="0" w:color="auto"/>
              <w:left w:val="nil"/>
              <w:bottom w:val="nil"/>
              <w:right w:val="nil"/>
            </w:tcBorders>
            <w:noWrap/>
          </w:tcPr>
          <w:p w:rsidR="007459B2" w:rsidRPr="00E0707E" w:rsidRDefault="007459B2" w:rsidP="00245E18">
            <w:pPr>
              <w:widowControl/>
              <w:autoSpaceDE/>
              <w:autoSpaceDN/>
              <w:adjustRightInd/>
              <w:jc w:val="right"/>
              <w:rPr>
                <w:rFonts w:cs="Arial"/>
                <w:szCs w:val="18"/>
              </w:rPr>
            </w:pPr>
          </w:p>
        </w:tc>
        <w:tc>
          <w:tcPr>
            <w:tcW w:w="0" w:type="auto"/>
            <w:tcBorders>
              <w:top w:val="single" w:sz="12" w:space="0" w:color="auto"/>
              <w:left w:val="nil"/>
              <w:bottom w:val="nil"/>
              <w:right w:val="nil"/>
            </w:tcBorders>
            <w:noWrap/>
          </w:tcPr>
          <w:p w:rsidR="007459B2" w:rsidRPr="00E0707E" w:rsidRDefault="007459B2" w:rsidP="00245E18">
            <w:pPr>
              <w:widowControl/>
              <w:autoSpaceDE/>
              <w:autoSpaceDN/>
              <w:adjustRightInd/>
              <w:jc w:val="right"/>
              <w:rPr>
                <w:rFonts w:cs="Arial"/>
                <w:szCs w:val="18"/>
              </w:rPr>
            </w:pPr>
          </w:p>
        </w:tc>
      </w:tr>
      <w:tr w:rsidR="007459B2" w:rsidRPr="00E0707E" w:rsidTr="00245E18">
        <w:trPr>
          <w:trHeight w:val="316"/>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szCs w:val="18"/>
              </w:rPr>
            </w:pPr>
            <w:r>
              <w:t xml:space="preserve">Personal profesional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1 359 336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1 386 523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1 414 253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4 160 113 </w:t>
            </w:r>
          </w:p>
        </w:tc>
      </w:tr>
      <w:tr w:rsidR="007459B2" w:rsidRPr="00E0707E" w:rsidTr="00245E18">
        <w:trPr>
          <w:trHeight w:val="316"/>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szCs w:val="18"/>
              </w:rPr>
            </w:pPr>
            <w:r>
              <w:t>Personal de apoyo general</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472 732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482 186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491 830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1 446 747 </w:t>
            </w:r>
          </w:p>
        </w:tc>
      </w:tr>
      <w:tr w:rsidR="007459B2" w:rsidRPr="00E0707E" w:rsidTr="00245E18">
        <w:trPr>
          <w:trHeight w:val="316"/>
          <w:jc w:val="center"/>
        </w:trPr>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rPr>
                <w:rFonts w:cs="Arial"/>
                <w:b/>
                <w:bCs/>
                <w:szCs w:val="18"/>
              </w:rPr>
            </w:pPr>
            <w:proofErr w:type="gramStart"/>
            <w:r>
              <w:rPr>
                <w:b/>
              </w:rPr>
              <w:t>Total</w:t>
            </w:r>
            <w:proofErr w:type="gramEnd"/>
            <w:r>
              <w:rPr>
                <w:b/>
              </w:rPr>
              <w:t xml:space="preserve"> parcial</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1 832 068 </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1 868 709 </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1 906 083 </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5 606 860 </w:t>
            </w:r>
          </w:p>
        </w:tc>
      </w:tr>
      <w:tr w:rsidR="007459B2" w:rsidRPr="00E0707E" w:rsidTr="00245E18">
        <w:trPr>
          <w:trHeight w:val="316"/>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b/>
                <w:bCs/>
                <w:szCs w:val="18"/>
              </w:rPr>
            </w:pPr>
            <w:r>
              <w:rPr>
                <w:b/>
              </w:rPr>
              <w:t>Servicios contractuales</w:t>
            </w:r>
          </w:p>
        </w:tc>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b/>
                <w:bCs/>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r>
      <w:tr w:rsidR="007459B2" w:rsidRPr="00E0707E" w:rsidTr="00245E18">
        <w:trPr>
          <w:trHeight w:val="316"/>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szCs w:val="18"/>
              </w:rPr>
            </w:pPr>
            <w:r>
              <w:t>Servicios contractuales (traducciones generales y edición de documentos)</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90 168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91 971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93 811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275 950 </w:t>
            </w:r>
          </w:p>
        </w:tc>
      </w:tr>
      <w:tr w:rsidR="007459B2" w:rsidRPr="00E0707E" w:rsidTr="00245E18">
        <w:trPr>
          <w:trHeight w:val="316"/>
          <w:jc w:val="center"/>
        </w:trPr>
        <w:tc>
          <w:tcPr>
            <w:tcW w:w="0" w:type="auto"/>
            <w:tcBorders>
              <w:top w:val="nil"/>
              <w:left w:val="nil"/>
              <w:bottom w:val="nil"/>
              <w:right w:val="nil"/>
            </w:tcBorders>
            <w:noWrap/>
          </w:tcPr>
          <w:p w:rsidR="007459B2" w:rsidRPr="00BA5709" w:rsidRDefault="007459B2" w:rsidP="00245E18">
            <w:pPr>
              <w:widowControl/>
              <w:autoSpaceDE/>
              <w:autoSpaceDN/>
              <w:adjustRightInd/>
              <w:rPr>
                <w:rFonts w:cs="Arial"/>
                <w:color w:val="FF0000"/>
                <w:szCs w:val="18"/>
              </w:rPr>
            </w:pPr>
            <w:r>
              <w:rPr>
                <w:color w:val="FF0000"/>
              </w:rPr>
              <w:t>Servicios a la COP13 (interpretación, redacción de informes, etc.)</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FF0000"/>
                <w:szCs w:val="18"/>
              </w:rPr>
            </w:pPr>
            <w:r>
              <w:rPr>
                <w:color w:val="FF0000"/>
              </w:rPr>
              <w:t xml:space="preserve">0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FF0000"/>
                <w:szCs w:val="18"/>
              </w:rPr>
            </w:pPr>
            <w:r>
              <w:rPr>
                <w:color w:val="FF0000"/>
              </w:rPr>
              <w:t xml:space="preserve">0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FF0000"/>
                <w:szCs w:val="18"/>
              </w:rPr>
            </w:pPr>
            <w:r>
              <w:rPr>
                <w:color w:val="FF0000"/>
              </w:rPr>
              <w:t xml:space="preserve">307 073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FF0000"/>
                <w:szCs w:val="18"/>
              </w:rPr>
            </w:pPr>
            <w:r>
              <w:rPr>
                <w:color w:val="FF0000"/>
              </w:rPr>
              <w:t xml:space="preserve">307 073 </w:t>
            </w:r>
          </w:p>
        </w:tc>
      </w:tr>
      <w:tr w:rsidR="007459B2" w:rsidRPr="00E0707E" w:rsidTr="00245E18">
        <w:trPr>
          <w:trHeight w:val="316"/>
          <w:jc w:val="center"/>
        </w:trPr>
        <w:tc>
          <w:tcPr>
            <w:tcW w:w="0" w:type="auto"/>
            <w:tcBorders>
              <w:top w:val="nil"/>
              <w:left w:val="nil"/>
              <w:bottom w:val="nil"/>
              <w:right w:val="nil"/>
            </w:tcBorders>
          </w:tcPr>
          <w:p w:rsidR="007459B2" w:rsidRPr="00E0707E" w:rsidRDefault="007459B2" w:rsidP="00245E18">
            <w:pPr>
              <w:widowControl/>
              <w:autoSpaceDE/>
              <w:autoSpaceDN/>
              <w:adjustRightInd/>
              <w:rPr>
                <w:rFonts w:cs="Arial"/>
                <w:szCs w:val="18"/>
              </w:rPr>
            </w:pPr>
            <w:r>
              <w:t>Producción de materiales de información</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12 750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13 005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13 265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39 020 </w:t>
            </w:r>
          </w:p>
        </w:tc>
      </w:tr>
      <w:tr w:rsidR="007459B2" w:rsidRPr="00E0707E" w:rsidTr="00245E18">
        <w:trPr>
          <w:trHeight w:val="316"/>
          <w:jc w:val="center"/>
        </w:trPr>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rPr>
                <w:rFonts w:cs="Arial"/>
                <w:b/>
                <w:bCs/>
                <w:szCs w:val="18"/>
              </w:rPr>
            </w:pPr>
            <w:proofErr w:type="gramStart"/>
            <w:r>
              <w:rPr>
                <w:b/>
              </w:rPr>
              <w:t>Total</w:t>
            </w:r>
            <w:proofErr w:type="gramEnd"/>
            <w:r>
              <w:rPr>
                <w:b/>
              </w:rPr>
              <w:t xml:space="preserve"> parcial</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102 918 </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104 976 </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414 149 </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622 043 </w:t>
            </w:r>
          </w:p>
        </w:tc>
      </w:tr>
      <w:tr w:rsidR="007459B2" w:rsidRPr="00E0707E" w:rsidTr="00245E18">
        <w:trPr>
          <w:trHeight w:val="316"/>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b/>
                <w:bCs/>
                <w:szCs w:val="18"/>
              </w:rPr>
            </w:pPr>
            <w:r>
              <w:rPr>
                <w:b/>
              </w:rPr>
              <w:t>Gastos de funcionamiento</w:t>
            </w:r>
          </w:p>
        </w:tc>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b/>
                <w:bCs/>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r>
      <w:tr w:rsidR="007459B2" w:rsidRPr="00E0707E" w:rsidTr="00245E18">
        <w:trPr>
          <w:trHeight w:val="316"/>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szCs w:val="18"/>
              </w:rPr>
            </w:pPr>
            <w:r>
              <w:t>Instrumentos de TIC, elaboración y gestión del sitio web</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6 630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6 763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6 898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20 290 </w:t>
            </w:r>
          </w:p>
        </w:tc>
      </w:tr>
      <w:tr w:rsidR="007459B2" w:rsidRPr="00E0707E" w:rsidTr="00245E18">
        <w:trPr>
          <w:trHeight w:val="316"/>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szCs w:val="18"/>
              </w:rPr>
            </w:pPr>
            <w:r>
              <w:t>Formación del personal (capacitación, retiros)</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10 200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10 404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10 612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31 216 </w:t>
            </w:r>
          </w:p>
        </w:tc>
      </w:tr>
      <w:tr w:rsidR="007459B2" w:rsidRPr="00E0707E" w:rsidTr="00245E18">
        <w:trPr>
          <w:trHeight w:val="316"/>
          <w:jc w:val="center"/>
        </w:trPr>
        <w:tc>
          <w:tcPr>
            <w:tcW w:w="0" w:type="auto"/>
            <w:tcBorders>
              <w:top w:val="nil"/>
              <w:left w:val="nil"/>
              <w:bottom w:val="nil"/>
              <w:right w:val="nil"/>
            </w:tcBorders>
          </w:tcPr>
          <w:p w:rsidR="007459B2" w:rsidRPr="00E0707E" w:rsidRDefault="007459B2" w:rsidP="00245E18">
            <w:pPr>
              <w:widowControl/>
              <w:autoSpaceDE/>
              <w:autoSpaceDN/>
              <w:adjustRightInd/>
              <w:rPr>
                <w:rFonts w:cs="Arial"/>
                <w:szCs w:val="18"/>
              </w:rPr>
            </w:pPr>
            <w:r>
              <w:t>Servicios de tecnología de la información (UNV)</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71 400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72 828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74 285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218 513 </w:t>
            </w:r>
          </w:p>
        </w:tc>
      </w:tr>
      <w:tr w:rsidR="007459B2" w:rsidRPr="00E0707E" w:rsidTr="00245E18">
        <w:trPr>
          <w:trHeight w:val="316"/>
          <w:jc w:val="center"/>
        </w:trPr>
        <w:tc>
          <w:tcPr>
            <w:tcW w:w="0" w:type="auto"/>
            <w:tcBorders>
              <w:top w:val="nil"/>
              <w:left w:val="nil"/>
              <w:bottom w:val="nil"/>
              <w:right w:val="nil"/>
            </w:tcBorders>
          </w:tcPr>
          <w:p w:rsidR="007459B2" w:rsidRPr="00E0707E" w:rsidRDefault="007459B2" w:rsidP="00245E18">
            <w:pPr>
              <w:widowControl/>
              <w:autoSpaceDE/>
              <w:autoSpaceDN/>
              <w:adjustRightInd/>
              <w:rPr>
                <w:rFonts w:cs="Arial"/>
                <w:szCs w:val="18"/>
              </w:rPr>
            </w:pPr>
            <w:r>
              <w:t>Servicios de automatización de oficinas (alojamiento de impresoras alquiladas, etc.)</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10 200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10 404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10 612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31 216 </w:t>
            </w:r>
          </w:p>
        </w:tc>
      </w:tr>
      <w:tr w:rsidR="007459B2" w:rsidRPr="00E0707E" w:rsidTr="00245E18">
        <w:trPr>
          <w:trHeight w:val="316"/>
          <w:jc w:val="center"/>
        </w:trPr>
        <w:tc>
          <w:tcPr>
            <w:tcW w:w="0" w:type="auto"/>
            <w:tcBorders>
              <w:top w:val="nil"/>
              <w:left w:val="nil"/>
              <w:bottom w:val="nil"/>
              <w:right w:val="nil"/>
            </w:tcBorders>
          </w:tcPr>
          <w:p w:rsidR="007459B2" w:rsidRPr="00E0707E" w:rsidRDefault="007459B2" w:rsidP="00245E18">
            <w:pPr>
              <w:widowControl/>
              <w:autoSpaceDE/>
              <w:autoSpaceDN/>
              <w:adjustRightInd/>
              <w:rPr>
                <w:rFonts w:cs="Arial"/>
                <w:szCs w:val="18"/>
              </w:rPr>
            </w:pPr>
            <w:r>
              <w:t>Servicios de comunicación y de mensajería</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17 850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18 207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18 571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54 628 </w:t>
            </w:r>
          </w:p>
        </w:tc>
      </w:tr>
      <w:tr w:rsidR="007459B2" w:rsidRPr="00E0707E" w:rsidTr="00245E18">
        <w:trPr>
          <w:trHeight w:val="316"/>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szCs w:val="18"/>
              </w:rPr>
            </w:pPr>
            <w:r>
              <w:t>Varios</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3 813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3 889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3 967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11 669 </w:t>
            </w:r>
          </w:p>
        </w:tc>
      </w:tr>
      <w:tr w:rsidR="007459B2" w:rsidRPr="00E0707E" w:rsidTr="00245E18">
        <w:trPr>
          <w:trHeight w:val="316"/>
          <w:jc w:val="center"/>
        </w:trPr>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rPr>
                <w:rFonts w:cs="Arial"/>
                <w:b/>
                <w:bCs/>
                <w:szCs w:val="18"/>
              </w:rPr>
            </w:pPr>
            <w:proofErr w:type="gramStart"/>
            <w:r>
              <w:rPr>
                <w:b/>
              </w:rPr>
              <w:t>Total</w:t>
            </w:r>
            <w:proofErr w:type="gramEnd"/>
            <w:r>
              <w:rPr>
                <w:b/>
              </w:rPr>
              <w:t xml:space="preserve"> parcial</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120 093 </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122 495 </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124 945 </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367 532 </w:t>
            </w:r>
          </w:p>
        </w:tc>
      </w:tr>
      <w:tr w:rsidR="007459B2" w:rsidRPr="00E0707E" w:rsidTr="00245E18">
        <w:trPr>
          <w:trHeight w:val="316"/>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b/>
                <w:bCs/>
                <w:szCs w:val="18"/>
              </w:rPr>
            </w:pPr>
            <w:r>
              <w:rPr>
                <w:b/>
              </w:rPr>
              <w:t>Suministros</w:t>
            </w:r>
          </w:p>
        </w:tc>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b/>
                <w:bCs/>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r>
      <w:tr w:rsidR="007459B2" w:rsidRPr="00E0707E" w:rsidTr="00245E18">
        <w:trPr>
          <w:trHeight w:val="316"/>
          <w:jc w:val="center"/>
        </w:trPr>
        <w:tc>
          <w:tcPr>
            <w:tcW w:w="0" w:type="auto"/>
            <w:tcBorders>
              <w:top w:val="nil"/>
              <w:left w:val="nil"/>
              <w:bottom w:val="nil"/>
              <w:right w:val="nil"/>
            </w:tcBorders>
          </w:tcPr>
          <w:p w:rsidR="007459B2" w:rsidRPr="00E0707E" w:rsidRDefault="007459B2" w:rsidP="00245E18">
            <w:pPr>
              <w:widowControl/>
              <w:autoSpaceDE/>
              <w:autoSpaceDN/>
              <w:adjustRightInd/>
              <w:rPr>
                <w:rFonts w:cs="Arial"/>
                <w:szCs w:val="18"/>
              </w:rPr>
            </w:pPr>
            <w:r>
              <w:t>Suministros de oficina</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5 916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6 034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6 155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18 105 </w:t>
            </w:r>
          </w:p>
        </w:tc>
      </w:tr>
      <w:tr w:rsidR="007459B2" w:rsidRPr="00E0707E" w:rsidTr="00245E18">
        <w:trPr>
          <w:trHeight w:val="316"/>
          <w:jc w:val="center"/>
        </w:trPr>
        <w:tc>
          <w:tcPr>
            <w:tcW w:w="0" w:type="auto"/>
            <w:tcBorders>
              <w:top w:val="single" w:sz="4" w:space="0" w:color="auto"/>
              <w:left w:val="nil"/>
              <w:bottom w:val="single" w:sz="4" w:space="0" w:color="auto"/>
              <w:right w:val="nil"/>
            </w:tcBorders>
          </w:tcPr>
          <w:p w:rsidR="007459B2" w:rsidRPr="00E0707E" w:rsidRDefault="007459B2" w:rsidP="00245E18">
            <w:pPr>
              <w:widowControl/>
              <w:autoSpaceDE/>
              <w:autoSpaceDN/>
              <w:adjustRightInd/>
              <w:rPr>
                <w:rFonts w:cs="Arial"/>
                <w:b/>
                <w:bCs/>
                <w:szCs w:val="18"/>
              </w:rPr>
            </w:pPr>
            <w:proofErr w:type="gramStart"/>
            <w:r>
              <w:rPr>
                <w:b/>
              </w:rPr>
              <w:t>Total</w:t>
            </w:r>
            <w:proofErr w:type="gramEnd"/>
            <w:r>
              <w:rPr>
                <w:b/>
              </w:rPr>
              <w:t xml:space="preserve"> parcial</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5 916 </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6 034 </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6 155 </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18 105 </w:t>
            </w:r>
          </w:p>
        </w:tc>
      </w:tr>
      <w:tr w:rsidR="007459B2" w:rsidRPr="00E0707E" w:rsidTr="00245E18">
        <w:trPr>
          <w:trHeight w:val="316"/>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b/>
                <w:bCs/>
                <w:szCs w:val="18"/>
              </w:rPr>
            </w:pPr>
            <w:r>
              <w:rPr>
                <w:b/>
              </w:rPr>
              <w:t>Equipo</w:t>
            </w:r>
          </w:p>
        </w:tc>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b/>
                <w:bCs/>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r>
      <w:tr w:rsidR="007459B2" w:rsidRPr="00E0707E" w:rsidTr="00245E18">
        <w:trPr>
          <w:trHeight w:val="316"/>
          <w:jc w:val="center"/>
        </w:trPr>
        <w:tc>
          <w:tcPr>
            <w:tcW w:w="0" w:type="auto"/>
            <w:tcBorders>
              <w:top w:val="nil"/>
              <w:left w:val="nil"/>
              <w:bottom w:val="nil"/>
              <w:right w:val="nil"/>
            </w:tcBorders>
          </w:tcPr>
          <w:p w:rsidR="007459B2" w:rsidRPr="00E0707E" w:rsidRDefault="007459B2" w:rsidP="00245E18">
            <w:pPr>
              <w:widowControl/>
              <w:autoSpaceDE/>
              <w:autoSpaceDN/>
              <w:adjustRightInd/>
              <w:rPr>
                <w:rFonts w:cs="Arial"/>
                <w:szCs w:val="18"/>
              </w:rPr>
            </w:pPr>
            <w:r>
              <w:t>Equipo no fungible</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10 710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10 924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11 143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32 777 </w:t>
            </w:r>
          </w:p>
        </w:tc>
      </w:tr>
      <w:tr w:rsidR="007459B2" w:rsidRPr="00E0707E" w:rsidTr="00245E18">
        <w:trPr>
          <w:trHeight w:val="316"/>
          <w:jc w:val="center"/>
        </w:trPr>
        <w:tc>
          <w:tcPr>
            <w:tcW w:w="0" w:type="auto"/>
            <w:tcBorders>
              <w:top w:val="single" w:sz="4" w:space="0" w:color="auto"/>
              <w:left w:val="nil"/>
              <w:bottom w:val="single" w:sz="4" w:space="0" w:color="auto"/>
              <w:right w:val="nil"/>
            </w:tcBorders>
          </w:tcPr>
          <w:p w:rsidR="007459B2" w:rsidRPr="00E0707E" w:rsidRDefault="007459B2" w:rsidP="00245E18">
            <w:pPr>
              <w:widowControl/>
              <w:autoSpaceDE/>
              <w:autoSpaceDN/>
              <w:adjustRightInd/>
              <w:rPr>
                <w:rFonts w:cs="Arial"/>
                <w:b/>
                <w:bCs/>
                <w:szCs w:val="18"/>
              </w:rPr>
            </w:pPr>
            <w:proofErr w:type="gramStart"/>
            <w:r>
              <w:rPr>
                <w:b/>
              </w:rPr>
              <w:t>Total</w:t>
            </w:r>
            <w:proofErr w:type="gramEnd"/>
            <w:r>
              <w:rPr>
                <w:b/>
              </w:rPr>
              <w:t xml:space="preserve"> parcial</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10 710 </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10 924 </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11 143 </w:t>
            </w:r>
          </w:p>
        </w:tc>
        <w:tc>
          <w:tcPr>
            <w:tcW w:w="0" w:type="auto"/>
            <w:tcBorders>
              <w:top w:val="single" w:sz="4" w:space="0" w:color="auto"/>
              <w:left w:val="nil"/>
              <w:bottom w:val="single" w:sz="4"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32 777 </w:t>
            </w:r>
          </w:p>
        </w:tc>
      </w:tr>
      <w:tr w:rsidR="007459B2" w:rsidRPr="00E0707E" w:rsidTr="00245E18">
        <w:trPr>
          <w:trHeight w:val="316"/>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b/>
                <w:bCs/>
                <w:szCs w:val="18"/>
              </w:rPr>
            </w:pPr>
            <w:r>
              <w:rPr>
                <w:b/>
              </w:rPr>
              <w:t xml:space="preserve">Viajes </w:t>
            </w:r>
          </w:p>
        </w:tc>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b/>
                <w:bCs/>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p>
        </w:tc>
      </w:tr>
      <w:tr w:rsidR="007459B2" w:rsidRPr="00E0707E" w:rsidTr="00245E18">
        <w:trPr>
          <w:trHeight w:val="316"/>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szCs w:val="18"/>
              </w:rPr>
            </w:pPr>
            <w:r>
              <w:t>Viajes del personal</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64 974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66 273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67 599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198 846 </w:t>
            </w:r>
          </w:p>
        </w:tc>
      </w:tr>
      <w:tr w:rsidR="007459B2" w:rsidRPr="00E0707E" w:rsidTr="00245E18">
        <w:trPr>
          <w:trHeight w:val="316"/>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szCs w:val="18"/>
              </w:rPr>
            </w:pPr>
            <w:r>
              <w:t>Viajes del personal - COP13</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0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0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56 245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szCs w:val="18"/>
              </w:rPr>
            </w:pPr>
            <w:r>
              <w:t xml:space="preserve">56 245 </w:t>
            </w:r>
          </w:p>
        </w:tc>
      </w:tr>
      <w:tr w:rsidR="007459B2" w:rsidRPr="00E0707E" w:rsidTr="00245E18">
        <w:trPr>
          <w:trHeight w:val="316"/>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color w:val="FF0000"/>
                <w:szCs w:val="18"/>
              </w:rPr>
            </w:pPr>
            <w:r>
              <w:rPr>
                <w:color w:val="FF0000"/>
              </w:rPr>
              <w:t>Reuniones del Comité Permanente</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FF0000"/>
                <w:szCs w:val="18"/>
              </w:rPr>
            </w:pPr>
            <w:r>
              <w:rPr>
                <w:color w:val="FF0000"/>
              </w:rPr>
              <w:t xml:space="preserve">22 965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FF0000"/>
                <w:szCs w:val="18"/>
              </w:rPr>
            </w:pPr>
            <w:r>
              <w:rPr>
                <w:color w:val="FF0000"/>
              </w:rPr>
              <w:t xml:space="preserve">23 425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FF0000"/>
                <w:szCs w:val="18"/>
              </w:rPr>
            </w:pPr>
            <w:r>
              <w:rPr>
                <w:color w:val="FF0000"/>
              </w:rPr>
              <w:t xml:space="preserve">0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FF0000"/>
                <w:szCs w:val="18"/>
              </w:rPr>
            </w:pPr>
            <w:r>
              <w:rPr>
                <w:color w:val="FF0000"/>
              </w:rPr>
              <w:t xml:space="preserve">46 390 </w:t>
            </w:r>
          </w:p>
        </w:tc>
      </w:tr>
      <w:tr w:rsidR="007459B2" w:rsidRPr="00E0707E" w:rsidTr="00245E18">
        <w:trPr>
          <w:trHeight w:val="316"/>
          <w:jc w:val="center"/>
        </w:trPr>
        <w:tc>
          <w:tcPr>
            <w:tcW w:w="0" w:type="auto"/>
            <w:tcBorders>
              <w:top w:val="nil"/>
              <w:left w:val="nil"/>
              <w:bottom w:val="nil"/>
              <w:right w:val="nil"/>
            </w:tcBorders>
            <w:noWrap/>
          </w:tcPr>
          <w:p w:rsidR="007459B2" w:rsidRPr="00E0707E" w:rsidRDefault="007459B2" w:rsidP="00245E18">
            <w:pPr>
              <w:widowControl/>
              <w:autoSpaceDE/>
              <w:autoSpaceDN/>
              <w:adjustRightInd/>
              <w:rPr>
                <w:rFonts w:cs="Arial"/>
                <w:color w:val="FF0000"/>
                <w:szCs w:val="18"/>
              </w:rPr>
            </w:pPr>
            <w:r>
              <w:rPr>
                <w:color w:val="FF0000"/>
              </w:rPr>
              <w:t>Reuniones del Consejo Científico</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FF0000"/>
                <w:szCs w:val="18"/>
              </w:rPr>
            </w:pPr>
            <w:r>
              <w:rPr>
                <w:color w:val="FF0000"/>
              </w:rPr>
              <w:t xml:space="preserve">52 424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FF0000"/>
                <w:szCs w:val="18"/>
              </w:rPr>
            </w:pPr>
            <w:r>
              <w:rPr>
                <w:color w:val="FF0000"/>
              </w:rPr>
              <w:t xml:space="preserve">53 473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FF0000"/>
                <w:szCs w:val="18"/>
              </w:rPr>
            </w:pPr>
            <w:r>
              <w:rPr>
                <w:color w:val="FF0000"/>
              </w:rPr>
              <w:t xml:space="preserve">0 </w:t>
            </w:r>
          </w:p>
        </w:tc>
        <w:tc>
          <w:tcPr>
            <w:tcW w:w="0" w:type="auto"/>
            <w:tcBorders>
              <w:top w:val="nil"/>
              <w:left w:val="nil"/>
              <w:bottom w:val="nil"/>
              <w:right w:val="nil"/>
            </w:tcBorders>
            <w:noWrap/>
          </w:tcPr>
          <w:p w:rsidR="007459B2" w:rsidRPr="00E0707E" w:rsidRDefault="007459B2" w:rsidP="00245E18">
            <w:pPr>
              <w:widowControl/>
              <w:autoSpaceDE/>
              <w:autoSpaceDN/>
              <w:adjustRightInd/>
              <w:jc w:val="right"/>
              <w:rPr>
                <w:rFonts w:cs="Arial"/>
                <w:color w:val="FF0000"/>
                <w:szCs w:val="18"/>
              </w:rPr>
            </w:pPr>
            <w:r>
              <w:rPr>
                <w:color w:val="FF0000"/>
              </w:rPr>
              <w:t xml:space="preserve">105 897 </w:t>
            </w:r>
          </w:p>
        </w:tc>
      </w:tr>
      <w:tr w:rsidR="007459B2" w:rsidRPr="00E0707E" w:rsidTr="00245E18">
        <w:trPr>
          <w:trHeight w:val="316"/>
          <w:jc w:val="center"/>
        </w:trPr>
        <w:tc>
          <w:tcPr>
            <w:tcW w:w="0" w:type="auto"/>
            <w:tcBorders>
              <w:top w:val="single" w:sz="4" w:space="0" w:color="auto"/>
              <w:left w:val="nil"/>
              <w:bottom w:val="single" w:sz="12" w:space="0" w:color="auto"/>
              <w:right w:val="nil"/>
            </w:tcBorders>
            <w:noWrap/>
          </w:tcPr>
          <w:p w:rsidR="007459B2" w:rsidRPr="00E0707E" w:rsidRDefault="007459B2" w:rsidP="00245E18">
            <w:pPr>
              <w:widowControl/>
              <w:autoSpaceDE/>
              <w:autoSpaceDN/>
              <w:adjustRightInd/>
              <w:rPr>
                <w:rFonts w:cs="Arial"/>
                <w:b/>
                <w:bCs/>
                <w:szCs w:val="18"/>
              </w:rPr>
            </w:pPr>
            <w:proofErr w:type="gramStart"/>
            <w:r>
              <w:rPr>
                <w:b/>
              </w:rPr>
              <w:t>Total</w:t>
            </w:r>
            <w:proofErr w:type="gramEnd"/>
            <w:r>
              <w:rPr>
                <w:b/>
              </w:rPr>
              <w:t xml:space="preserve"> parcial</w:t>
            </w:r>
          </w:p>
        </w:tc>
        <w:tc>
          <w:tcPr>
            <w:tcW w:w="0" w:type="auto"/>
            <w:tcBorders>
              <w:top w:val="single" w:sz="4" w:space="0" w:color="auto"/>
              <w:left w:val="nil"/>
              <w:bottom w:val="single" w:sz="12"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140 364 </w:t>
            </w:r>
          </w:p>
        </w:tc>
        <w:tc>
          <w:tcPr>
            <w:tcW w:w="0" w:type="auto"/>
            <w:tcBorders>
              <w:top w:val="single" w:sz="4" w:space="0" w:color="auto"/>
              <w:left w:val="nil"/>
              <w:bottom w:val="single" w:sz="12"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143 171 </w:t>
            </w:r>
          </w:p>
        </w:tc>
        <w:tc>
          <w:tcPr>
            <w:tcW w:w="0" w:type="auto"/>
            <w:tcBorders>
              <w:top w:val="single" w:sz="4" w:space="0" w:color="auto"/>
              <w:left w:val="nil"/>
              <w:bottom w:val="single" w:sz="12"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123 844 </w:t>
            </w:r>
          </w:p>
        </w:tc>
        <w:tc>
          <w:tcPr>
            <w:tcW w:w="0" w:type="auto"/>
            <w:tcBorders>
              <w:top w:val="single" w:sz="4" w:space="0" w:color="auto"/>
              <w:left w:val="nil"/>
              <w:bottom w:val="single" w:sz="12"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407 378 </w:t>
            </w:r>
          </w:p>
        </w:tc>
      </w:tr>
      <w:tr w:rsidR="007459B2" w:rsidRPr="00E0707E" w:rsidTr="00245E18">
        <w:trPr>
          <w:trHeight w:val="316"/>
          <w:jc w:val="center"/>
        </w:trPr>
        <w:tc>
          <w:tcPr>
            <w:tcW w:w="0" w:type="auto"/>
            <w:tcBorders>
              <w:top w:val="single" w:sz="12" w:space="0" w:color="auto"/>
              <w:left w:val="nil"/>
              <w:bottom w:val="single" w:sz="8" w:space="0" w:color="auto"/>
              <w:right w:val="nil"/>
            </w:tcBorders>
            <w:noWrap/>
          </w:tcPr>
          <w:p w:rsidR="007459B2" w:rsidRPr="00E0707E" w:rsidRDefault="007459B2" w:rsidP="00245E18">
            <w:pPr>
              <w:widowControl/>
              <w:autoSpaceDE/>
              <w:autoSpaceDN/>
              <w:adjustRightInd/>
              <w:rPr>
                <w:rFonts w:cs="Arial"/>
                <w:b/>
                <w:bCs/>
                <w:szCs w:val="18"/>
              </w:rPr>
            </w:pPr>
            <w:r>
              <w:rPr>
                <w:b/>
              </w:rPr>
              <w:t xml:space="preserve">Total </w:t>
            </w:r>
          </w:p>
        </w:tc>
        <w:tc>
          <w:tcPr>
            <w:tcW w:w="0" w:type="auto"/>
            <w:tcBorders>
              <w:top w:val="single" w:sz="12" w:space="0" w:color="auto"/>
              <w:left w:val="nil"/>
              <w:bottom w:val="single" w:sz="8"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2 212 068 </w:t>
            </w:r>
          </w:p>
        </w:tc>
        <w:tc>
          <w:tcPr>
            <w:tcW w:w="0" w:type="auto"/>
            <w:tcBorders>
              <w:top w:val="single" w:sz="12" w:space="0" w:color="auto"/>
              <w:left w:val="nil"/>
              <w:bottom w:val="single" w:sz="8"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2 256 309 </w:t>
            </w:r>
          </w:p>
        </w:tc>
        <w:tc>
          <w:tcPr>
            <w:tcW w:w="0" w:type="auto"/>
            <w:tcBorders>
              <w:top w:val="single" w:sz="12" w:space="0" w:color="auto"/>
              <w:left w:val="nil"/>
              <w:bottom w:val="single" w:sz="8"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2 586 318 </w:t>
            </w:r>
          </w:p>
        </w:tc>
        <w:tc>
          <w:tcPr>
            <w:tcW w:w="0" w:type="auto"/>
            <w:tcBorders>
              <w:top w:val="single" w:sz="12" w:space="0" w:color="auto"/>
              <w:left w:val="nil"/>
              <w:bottom w:val="single" w:sz="8"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7 054 696 </w:t>
            </w:r>
          </w:p>
        </w:tc>
      </w:tr>
      <w:tr w:rsidR="007459B2" w:rsidRPr="00E0707E" w:rsidTr="00245E18">
        <w:trPr>
          <w:trHeight w:val="316"/>
          <w:jc w:val="center"/>
        </w:trPr>
        <w:tc>
          <w:tcPr>
            <w:tcW w:w="0" w:type="auto"/>
            <w:tcBorders>
              <w:top w:val="nil"/>
              <w:left w:val="nil"/>
              <w:bottom w:val="single" w:sz="12" w:space="0" w:color="auto"/>
              <w:right w:val="nil"/>
            </w:tcBorders>
          </w:tcPr>
          <w:p w:rsidR="007459B2" w:rsidRPr="00E0707E" w:rsidRDefault="007459B2" w:rsidP="00245E18">
            <w:pPr>
              <w:widowControl/>
              <w:autoSpaceDE/>
              <w:autoSpaceDN/>
              <w:adjustRightInd/>
              <w:rPr>
                <w:rFonts w:cs="Arial"/>
                <w:szCs w:val="18"/>
              </w:rPr>
            </w:pPr>
            <w:r>
              <w:t>Gastos de apoyo a los programas</w:t>
            </w:r>
          </w:p>
        </w:tc>
        <w:tc>
          <w:tcPr>
            <w:tcW w:w="0" w:type="auto"/>
            <w:tcBorders>
              <w:top w:val="nil"/>
              <w:left w:val="nil"/>
              <w:bottom w:val="single" w:sz="12" w:space="0" w:color="auto"/>
              <w:right w:val="nil"/>
            </w:tcBorders>
            <w:noWrap/>
          </w:tcPr>
          <w:p w:rsidR="007459B2" w:rsidRPr="00E0707E" w:rsidRDefault="007459B2" w:rsidP="00245E18">
            <w:pPr>
              <w:widowControl/>
              <w:autoSpaceDE/>
              <w:autoSpaceDN/>
              <w:adjustRightInd/>
              <w:jc w:val="right"/>
              <w:rPr>
                <w:rFonts w:cs="Arial"/>
                <w:szCs w:val="18"/>
              </w:rPr>
            </w:pPr>
            <w:r>
              <w:t xml:space="preserve">287 569 </w:t>
            </w:r>
          </w:p>
        </w:tc>
        <w:tc>
          <w:tcPr>
            <w:tcW w:w="0" w:type="auto"/>
            <w:tcBorders>
              <w:top w:val="nil"/>
              <w:left w:val="nil"/>
              <w:bottom w:val="single" w:sz="12" w:space="0" w:color="auto"/>
              <w:right w:val="nil"/>
            </w:tcBorders>
            <w:noWrap/>
          </w:tcPr>
          <w:p w:rsidR="007459B2" w:rsidRPr="00E0707E" w:rsidRDefault="007459B2" w:rsidP="00245E18">
            <w:pPr>
              <w:widowControl/>
              <w:autoSpaceDE/>
              <w:autoSpaceDN/>
              <w:adjustRightInd/>
              <w:jc w:val="right"/>
              <w:rPr>
                <w:rFonts w:cs="Arial"/>
                <w:szCs w:val="18"/>
              </w:rPr>
            </w:pPr>
            <w:r>
              <w:t xml:space="preserve">293 320 </w:t>
            </w:r>
          </w:p>
        </w:tc>
        <w:tc>
          <w:tcPr>
            <w:tcW w:w="0" w:type="auto"/>
            <w:tcBorders>
              <w:top w:val="nil"/>
              <w:left w:val="nil"/>
              <w:bottom w:val="single" w:sz="12" w:space="0" w:color="auto"/>
              <w:right w:val="nil"/>
            </w:tcBorders>
            <w:noWrap/>
          </w:tcPr>
          <w:p w:rsidR="007459B2" w:rsidRPr="00E0707E" w:rsidRDefault="007459B2" w:rsidP="00245E18">
            <w:pPr>
              <w:widowControl/>
              <w:autoSpaceDE/>
              <w:autoSpaceDN/>
              <w:adjustRightInd/>
              <w:jc w:val="right"/>
              <w:rPr>
                <w:rFonts w:cs="Arial"/>
                <w:szCs w:val="18"/>
              </w:rPr>
            </w:pPr>
            <w:r>
              <w:t xml:space="preserve">336 221 </w:t>
            </w:r>
          </w:p>
        </w:tc>
        <w:tc>
          <w:tcPr>
            <w:tcW w:w="0" w:type="auto"/>
            <w:tcBorders>
              <w:top w:val="nil"/>
              <w:left w:val="nil"/>
              <w:bottom w:val="single" w:sz="12" w:space="0" w:color="auto"/>
              <w:right w:val="nil"/>
            </w:tcBorders>
            <w:noWrap/>
          </w:tcPr>
          <w:p w:rsidR="007459B2" w:rsidRPr="00E0707E" w:rsidRDefault="007459B2" w:rsidP="00245E18">
            <w:pPr>
              <w:widowControl/>
              <w:autoSpaceDE/>
              <w:autoSpaceDN/>
              <w:adjustRightInd/>
              <w:jc w:val="right"/>
              <w:rPr>
                <w:rFonts w:cs="Arial"/>
                <w:szCs w:val="18"/>
              </w:rPr>
            </w:pPr>
            <w:r>
              <w:t xml:space="preserve">917 110 </w:t>
            </w:r>
          </w:p>
        </w:tc>
      </w:tr>
      <w:tr w:rsidR="007459B2" w:rsidRPr="00E0707E" w:rsidTr="00245E18">
        <w:trPr>
          <w:trHeight w:val="316"/>
          <w:jc w:val="center"/>
        </w:trPr>
        <w:tc>
          <w:tcPr>
            <w:tcW w:w="0" w:type="auto"/>
            <w:tcBorders>
              <w:top w:val="single" w:sz="12" w:space="0" w:color="auto"/>
              <w:left w:val="nil"/>
              <w:bottom w:val="single" w:sz="12" w:space="0" w:color="auto"/>
              <w:right w:val="nil"/>
            </w:tcBorders>
          </w:tcPr>
          <w:p w:rsidR="007459B2" w:rsidRPr="00E0707E" w:rsidRDefault="007459B2" w:rsidP="00245E18">
            <w:pPr>
              <w:widowControl/>
              <w:autoSpaceDE/>
              <w:autoSpaceDN/>
              <w:adjustRightInd/>
              <w:rPr>
                <w:rFonts w:cs="Arial"/>
                <w:b/>
                <w:bCs/>
                <w:szCs w:val="18"/>
              </w:rPr>
            </w:pPr>
            <w:proofErr w:type="gramStart"/>
            <w:r>
              <w:rPr>
                <w:b/>
              </w:rPr>
              <w:t>Total</w:t>
            </w:r>
            <w:proofErr w:type="gramEnd"/>
            <w:r>
              <w:rPr>
                <w:b/>
              </w:rPr>
              <w:t xml:space="preserve"> general </w:t>
            </w:r>
          </w:p>
        </w:tc>
        <w:tc>
          <w:tcPr>
            <w:tcW w:w="0" w:type="auto"/>
            <w:tcBorders>
              <w:top w:val="single" w:sz="12" w:space="0" w:color="auto"/>
              <w:left w:val="nil"/>
              <w:bottom w:val="single" w:sz="12"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2 499 637 </w:t>
            </w:r>
          </w:p>
        </w:tc>
        <w:tc>
          <w:tcPr>
            <w:tcW w:w="0" w:type="auto"/>
            <w:tcBorders>
              <w:top w:val="single" w:sz="12" w:space="0" w:color="auto"/>
              <w:left w:val="nil"/>
              <w:bottom w:val="single" w:sz="12"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2 549 630 </w:t>
            </w:r>
          </w:p>
        </w:tc>
        <w:tc>
          <w:tcPr>
            <w:tcW w:w="0" w:type="auto"/>
            <w:tcBorders>
              <w:top w:val="single" w:sz="12" w:space="0" w:color="auto"/>
              <w:left w:val="nil"/>
              <w:bottom w:val="single" w:sz="12"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2 922 540 </w:t>
            </w:r>
          </w:p>
        </w:tc>
        <w:tc>
          <w:tcPr>
            <w:tcW w:w="0" w:type="auto"/>
            <w:tcBorders>
              <w:top w:val="single" w:sz="12" w:space="0" w:color="auto"/>
              <w:left w:val="nil"/>
              <w:bottom w:val="single" w:sz="12" w:space="0" w:color="auto"/>
              <w:right w:val="nil"/>
            </w:tcBorders>
            <w:noWrap/>
          </w:tcPr>
          <w:p w:rsidR="007459B2" w:rsidRPr="00E0707E" w:rsidRDefault="007459B2" w:rsidP="00245E18">
            <w:pPr>
              <w:widowControl/>
              <w:autoSpaceDE/>
              <w:autoSpaceDN/>
              <w:adjustRightInd/>
              <w:jc w:val="right"/>
              <w:rPr>
                <w:rFonts w:cs="Arial"/>
                <w:b/>
                <w:bCs/>
                <w:szCs w:val="18"/>
              </w:rPr>
            </w:pPr>
            <w:r>
              <w:rPr>
                <w:b/>
              </w:rPr>
              <w:t xml:space="preserve">7 971 806 </w:t>
            </w:r>
          </w:p>
        </w:tc>
      </w:tr>
    </w:tbl>
    <w:p w:rsidR="007459B2" w:rsidRDefault="007459B2" w:rsidP="00245E18">
      <w:pPr>
        <w:autoSpaceDE/>
        <w:autoSpaceDN/>
        <w:adjustRightInd/>
        <w:spacing w:after="120"/>
        <w:jc w:val="center"/>
        <w:outlineLvl w:val="1"/>
        <w:rPr>
          <w:i/>
          <w:iCs/>
          <w:color w:val="000000"/>
          <w:sz w:val="24"/>
        </w:rPr>
      </w:pPr>
    </w:p>
    <w:p w:rsidR="007459B2" w:rsidRDefault="007459B2" w:rsidP="0003449E">
      <w:pPr>
        <w:widowControl/>
        <w:autoSpaceDE/>
        <w:adjustRightInd/>
        <w:jc w:val="right"/>
        <w:rPr>
          <w:rFonts w:cs="Arial"/>
          <w:sz w:val="22"/>
          <w:szCs w:val="22"/>
        </w:rPr>
        <w:sectPr w:rsidR="007459B2" w:rsidSect="00620809">
          <w:headerReference w:type="first" r:id="rId17"/>
          <w:endnotePr>
            <w:numFmt w:val="decimal"/>
          </w:endnotePr>
          <w:pgSz w:w="11905" w:h="16837" w:code="9"/>
          <w:pgMar w:top="1008" w:right="1411" w:bottom="1152" w:left="1411" w:header="432" w:footer="432" w:gutter="0"/>
          <w:cols w:space="720"/>
          <w:noEndnote/>
          <w:titlePg/>
          <w:docGrid w:linePitch="272"/>
        </w:sectPr>
      </w:pPr>
    </w:p>
    <w:p w:rsidR="007459B2" w:rsidRPr="00245E18" w:rsidRDefault="007459B2" w:rsidP="00245E18">
      <w:pPr>
        <w:widowControl/>
        <w:autoSpaceDE/>
        <w:adjustRightInd/>
        <w:jc w:val="right"/>
        <w:rPr>
          <w:rFonts w:cs="Arial"/>
          <w:b/>
          <w:bCs/>
          <w:caps/>
          <w:sz w:val="22"/>
          <w:szCs w:val="22"/>
        </w:rPr>
      </w:pPr>
      <w:r>
        <w:rPr>
          <w:b/>
          <w:caps/>
          <w:sz w:val="22"/>
        </w:rPr>
        <w:lastRenderedPageBreak/>
        <w:t>Anexo 1 (C)</w:t>
      </w:r>
    </w:p>
    <w:p w:rsidR="007459B2" w:rsidRPr="00E0707E" w:rsidRDefault="007459B2" w:rsidP="00245E18">
      <w:pPr>
        <w:widowControl/>
        <w:autoSpaceDE/>
        <w:autoSpaceDN/>
        <w:adjustRightInd/>
        <w:jc w:val="center"/>
        <w:rPr>
          <w:rFonts w:cs="Arial"/>
          <w:b/>
          <w:bCs/>
          <w:sz w:val="22"/>
          <w:szCs w:val="22"/>
        </w:rPr>
      </w:pPr>
      <w:r>
        <w:rPr>
          <w:b/>
          <w:sz w:val="22"/>
        </w:rPr>
        <w:t xml:space="preserve">PRESUPUESTO PROPUESTO PARA EL TRIENIO 2018 - 2020: </w:t>
      </w:r>
    </w:p>
    <w:p w:rsidR="007459B2" w:rsidRPr="002244F9" w:rsidRDefault="007459B2" w:rsidP="00245E18">
      <w:pPr>
        <w:autoSpaceDE/>
        <w:autoSpaceDN/>
        <w:adjustRightInd/>
        <w:spacing w:after="120"/>
        <w:jc w:val="center"/>
        <w:outlineLvl w:val="1"/>
        <w:rPr>
          <w:rFonts w:cs="Arial"/>
          <w:b/>
          <w:bCs/>
          <w:iCs/>
          <w:color w:val="000000"/>
          <w:sz w:val="22"/>
          <w:szCs w:val="22"/>
        </w:rPr>
      </w:pPr>
      <w:r>
        <w:rPr>
          <w:b/>
          <w:color w:val="000000"/>
          <w:sz w:val="22"/>
        </w:rPr>
        <w:t xml:space="preserve">HIPÓTESIS 3 </w:t>
      </w:r>
    </w:p>
    <w:p w:rsidR="007459B2" w:rsidRPr="002244F9" w:rsidRDefault="007459B2" w:rsidP="00245E18">
      <w:pPr>
        <w:autoSpaceDE/>
        <w:autoSpaceDN/>
        <w:adjustRightInd/>
        <w:spacing w:after="120"/>
        <w:jc w:val="center"/>
        <w:outlineLvl w:val="1"/>
        <w:rPr>
          <w:rFonts w:cs="Arial"/>
          <w:szCs w:val="18"/>
        </w:rPr>
      </w:pPr>
      <w:r>
        <w:rPr>
          <w:color w:val="000000"/>
        </w:rPr>
        <w:t>(Todas las cifras en euros)</w:t>
      </w:r>
    </w:p>
    <w:tbl>
      <w:tblPr>
        <w:tblW w:w="9454" w:type="dxa"/>
        <w:jc w:val="center"/>
        <w:tblLook w:val="00A0" w:firstRow="1" w:lastRow="0" w:firstColumn="1" w:lastColumn="0" w:noHBand="0" w:noVBand="0"/>
      </w:tblPr>
      <w:tblGrid>
        <w:gridCol w:w="6140"/>
        <w:gridCol w:w="1017"/>
        <w:gridCol w:w="1017"/>
        <w:gridCol w:w="1017"/>
        <w:gridCol w:w="1017"/>
      </w:tblGrid>
      <w:tr w:rsidR="007459B2" w:rsidRPr="002244F9" w:rsidTr="000B4A25">
        <w:trPr>
          <w:trHeight w:val="524"/>
          <w:jc w:val="center"/>
        </w:trPr>
        <w:tc>
          <w:tcPr>
            <w:tcW w:w="0" w:type="auto"/>
            <w:tcBorders>
              <w:top w:val="single" w:sz="12" w:space="0" w:color="auto"/>
              <w:left w:val="nil"/>
              <w:bottom w:val="single" w:sz="12" w:space="0" w:color="auto"/>
              <w:right w:val="nil"/>
            </w:tcBorders>
            <w:noWrap/>
            <w:vAlign w:val="center"/>
          </w:tcPr>
          <w:p w:rsidR="007459B2" w:rsidRPr="002244F9" w:rsidRDefault="007459B2" w:rsidP="00245E18">
            <w:pPr>
              <w:widowControl/>
              <w:autoSpaceDE/>
              <w:autoSpaceDN/>
              <w:adjustRightInd/>
              <w:rPr>
                <w:rFonts w:cs="Arial"/>
                <w:b/>
                <w:bCs/>
                <w:i/>
                <w:iCs/>
                <w:szCs w:val="18"/>
              </w:rPr>
            </w:pPr>
            <w:r>
              <w:rPr>
                <w:b/>
                <w:i/>
              </w:rPr>
              <w:t xml:space="preserve">Partida de gastos  </w:t>
            </w:r>
          </w:p>
        </w:tc>
        <w:tc>
          <w:tcPr>
            <w:tcW w:w="0" w:type="auto"/>
            <w:tcBorders>
              <w:top w:val="single" w:sz="12" w:space="0" w:color="auto"/>
              <w:left w:val="nil"/>
              <w:bottom w:val="single" w:sz="12" w:space="0" w:color="auto"/>
              <w:right w:val="nil"/>
            </w:tcBorders>
            <w:noWrap/>
            <w:vAlign w:val="center"/>
          </w:tcPr>
          <w:p w:rsidR="007459B2" w:rsidRPr="002244F9" w:rsidRDefault="007459B2" w:rsidP="00245E18">
            <w:pPr>
              <w:widowControl/>
              <w:autoSpaceDE/>
              <w:autoSpaceDN/>
              <w:adjustRightInd/>
              <w:jc w:val="right"/>
              <w:rPr>
                <w:rFonts w:cs="Arial"/>
                <w:b/>
                <w:bCs/>
                <w:i/>
                <w:iCs/>
                <w:szCs w:val="18"/>
              </w:rPr>
            </w:pPr>
            <w:r>
              <w:rPr>
                <w:b/>
                <w:i/>
              </w:rPr>
              <w:t>2018</w:t>
            </w:r>
          </w:p>
        </w:tc>
        <w:tc>
          <w:tcPr>
            <w:tcW w:w="0" w:type="auto"/>
            <w:tcBorders>
              <w:top w:val="single" w:sz="12" w:space="0" w:color="auto"/>
              <w:left w:val="nil"/>
              <w:bottom w:val="single" w:sz="12" w:space="0" w:color="auto"/>
              <w:right w:val="nil"/>
            </w:tcBorders>
            <w:noWrap/>
            <w:vAlign w:val="center"/>
          </w:tcPr>
          <w:p w:rsidR="007459B2" w:rsidRPr="002244F9" w:rsidRDefault="007459B2" w:rsidP="00245E18">
            <w:pPr>
              <w:widowControl/>
              <w:autoSpaceDE/>
              <w:autoSpaceDN/>
              <w:adjustRightInd/>
              <w:jc w:val="right"/>
              <w:rPr>
                <w:rFonts w:cs="Arial"/>
                <w:b/>
                <w:bCs/>
                <w:i/>
                <w:iCs/>
                <w:szCs w:val="18"/>
              </w:rPr>
            </w:pPr>
            <w:r>
              <w:rPr>
                <w:b/>
                <w:i/>
              </w:rPr>
              <w:t>2019</w:t>
            </w:r>
          </w:p>
        </w:tc>
        <w:tc>
          <w:tcPr>
            <w:tcW w:w="0" w:type="auto"/>
            <w:tcBorders>
              <w:top w:val="single" w:sz="12" w:space="0" w:color="auto"/>
              <w:left w:val="nil"/>
              <w:bottom w:val="single" w:sz="12" w:space="0" w:color="auto"/>
              <w:right w:val="nil"/>
            </w:tcBorders>
            <w:noWrap/>
            <w:vAlign w:val="center"/>
          </w:tcPr>
          <w:p w:rsidR="007459B2" w:rsidRPr="002244F9" w:rsidRDefault="007459B2" w:rsidP="00245E18">
            <w:pPr>
              <w:widowControl/>
              <w:autoSpaceDE/>
              <w:autoSpaceDN/>
              <w:adjustRightInd/>
              <w:jc w:val="right"/>
              <w:rPr>
                <w:rFonts w:cs="Arial"/>
                <w:b/>
                <w:bCs/>
                <w:i/>
                <w:iCs/>
                <w:szCs w:val="18"/>
              </w:rPr>
            </w:pPr>
            <w:r>
              <w:rPr>
                <w:b/>
                <w:i/>
              </w:rPr>
              <w:t>2020</w:t>
            </w:r>
          </w:p>
        </w:tc>
        <w:tc>
          <w:tcPr>
            <w:tcW w:w="0" w:type="auto"/>
            <w:tcBorders>
              <w:top w:val="single" w:sz="12" w:space="0" w:color="auto"/>
              <w:left w:val="nil"/>
              <w:bottom w:val="single" w:sz="12" w:space="0" w:color="auto"/>
              <w:right w:val="nil"/>
            </w:tcBorders>
            <w:noWrap/>
            <w:vAlign w:val="center"/>
          </w:tcPr>
          <w:p w:rsidR="007459B2" w:rsidRPr="002244F9" w:rsidRDefault="007459B2" w:rsidP="00245E18">
            <w:pPr>
              <w:widowControl/>
              <w:autoSpaceDE/>
              <w:autoSpaceDN/>
              <w:adjustRightInd/>
              <w:jc w:val="right"/>
              <w:rPr>
                <w:rFonts w:cs="Arial"/>
                <w:b/>
                <w:bCs/>
                <w:i/>
                <w:iCs/>
                <w:szCs w:val="18"/>
              </w:rPr>
            </w:pPr>
            <w:r>
              <w:rPr>
                <w:b/>
                <w:i/>
              </w:rPr>
              <w:t>Total</w:t>
            </w:r>
          </w:p>
        </w:tc>
      </w:tr>
      <w:tr w:rsidR="007459B2" w:rsidRPr="002244F9" w:rsidTr="000B4A25">
        <w:trPr>
          <w:trHeight w:val="316"/>
          <w:jc w:val="center"/>
        </w:trPr>
        <w:tc>
          <w:tcPr>
            <w:tcW w:w="0" w:type="auto"/>
            <w:tcBorders>
              <w:top w:val="single" w:sz="12" w:space="0" w:color="auto"/>
              <w:left w:val="nil"/>
              <w:bottom w:val="nil"/>
              <w:right w:val="nil"/>
            </w:tcBorders>
            <w:noWrap/>
          </w:tcPr>
          <w:p w:rsidR="007459B2" w:rsidRPr="002244F9" w:rsidRDefault="007459B2" w:rsidP="00245E18">
            <w:pPr>
              <w:widowControl/>
              <w:autoSpaceDE/>
              <w:autoSpaceDN/>
              <w:adjustRightInd/>
              <w:rPr>
                <w:rFonts w:cs="Arial"/>
                <w:b/>
                <w:bCs/>
                <w:szCs w:val="18"/>
              </w:rPr>
            </w:pPr>
            <w:r>
              <w:rPr>
                <w:b/>
              </w:rPr>
              <w:t>Gastos de personal</w:t>
            </w:r>
          </w:p>
        </w:tc>
        <w:tc>
          <w:tcPr>
            <w:tcW w:w="0" w:type="auto"/>
            <w:tcBorders>
              <w:top w:val="single" w:sz="12" w:space="0" w:color="auto"/>
              <w:left w:val="nil"/>
              <w:bottom w:val="nil"/>
              <w:right w:val="nil"/>
            </w:tcBorders>
            <w:noWrap/>
          </w:tcPr>
          <w:p w:rsidR="007459B2" w:rsidRPr="002244F9" w:rsidRDefault="007459B2" w:rsidP="00245E18">
            <w:pPr>
              <w:widowControl/>
              <w:autoSpaceDE/>
              <w:autoSpaceDN/>
              <w:adjustRightInd/>
              <w:rPr>
                <w:rFonts w:cs="Arial"/>
                <w:b/>
                <w:bCs/>
                <w:szCs w:val="18"/>
              </w:rPr>
            </w:pPr>
          </w:p>
        </w:tc>
        <w:tc>
          <w:tcPr>
            <w:tcW w:w="0" w:type="auto"/>
            <w:tcBorders>
              <w:top w:val="single" w:sz="12" w:space="0" w:color="auto"/>
              <w:left w:val="nil"/>
              <w:bottom w:val="nil"/>
              <w:right w:val="nil"/>
            </w:tcBorders>
            <w:noWrap/>
          </w:tcPr>
          <w:p w:rsidR="007459B2" w:rsidRPr="002244F9" w:rsidRDefault="007459B2" w:rsidP="00245E18">
            <w:pPr>
              <w:widowControl/>
              <w:autoSpaceDE/>
              <w:autoSpaceDN/>
              <w:adjustRightInd/>
              <w:rPr>
                <w:rFonts w:cs="Arial"/>
                <w:szCs w:val="18"/>
              </w:rPr>
            </w:pPr>
          </w:p>
        </w:tc>
        <w:tc>
          <w:tcPr>
            <w:tcW w:w="0" w:type="auto"/>
            <w:tcBorders>
              <w:top w:val="single" w:sz="12" w:space="0" w:color="auto"/>
              <w:left w:val="nil"/>
              <w:bottom w:val="nil"/>
              <w:right w:val="nil"/>
            </w:tcBorders>
            <w:noWrap/>
          </w:tcPr>
          <w:p w:rsidR="007459B2" w:rsidRPr="002244F9" w:rsidRDefault="007459B2" w:rsidP="00245E18">
            <w:pPr>
              <w:widowControl/>
              <w:autoSpaceDE/>
              <w:autoSpaceDN/>
              <w:adjustRightInd/>
              <w:rPr>
                <w:rFonts w:cs="Arial"/>
                <w:szCs w:val="18"/>
              </w:rPr>
            </w:pPr>
          </w:p>
        </w:tc>
        <w:tc>
          <w:tcPr>
            <w:tcW w:w="0" w:type="auto"/>
            <w:tcBorders>
              <w:top w:val="single" w:sz="12" w:space="0" w:color="auto"/>
              <w:left w:val="nil"/>
              <w:bottom w:val="nil"/>
              <w:right w:val="nil"/>
            </w:tcBorders>
            <w:noWrap/>
          </w:tcPr>
          <w:p w:rsidR="007459B2" w:rsidRPr="002244F9" w:rsidRDefault="007459B2" w:rsidP="00245E18">
            <w:pPr>
              <w:widowControl/>
              <w:autoSpaceDE/>
              <w:autoSpaceDN/>
              <w:adjustRightInd/>
              <w:rPr>
                <w:rFonts w:cs="Arial"/>
                <w:szCs w:val="18"/>
              </w:rPr>
            </w:pPr>
          </w:p>
        </w:tc>
      </w:tr>
      <w:tr w:rsidR="007459B2" w:rsidRPr="002244F9" w:rsidTr="000B4A25">
        <w:trPr>
          <w:trHeight w:val="316"/>
          <w:jc w:val="center"/>
        </w:trPr>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color w:val="FF0000"/>
                <w:szCs w:val="18"/>
              </w:rPr>
            </w:pPr>
            <w:r>
              <w:rPr>
                <w:color w:val="FF0000"/>
              </w:rPr>
              <w:t xml:space="preserve">Personal profesional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color w:val="FF0000"/>
                <w:szCs w:val="18"/>
              </w:rPr>
            </w:pPr>
            <w:r>
              <w:rPr>
                <w:color w:val="FF0000"/>
              </w:rPr>
              <w:t xml:space="preserve">1 437 059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color w:val="FF0000"/>
                <w:szCs w:val="18"/>
              </w:rPr>
            </w:pPr>
            <w:r>
              <w:rPr>
                <w:color w:val="FF0000"/>
              </w:rPr>
              <w:t xml:space="preserve">1 465 800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color w:val="FF0000"/>
                <w:szCs w:val="18"/>
              </w:rPr>
            </w:pPr>
            <w:r>
              <w:rPr>
                <w:color w:val="FF0000"/>
              </w:rPr>
              <w:t xml:space="preserve">1 495 116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color w:val="FF0000"/>
                <w:szCs w:val="18"/>
              </w:rPr>
            </w:pPr>
            <w:r>
              <w:rPr>
                <w:color w:val="FF0000"/>
              </w:rPr>
              <w:t xml:space="preserve">4 397 976 </w:t>
            </w:r>
          </w:p>
        </w:tc>
      </w:tr>
      <w:tr w:rsidR="007459B2" w:rsidRPr="002244F9" w:rsidTr="000B4A25">
        <w:trPr>
          <w:trHeight w:val="316"/>
          <w:jc w:val="center"/>
        </w:trPr>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r>
              <w:t>Personal de apoyo general</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472 732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482 186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491 830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1 446 747 </w:t>
            </w:r>
          </w:p>
        </w:tc>
      </w:tr>
      <w:tr w:rsidR="007459B2" w:rsidRPr="002244F9" w:rsidTr="000B4A25">
        <w:trPr>
          <w:trHeight w:val="316"/>
          <w:jc w:val="center"/>
        </w:trPr>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color w:val="FF0000"/>
                <w:szCs w:val="18"/>
              </w:rPr>
            </w:pPr>
            <w:r>
              <w:rPr>
                <w:color w:val="FF0000"/>
              </w:rPr>
              <w:t>Consultor - Análisis de informes nacionales</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color w:val="FF0000"/>
                <w:szCs w:val="18"/>
              </w:rPr>
            </w:pPr>
            <w:r>
              <w:rPr>
                <w:color w:val="FF0000"/>
              </w:rPr>
              <w:t xml:space="preserve">0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color w:val="FF0000"/>
                <w:szCs w:val="18"/>
              </w:rPr>
            </w:pPr>
            <w:r>
              <w:rPr>
                <w:color w:val="FF0000"/>
              </w:rPr>
              <w:t xml:space="preserve">0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color w:val="FF0000"/>
                <w:szCs w:val="18"/>
              </w:rPr>
            </w:pPr>
            <w:r>
              <w:rPr>
                <w:color w:val="FF0000"/>
              </w:rPr>
              <w:t xml:space="preserve">25 000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color w:val="FF0000"/>
                <w:szCs w:val="18"/>
              </w:rPr>
            </w:pPr>
            <w:r>
              <w:rPr>
                <w:color w:val="FF0000"/>
              </w:rPr>
              <w:t xml:space="preserve">25 000 </w:t>
            </w:r>
          </w:p>
        </w:tc>
      </w:tr>
      <w:tr w:rsidR="007459B2" w:rsidRPr="002244F9" w:rsidTr="000B4A25">
        <w:trPr>
          <w:trHeight w:val="316"/>
          <w:jc w:val="center"/>
        </w:trPr>
        <w:tc>
          <w:tcPr>
            <w:tcW w:w="0" w:type="auto"/>
            <w:tcBorders>
              <w:top w:val="single" w:sz="4" w:space="0" w:color="auto"/>
              <w:left w:val="nil"/>
              <w:bottom w:val="single" w:sz="4" w:space="0" w:color="auto"/>
              <w:right w:val="nil"/>
            </w:tcBorders>
            <w:noWrap/>
          </w:tcPr>
          <w:p w:rsidR="007459B2" w:rsidRPr="002244F9" w:rsidRDefault="007459B2" w:rsidP="00245E18">
            <w:pPr>
              <w:widowControl/>
              <w:autoSpaceDE/>
              <w:autoSpaceDN/>
              <w:adjustRightInd/>
              <w:rPr>
                <w:rFonts w:cs="Arial"/>
                <w:b/>
                <w:bCs/>
                <w:szCs w:val="18"/>
              </w:rPr>
            </w:pPr>
            <w:proofErr w:type="gramStart"/>
            <w:r>
              <w:rPr>
                <w:b/>
              </w:rPr>
              <w:t>Total</w:t>
            </w:r>
            <w:proofErr w:type="gramEnd"/>
            <w:r>
              <w:rPr>
                <w:b/>
              </w:rPr>
              <w:t xml:space="preserve"> parcial</w:t>
            </w:r>
          </w:p>
        </w:tc>
        <w:tc>
          <w:tcPr>
            <w:tcW w:w="0" w:type="auto"/>
            <w:tcBorders>
              <w:top w:val="single" w:sz="4" w:space="0" w:color="auto"/>
              <w:left w:val="nil"/>
              <w:bottom w:val="single" w:sz="4"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1 909 791 </w:t>
            </w:r>
          </w:p>
        </w:tc>
        <w:tc>
          <w:tcPr>
            <w:tcW w:w="0" w:type="auto"/>
            <w:tcBorders>
              <w:top w:val="single" w:sz="4" w:space="0" w:color="auto"/>
              <w:left w:val="nil"/>
              <w:bottom w:val="single" w:sz="4"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1 947 986 </w:t>
            </w:r>
          </w:p>
        </w:tc>
        <w:tc>
          <w:tcPr>
            <w:tcW w:w="0" w:type="auto"/>
            <w:tcBorders>
              <w:top w:val="single" w:sz="4" w:space="0" w:color="auto"/>
              <w:left w:val="nil"/>
              <w:bottom w:val="single" w:sz="4"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2 011 946 </w:t>
            </w:r>
          </w:p>
        </w:tc>
        <w:tc>
          <w:tcPr>
            <w:tcW w:w="0" w:type="auto"/>
            <w:tcBorders>
              <w:top w:val="single" w:sz="4" w:space="0" w:color="auto"/>
              <w:left w:val="nil"/>
              <w:bottom w:val="single" w:sz="4"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5 869 723 </w:t>
            </w:r>
          </w:p>
        </w:tc>
      </w:tr>
      <w:tr w:rsidR="007459B2" w:rsidRPr="002244F9" w:rsidTr="000B4A25">
        <w:trPr>
          <w:trHeight w:val="316"/>
          <w:jc w:val="center"/>
        </w:trPr>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b/>
                <w:bCs/>
                <w:szCs w:val="18"/>
              </w:rPr>
            </w:pPr>
            <w:r>
              <w:rPr>
                <w:b/>
              </w:rPr>
              <w:t>Servicios contractuales</w:t>
            </w:r>
          </w:p>
        </w:tc>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b/>
                <w:bCs/>
                <w:szCs w:val="18"/>
              </w:rPr>
            </w:pPr>
          </w:p>
        </w:tc>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p>
        </w:tc>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p>
        </w:tc>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p>
        </w:tc>
      </w:tr>
      <w:tr w:rsidR="007459B2" w:rsidRPr="002244F9" w:rsidTr="000B4A25">
        <w:trPr>
          <w:trHeight w:val="316"/>
          <w:jc w:val="center"/>
        </w:trPr>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r>
              <w:t>Servicios contractuales (traducciones generales y edición de documentos)</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90 168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91 971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93 811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275 950 </w:t>
            </w:r>
          </w:p>
        </w:tc>
      </w:tr>
      <w:tr w:rsidR="007459B2" w:rsidRPr="002244F9" w:rsidTr="000B4A25">
        <w:trPr>
          <w:trHeight w:val="316"/>
          <w:jc w:val="center"/>
        </w:trPr>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r>
              <w:t>Servicios a la COP13 (interpretación, redacción de informes, etc.)</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0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0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307 073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307 073 </w:t>
            </w:r>
          </w:p>
        </w:tc>
      </w:tr>
      <w:tr w:rsidR="007459B2" w:rsidRPr="002244F9" w:rsidTr="000B4A25">
        <w:trPr>
          <w:trHeight w:val="316"/>
          <w:jc w:val="center"/>
        </w:trPr>
        <w:tc>
          <w:tcPr>
            <w:tcW w:w="0" w:type="auto"/>
            <w:tcBorders>
              <w:top w:val="nil"/>
              <w:left w:val="nil"/>
              <w:bottom w:val="nil"/>
              <w:right w:val="nil"/>
            </w:tcBorders>
          </w:tcPr>
          <w:p w:rsidR="007459B2" w:rsidRPr="002244F9" w:rsidRDefault="007459B2" w:rsidP="00245E18">
            <w:pPr>
              <w:widowControl/>
              <w:autoSpaceDE/>
              <w:autoSpaceDN/>
              <w:adjustRightInd/>
              <w:rPr>
                <w:rFonts w:cs="Arial"/>
                <w:szCs w:val="18"/>
              </w:rPr>
            </w:pPr>
            <w:r>
              <w:t>Producción de materiales de información</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12 750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13 005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13 265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39 020 </w:t>
            </w:r>
          </w:p>
        </w:tc>
      </w:tr>
      <w:tr w:rsidR="007459B2" w:rsidRPr="002244F9" w:rsidTr="000B4A25">
        <w:trPr>
          <w:trHeight w:val="316"/>
          <w:jc w:val="center"/>
        </w:trPr>
        <w:tc>
          <w:tcPr>
            <w:tcW w:w="0" w:type="auto"/>
            <w:tcBorders>
              <w:top w:val="single" w:sz="4" w:space="0" w:color="auto"/>
              <w:left w:val="nil"/>
              <w:bottom w:val="single" w:sz="4" w:space="0" w:color="auto"/>
              <w:right w:val="nil"/>
            </w:tcBorders>
            <w:noWrap/>
          </w:tcPr>
          <w:p w:rsidR="007459B2" w:rsidRPr="002244F9" w:rsidRDefault="007459B2" w:rsidP="00245E18">
            <w:pPr>
              <w:widowControl/>
              <w:autoSpaceDE/>
              <w:autoSpaceDN/>
              <w:adjustRightInd/>
              <w:rPr>
                <w:rFonts w:cs="Arial"/>
                <w:b/>
                <w:bCs/>
                <w:szCs w:val="18"/>
              </w:rPr>
            </w:pPr>
            <w:proofErr w:type="gramStart"/>
            <w:r>
              <w:rPr>
                <w:b/>
              </w:rPr>
              <w:t>Total</w:t>
            </w:r>
            <w:proofErr w:type="gramEnd"/>
            <w:r>
              <w:rPr>
                <w:b/>
              </w:rPr>
              <w:t xml:space="preserve"> parcial</w:t>
            </w:r>
          </w:p>
        </w:tc>
        <w:tc>
          <w:tcPr>
            <w:tcW w:w="0" w:type="auto"/>
            <w:tcBorders>
              <w:top w:val="single" w:sz="4" w:space="0" w:color="auto"/>
              <w:left w:val="nil"/>
              <w:bottom w:val="single" w:sz="4"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102 918 </w:t>
            </w:r>
          </w:p>
        </w:tc>
        <w:tc>
          <w:tcPr>
            <w:tcW w:w="0" w:type="auto"/>
            <w:tcBorders>
              <w:top w:val="single" w:sz="4" w:space="0" w:color="auto"/>
              <w:left w:val="nil"/>
              <w:bottom w:val="single" w:sz="4"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104 976 </w:t>
            </w:r>
          </w:p>
        </w:tc>
        <w:tc>
          <w:tcPr>
            <w:tcW w:w="0" w:type="auto"/>
            <w:tcBorders>
              <w:top w:val="single" w:sz="4" w:space="0" w:color="auto"/>
              <w:left w:val="nil"/>
              <w:bottom w:val="single" w:sz="4"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414 149 </w:t>
            </w:r>
          </w:p>
        </w:tc>
        <w:tc>
          <w:tcPr>
            <w:tcW w:w="0" w:type="auto"/>
            <w:tcBorders>
              <w:top w:val="single" w:sz="4" w:space="0" w:color="auto"/>
              <w:left w:val="nil"/>
              <w:bottom w:val="single" w:sz="4"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622 043 </w:t>
            </w:r>
          </w:p>
        </w:tc>
      </w:tr>
      <w:tr w:rsidR="007459B2" w:rsidRPr="002244F9" w:rsidTr="000B4A25">
        <w:trPr>
          <w:trHeight w:val="316"/>
          <w:jc w:val="center"/>
        </w:trPr>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b/>
                <w:bCs/>
                <w:szCs w:val="18"/>
              </w:rPr>
            </w:pPr>
            <w:r>
              <w:rPr>
                <w:b/>
              </w:rPr>
              <w:t>Gastos de funcionamiento</w:t>
            </w:r>
          </w:p>
        </w:tc>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b/>
                <w:bCs/>
                <w:szCs w:val="18"/>
              </w:rPr>
            </w:pPr>
          </w:p>
        </w:tc>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p>
        </w:tc>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p>
        </w:tc>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p>
        </w:tc>
      </w:tr>
      <w:tr w:rsidR="007459B2" w:rsidRPr="002244F9" w:rsidTr="000B4A25">
        <w:trPr>
          <w:trHeight w:val="316"/>
          <w:jc w:val="center"/>
        </w:trPr>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r>
              <w:t>Instrumentos de TIC, elaboración y gestión del sitio web</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6 630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6 763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6 898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20 290 </w:t>
            </w:r>
          </w:p>
        </w:tc>
      </w:tr>
      <w:tr w:rsidR="007459B2" w:rsidRPr="002244F9" w:rsidTr="000B4A25">
        <w:trPr>
          <w:trHeight w:val="316"/>
          <w:jc w:val="center"/>
        </w:trPr>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r>
              <w:t>Formación del personal (capacitación, retiros)</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10 200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10 404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10 612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31 216 </w:t>
            </w:r>
          </w:p>
        </w:tc>
      </w:tr>
      <w:tr w:rsidR="007459B2" w:rsidRPr="002244F9" w:rsidTr="000B4A25">
        <w:trPr>
          <w:trHeight w:val="316"/>
          <w:jc w:val="center"/>
        </w:trPr>
        <w:tc>
          <w:tcPr>
            <w:tcW w:w="0" w:type="auto"/>
            <w:tcBorders>
              <w:top w:val="nil"/>
              <w:left w:val="nil"/>
              <w:bottom w:val="nil"/>
              <w:right w:val="nil"/>
            </w:tcBorders>
          </w:tcPr>
          <w:p w:rsidR="007459B2" w:rsidRPr="002244F9" w:rsidRDefault="007459B2" w:rsidP="00245E18">
            <w:pPr>
              <w:widowControl/>
              <w:autoSpaceDE/>
              <w:autoSpaceDN/>
              <w:adjustRightInd/>
              <w:rPr>
                <w:rFonts w:cs="Arial"/>
                <w:szCs w:val="18"/>
              </w:rPr>
            </w:pPr>
            <w:r>
              <w:t>Servicios de tecnología de la información (UNV)</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71 400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72 828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74 285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218 513 </w:t>
            </w:r>
          </w:p>
        </w:tc>
      </w:tr>
      <w:tr w:rsidR="007459B2" w:rsidRPr="002244F9" w:rsidTr="000B4A25">
        <w:trPr>
          <w:trHeight w:val="316"/>
          <w:jc w:val="center"/>
        </w:trPr>
        <w:tc>
          <w:tcPr>
            <w:tcW w:w="0" w:type="auto"/>
            <w:tcBorders>
              <w:top w:val="nil"/>
              <w:left w:val="nil"/>
              <w:bottom w:val="nil"/>
              <w:right w:val="nil"/>
            </w:tcBorders>
          </w:tcPr>
          <w:p w:rsidR="007459B2" w:rsidRPr="002244F9" w:rsidRDefault="007459B2" w:rsidP="00245E18">
            <w:pPr>
              <w:widowControl/>
              <w:autoSpaceDE/>
              <w:autoSpaceDN/>
              <w:adjustRightInd/>
              <w:rPr>
                <w:rFonts w:cs="Arial"/>
                <w:szCs w:val="18"/>
              </w:rPr>
            </w:pPr>
            <w:r>
              <w:t>Servicios de automatización de oficinas (alojamiento de impresoras alquiladas, etc.)</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10 200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10 404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10 612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31 216 </w:t>
            </w:r>
          </w:p>
        </w:tc>
      </w:tr>
      <w:tr w:rsidR="007459B2" w:rsidRPr="002244F9" w:rsidTr="000B4A25">
        <w:trPr>
          <w:trHeight w:val="316"/>
          <w:jc w:val="center"/>
        </w:trPr>
        <w:tc>
          <w:tcPr>
            <w:tcW w:w="0" w:type="auto"/>
            <w:tcBorders>
              <w:top w:val="nil"/>
              <w:left w:val="nil"/>
              <w:bottom w:val="nil"/>
              <w:right w:val="nil"/>
            </w:tcBorders>
          </w:tcPr>
          <w:p w:rsidR="007459B2" w:rsidRPr="002244F9" w:rsidRDefault="007459B2" w:rsidP="00245E18">
            <w:pPr>
              <w:widowControl/>
              <w:autoSpaceDE/>
              <w:autoSpaceDN/>
              <w:adjustRightInd/>
              <w:rPr>
                <w:rFonts w:cs="Arial"/>
                <w:szCs w:val="18"/>
              </w:rPr>
            </w:pPr>
            <w:r>
              <w:t>Servicios de comunicación y de mensajería</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17 850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18 207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18 571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54 628 </w:t>
            </w:r>
          </w:p>
        </w:tc>
      </w:tr>
      <w:tr w:rsidR="007459B2" w:rsidRPr="002244F9" w:rsidTr="000B4A25">
        <w:trPr>
          <w:trHeight w:val="316"/>
          <w:jc w:val="center"/>
        </w:trPr>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r>
              <w:t>Varios</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3 813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3 889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3 967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11 669 </w:t>
            </w:r>
          </w:p>
        </w:tc>
      </w:tr>
      <w:tr w:rsidR="007459B2" w:rsidRPr="002244F9" w:rsidTr="000B4A25">
        <w:trPr>
          <w:trHeight w:val="316"/>
          <w:jc w:val="center"/>
        </w:trPr>
        <w:tc>
          <w:tcPr>
            <w:tcW w:w="0" w:type="auto"/>
            <w:tcBorders>
              <w:top w:val="single" w:sz="4" w:space="0" w:color="auto"/>
              <w:left w:val="nil"/>
              <w:bottom w:val="single" w:sz="4" w:space="0" w:color="auto"/>
              <w:right w:val="nil"/>
            </w:tcBorders>
            <w:noWrap/>
          </w:tcPr>
          <w:p w:rsidR="007459B2" w:rsidRPr="002244F9" w:rsidRDefault="007459B2" w:rsidP="00245E18">
            <w:pPr>
              <w:widowControl/>
              <w:autoSpaceDE/>
              <w:autoSpaceDN/>
              <w:adjustRightInd/>
              <w:rPr>
                <w:rFonts w:cs="Arial"/>
                <w:b/>
                <w:bCs/>
                <w:szCs w:val="18"/>
              </w:rPr>
            </w:pPr>
            <w:proofErr w:type="gramStart"/>
            <w:r>
              <w:rPr>
                <w:b/>
              </w:rPr>
              <w:t>Total</w:t>
            </w:r>
            <w:proofErr w:type="gramEnd"/>
            <w:r>
              <w:rPr>
                <w:b/>
              </w:rPr>
              <w:t xml:space="preserve"> parcial</w:t>
            </w:r>
          </w:p>
        </w:tc>
        <w:tc>
          <w:tcPr>
            <w:tcW w:w="0" w:type="auto"/>
            <w:tcBorders>
              <w:top w:val="single" w:sz="4" w:space="0" w:color="auto"/>
              <w:left w:val="nil"/>
              <w:bottom w:val="single" w:sz="4"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120 093 </w:t>
            </w:r>
          </w:p>
        </w:tc>
        <w:tc>
          <w:tcPr>
            <w:tcW w:w="0" w:type="auto"/>
            <w:tcBorders>
              <w:top w:val="single" w:sz="4" w:space="0" w:color="auto"/>
              <w:left w:val="nil"/>
              <w:bottom w:val="single" w:sz="4"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122 495 </w:t>
            </w:r>
          </w:p>
        </w:tc>
        <w:tc>
          <w:tcPr>
            <w:tcW w:w="0" w:type="auto"/>
            <w:tcBorders>
              <w:top w:val="single" w:sz="4" w:space="0" w:color="auto"/>
              <w:left w:val="nil"/>
              <w:bottom w:val="single" w:sz="4"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124 945 </w:t>
            </w:r>
          </w:p>
        </w:tc>
        <w:tc>
          <w:tcPr>
            <w:tcW w:w="0" w:type="auto"/>
            <w:tcBorders>
              <w:top w:val="single" w:sz="4" w:space="0" w:color="auto"/>
              <w:left w:val="nil"/>
              <w:bottom w:val="single" w:sz="4"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367 532 </w:t>
            </w:r>
          </w:p>
        </w:tc>
      </w:tr>
      <w:tr w:rsidR="007459B2" w:rsidRPr="002244F9" w:rsidTr="000B4A25">
        <w:trPr>
          <w:trHeight w:val="316"/>
          <w:jc w:val="center"/>
        </w:trPr>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b/>
                <w:bCs/>
                <w:szCs w:val="18"/>
              </w:rPr>
            </w:pPr>
            <w:r>
              <w:rPr>
                <w:b/>
              </w:rPr>
              <w:t>Suministros</w:t>
            </w:r>
          </w:p>
        </w:tc>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b/>
                <w:bCs/>
                <w:szCs w:val="18"/>
              </w:rPr>
            </w:pPr>
          </w:p>
        </w:tc>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p>
        </w:tc>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p>
        </w:tc>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p>
        </w:tc>
      </w:tr>
      <w:tr w:rsidR="007459B2" w:rsidRPr="002244F9" w:rsidTr="000B4A25">
        <w:trPr>
          <w:trHeight w:val="316"/>
          <w:jc w:val="center"/>
        </w:trPr>
        <w:tc>
          <w:tcPr>
            <w:tcW w:w="0" w:type="auto"/>
            <w:tcBorders>
              <w:top w:val="nil"/>
              <w:left w:val="nil"/>
              <w:bottom w:val="nil"/>
              <w:right w:val="nil"/>
            </w:tcBorders>
          </w:tcPr>
          <w:p w:rsidR="007459B2" w:rsidRPr="002244F9" w:rsidRDefault="007459B2" w:rsidP="00245E18">
            <w:pPr>
              <w:widowControl/>
              <w:autoSpaceDE/>
              <w:autoSpaceDN/>
              <w:adjustRightInd/>
              <w:rPr>
                <w:rFonts w:cs="Arial"/>
                <w:szCs w:val="18"/>
              </w:rPr>
            </w:pPr>
            <w:r>
              <w:t>Suministros de oficina</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5 916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6 034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6 155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18 105 </w:t>
            </w:r>
          </w:p>
        </w:tc>
      </w:tr>
      <w:tr w:rsidR="007459B2" w:rsidRPr="002244F9" w:rsidTr="000B4A25">
        <w:trPr>
          <w:trHeight w:val="316"/>
          <w:jc w:val="center"/>
        </w:trPr>
        <w:tc>
          <w:tcPr>
            <w:tcW w:w="0" w:type="auto"/>
            <w:tcBorders>
              <w:top w:val="single" w:sz="4" w:space="0" w:color="auto"/>
              <w:left w:val="nil"/>
              <w:bottom w:val="single" w:sz="4" w:space="0" w:color="auto"/>
              <w:right w:val="nil"/>
            </w:tcBorders>
          </w:tcPr>
          <w:p w:rsidR="007459B2" w:rsidRPr="002244F9" w:rsidRDefault="007459B2" w:rsidP="00245E18">
            <w:pPr>
              <w:widowControl/>
              <w:autoSpaceDE/>
              <w:autoSpaceDN/>
              <w:adjustRightInd/>
              <w:rPr>
                <w:rFonts w:cs="Arial"/>
                <w:b/>
                <w:bCs/>
                <w:szCs w:val="18"/>
              </w:rPr>
            </w:pPr>
            <w:proofErr w:type="gramStart"/>
            <w:r>
              <w:rPr>
                <w:b/>
              </w:rPr>
              <w:t>Total</w:t>
            </w:r>
            <w:proofErr w:type="gramEnd"/>
            <w:r>
              <w:rPr>
                <w:b/>
              </w:rPr>
              <w:t xml:space="preserve"> parcial</w:t>
            </w:r>
          </w:p>
        </w:tc>
        <w:tc>
          <w:tcPr>
            <w:tcW w:w="0" w:type="auto"/>
            <w:tcBorders>
              <w:top w:val="single" w:sz="4" w:space="0" w:color="auto"/>
              <w:left w:val="nil"/>
              <w:bottom w:val="single" w:sz="4"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5 916 </w:t>
            </w:r>
          </w:p>
        </w:tc>
        <w:tc>
          <w:tcPr>
            <w:tcW w:w="0" w:type="auto"/>
            <w:tcBorders>
              <w:top w:val="single" w:sz="4" w:space="0" w:color="auto"/>
              <w:left w:val="nil"/>
              <w:bottom w:val="single" w:sz="4"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6 034 </w:t>
            </w:r>
          </w:p>
        </w:tc>
        <w:tc>
          <w:tcPr>
            <w:tcW w:w="0" w:type="auto"/>
            <w:tcBorders>
              <w:top w:val="single" w:sz="4" w:space="0" w:color="auto"/>
              <w:left w:val="nil"/>
              <w:bottom w:val="single" w:sz="4"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6 155 </w:t>
            </w:r>
          </w:p>
        </w:tc>
        <w:tc>
          <w:tcPr>
            <w:tcW w:w="0" w:type="auto"/>
            <w:tcBorders>
              <w:top w:val="single" w:sz="4" w:space="0" w:color="auto"/>
              <w:left w:val="nil"/>
              <w:bottom w:val="single" w:sz="4"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18 105 </w:t>
            </w:r>
          </w:p>
        </w:tc>
      </w:tr>
      <w:tr w:rsidR="007459B2" w:rsidRPr="002244F9" w:rsidTr="000B4A25">
        <w:trPr>
          <w:trHeight w:val="316"/>
          <w:jc w:val="center"/>
        </w:trPr>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b/>
                <w:bCs/>
                <w:szCs w:val="18"/>
              </w:rPr>
            </w:pPr>
            <w:r>
              <w:rPr>
                <w:b/>
              </w:rPr>
              <w:t>Equipo</w:t>
            </w:r>
          </w:p>
        </w:tc>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b/>
                <w:bCs/>
                <w:szCs w:val="18"/>
              </w:rPr>
            </w:pPr>
          </w:p>
        </w:tc>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p>
        </w:tc>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p>
        </w:tc>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p>
        </w:tc>
      </w:tr>
      <w:tr w:rsidR="007459B2" w:rsidRPr="002244F9" w:rsidTr="000B4A25">
        <w:trPr>
          <w:trHeight w:val="316"/>
          <w:jc w:val="center"/>
        </w:trPr>
        <w:tc>
          <w:tcPr>
            <w:tcW w:w="0" w:type="auto"/>
            <w:tcBorders>
              <w:top w:val="nil"/>
              <w:left w:val="nil"/>
              <w:bottom w:val="nil"/>
              <w:right w:val="nil"/>
            </w:tcBorders>
          </w:tcPr>
          <w:p w:rsidR="007459B2" w:rsidRPr="002244F9" w:rsidRDefault="007459B2" w:rsidP="00245E18">
            <w:pPr>
              <w:widowControl/>
              <w:autoSpaceDE/>
              <w:autoSpaceDN/>
              <w:adjustRightInd/>
              <w:rPr>
                <w:rFonts w:cs="Arial"/>
                <w:szCs w:val="18"/>
              </w:rPr>
            </w:pPr>
            <w:r>
              <w:t>Equipo no fungible</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10 710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10 924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11 143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32 777 </w:t>
            </w:r>
          </w:p>
        </w:tc>
      </w:tr>
      <w:tr w:rsidR="007459B2" w:rsidRPr="002244F9" w:rsidTr="000B4A25">
        <w:trPr>
          <w:trHeight w:val="316"/>
          <w:jc w:val="center"/>
        </w:trPr>
        <w:tc>
          <w:tcPr>
            <w:tcW w:w="0" w:type="auto"/>
            <w:tcBorders>
              <w:top w:val="single" w:sz="4" w:space="0" w:color="auto"/>
              <w:left w:val="nil"/>
              <w:bottom w:val="single" w:sz="4" w:space="0" w:color="auto"/>
              <w:right w:val="nil"/>
            </w:tcBorders>
          </w:tcPr>
          <w:p w:rsidR="007459B2" w:rsidRPr="002244F9" w:rsidRDefault="007459B2" w:rsidP="00245E18">
            <w:pPr>
              <w:widowControl/>
              <w:autoSpaceDE/>
              <w:autoSpaceDN/>
              <w:adjustRightInd/>
              <w:rPr>
                <w:rFonts w:cs="Arial"/>
                <w:b/>
                <w:bCs/>
                <w:szCs w:val="18"/>
              </w:rPr>
            </w:pPr>
            <w:proofErr w:type="gramStart"/>
            <w:r>
              <w:rPr>
                <w:b/>
              </w:rPr>
              <w:t>Total</w:t>
            </w:r>
            <w:proofErr w:type="gramEnd"/>
            <w:r>
              <w:rPr>
                <w:b/>
              </w:rPr>
              <w:t xml:space="preserve"> parcial</w:t>
            </w:r>
          </w:p>
        </w:tc>
        <w:tc>
          <w:tcPr>
            <w:tcW w:w="0" w:type="auto"/>
            <w:tcBorders>
              <w:top w:val="single" w:sz="4" w:space="0" w:color="auto"/>
              <w:left w:val="nil"/>
              <w:bottom w:val="single" w:sz="4"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10 710 </w:t>
            </w:r>
          </w:p>
        </w:tc>
        <w:tc>
          <w:tcPr>
            <w:tcW w:w="0" w:type="auto"/>
            <w:tcBorders>
              <w:top w:val="single" w:sz="4" w:space="0" w:color="auto"/>
              <w:left w:val="nil"/>
              <w:bottom w:val="single" w:sz="4"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10 924 </w:t>
            </w:r>
          </w:p>
        </w:tc>
        <w:tc>
          <w:tcPr>
            <w:tcW w:w="0" w:type="auto"/>
            <w:tcBorders>
              <w:top w:val="single" w:sz="4" w:space="0" w:color="auto"/>
              <w:left w:val="nil"/>
              <w:bottom w:val="single" w:sz="4"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11 143 </w:t>
            </w:r>
          </w:p>
        </w:tc>
        <w:tc>
          <w:tcPr>
            <w:tcW w:w="0" w:type="auto"/>
            <w:tcBorders>
              <w:top w:val="single" w:sz="4" w:space="0" w:color="auto"/>
              <w:left w:val="nil"/>
              <w:bottom w:val="single" w:sz="4"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32 777 </w:t>
            </w:r>
          </w:p>
        </w:tc>
      </w:tr>
      <w:tr w:rsidR="007459B2" w:rsidRPr="002244F9" w:rsidTr="000B4A25">
        <w:trPr>
          <w:trHeight w:val="316"/>
          <w:jc w:val="center"/>
        </w:trPr>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b/>
                <w:bCs/>
                <w:szCs w:val="18"/>
              </w:rPr>
            </w:pPr>
            <w:r>
              <w:rPr>
                <w:b/>
              </w:rPr>
              <w:t xml:space="preserve">Viajes </w:t>
            </w:r>
          </w:p>
        </w:tc>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b/>
                <w:bCs/>
                <w:szCs w:val="18"/>
              </w:rPr>
            </w:pPr>
          </w:p>
        </w:tc>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p>
        </w:tc>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p>
        </w:tc>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p>
        </w:tc>
      </w:tr>
      <w:tr w:rsidR="007459B2" w:rsidRPr="002244F9" w:rsidTr="000B4A25">
        <w:trPr>
          <w:trHeight w:val="316"/>
          <w:jc w:val="center"/>
        </w:trPr>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r>
              <w:t>Viajes del personal</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64 974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66 273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67 599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198 846 </w:t>
            </w:r>
          </w:p>
        </w:tc>
      </w:tr>
      <w:tr w:rsidR="007459B2" w:rsidRPr="002244F9" w:rsidTr="000B4A25">
        <w:trPr>
          <w:trHeight w:val="316"/>
          <w:jc w:val="center"/>
        </w:trPr>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r>
              <w:t>Viajes del personal - COP13</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0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0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56 245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56 245 </w:t>
            </w:r>
          </w:p>
        </w:tc>
      </w:tr>
      <w:tr w:rsidR="007459B2" w:rsidRPr="002244F9" w:rsidTr="000B4A25">
        <w:trPr>
          <w:trHeight w:val="316"/>
          <w:jc w:val="center"/>
        </w:trPr>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r>
              <w:t>Reuniones del Comité Permanente</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22 965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23 425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0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46 390 </w:t>
            </w:r>
          </w:p>
        </w:tc>
      </w:tr>
      <w:tr w:rsidR="007459B2" w:rsidRPr="002244F9" w:rsidTr="000B4A25">
        <w:trPr>
          <w:trHeight w:val="316"/>
          <w:jc w:val="center"/>
        </w:trPr>
        <w:tc>
          <w:tcPr>
            <w:tcW w:w="0" w:type="auto"/>
            <w:tcBorders>
              <w:top w:val="nil"/>
              <w:left w:val="nil"/>
              <w:bottom w:val="nil"/>
              <w:right w:val="nil"/>
            </w:tcBorders>
            <w:noWrap/>
          </w:tcPr>
          <w:p w:rsidR="007459B2" w:rsidRPr="002244F9" w:rsidRDefault="007459B2" w:rsidP="00245E18">
            <w:pPr>
              <w:widowControl/>
              <w:autoSpaceDE/>
              <w:autoSpaceDN/>
              <w:adjustRightInd/>
              <w:rPr>
                <w:rFonts w:cs="Arial"/>
                <w:szCs w:val="18"/>
              </w:rPr>
            </w:pPr>
            <w:r>
              <w:t>Reuniones del Consejo Científico</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52 424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53 473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0 </w:t>
            </w:r>
          </w:p>
        </w:tc>
        <w:tc>
          <w:tcPr>
            <w:tcW w:w="0" w:type="auto"/>
            <w:tcBorders>
              <w:top w:val="nil"/>
              <w:left w:val="nil"/>
              <w:bottom w:val="nil"/>
              <w:right w:val="nil"/>
            </w:tcBorders>
            <w:noWrap/>
          </w:tcPr>
          <w:p w:rsidR="007459B2" w:rsidRPr="002244F9" w:rsidRDefault="007459B2" w:rsidP="00245E18">
            <w:pPr>
              <w:widowControl/>
              <w:autoSpaceDE/>
              <w:autoSpaceDN/>
              <w:adjustRightInd/>
              <w:jc w:val="right"/>
              <w:rPr>
                <w:rFonts w:cs="Arial"/>
                <w:szCs w:val="18"/>
              </w:rPr>
            </w:pPr>
            <w:r>
              <w:t xml:space="preserve">105 897 </w:t>
            </w:r>
          </w:p>
        </w:tc>
      </w:tr>
      <w:tr w:rsidR="007459B2" w:rsidRPr="002244F9" w:rsidTr="000B4A25">
        <w:trPr>
          <w:trHeight w:val="316"/>
          <w:jc w:val="center"/>
        </w:trPr>
        <w:tc>
          <w:tcPr>
            <w:tcW w:w="0" w:type="auto"/>
            <w:tcBorders>
              <w:top w:val="single" w:sz="4" w:space="0" w:color="auto"/>
              <w:left w:val="nil"/>
              <w:bottom w:val="single" w:sz="12" w:space="0" w:color="auto"/>
              <w:right w:val="nil"/>
            </w:tcBorders>
            <w:noWrap/>
          </w:tcPr>
          <w:p w:rsidR="007459B2" w:rsidRPr="002244F9" w:rsidRDefault="007459B2" w:rsidP="00245E18">
            <w:pPr>
              <w:widowControl/>
              <w:autoSpaceDE/>
              <w:autoSpaceDN/>
              <w:adjustRightInd/>
              <w:rPr>
                <w:rFonts w:cs="Arial"/>
                <w:b/>
                <w:bCs/>
                <w:szCs w:val="18"/>
              </w:rPr>
            </w:pPr>
            <w:proofErr w:type="gramStart"/>
            <w:r>
              <w:rPr>
                <w:b/>
              </w:rPr>
              <w:t>Total</w:t>
            </w:r>
            <w:proofErr w:type="gramEnd"/>
            <w:r>
              <w:rPr>
                <w:b/>
              </w:rPr>
              <w:t xml:space="preserve"> parcial</w:t>
            </w:r>
          </w:p>
        </w:tc>
        <w:tc>
          <w:tcPr>
            <w:tcW w:w="0" w:type="auto"/>
            <w:tcBorders>
              <w:top w:val="single" w:sz="4" w:space="0" w:color="auto"/>
              <w:left w:val="nil"/>
              <w:bottom w:val="single" w:sz="12"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140 364 </w:t>
            </w:r>
          </w:p>
        </w:tc>
        <w:tc>
          <w:tcPr>
            <w:tcW w:w="0" w:type="auto"/>
            <w:tcBorders>
              <w:top w:val="single" w:sz="4" w:space="0" w:color="auto"/>
              <w:left w:val="nil"/>
              <w:bottom w:val="single" w:sz="12"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143 171 </w:t>
            </w:r>
          </w:p>
        </w:tc>
        <w:tc>
          <w:tcPr>
            <w:tcW w:w="0" w:type="auto"/>
            <w:tcBorders>
              <w:top w:val="single" w:sz="4" w:space="0" w:color="auto"/>
              <w:left w:val="nil"/>
              <w:bottom w:val="single" w:sz="12"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123 844 </w:t>
            </w:r>
          </w:p>
        </w:tc>
        <w:tc>
          <w:tcPr>
            <w:tcW w:w="0" w:type="auto"/>
            <w:tcBorders>
              <w:top w:val="single" w:sz="4" w:space="0" w:color="auto"/>
              <w:left w:val="nil"/>
              <w:bottom w:val="single" w:sz="12"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407 378 </w:t>
            </w:r>
          </w:p>
        </w:tc>
      </w:tr>
      <w:tr w:rsidR="007459B2" w:rsidRPr="002244F9" w:rsidTr="000B4A25">
        <w:trPr>
          <w:trHeight w:val="316"/>
          <w:jc w:val="center"/>
        </w:trPr>
        <w:tc>
          <w:tcPr>
            <w:tcW w:w="0" w:type="auto"/>
            <w:tcBorders>
              <w:top w:val="single" w:sz="12" w:space="0" w:color="auto"/>
              <w:left w:val="nil"/>
              <w:bottom w:val="single" w:sz="4" w:space="0" w:color="auto"/>
              <w:right w:val="nil"/>
            </w:tcBorders>
            <w:noWrap/>
          </w:tcPr>
          <w:p w:rsidR="007459B2" w:rsidRPr="002244F9" w:rsidRDefault="007459B2" w:rsidP="00245E18">
            <w:pPr>
              <w:widowControl/>
              <w:autoSpaceDE/>
              <w:autoSpaceDN/>
              <w:adjustRightInd/>
              <w:rPr>
                <w:rFonts w:cs="Arial"/>
                <w:b/>
                <w:bCs/>
                <w:szCs w:val="18"/>
              </w:rPr>
            </w:pPr>
            <w:r>
              <w:rPr>
                <w:b/>
              </w:rPr>
              <w:t xml:space="preserve">Total </w:t>
            </w:r>
          </w:p>
        </w:tc>
        <w:tc>
          <w:tcPr>
            <w:tcW w:w="0" w:type="auto"/>
            <w:tcBorders>
              <w:top w:val="single" w:sz="12" w:space="0" w:color="auto"/>
              <w:left w:val="nil"/>
              <w:bottom w:val="single" w:sz="4"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2 289 791 </w:t>
            </w:r>
          </w:p>
        </w:tc>
        <w:tc>
          <w:tcPr>
            <w:tcW w:w="0" w:type="auto"/>
            <w:tcBorders>
              <w:top w:val="single" w:sz="12" w:space="0" w:color="auto"/>
              <w:left w:val="nil"/>
              <w:bottom w:val="single" w:sz="4"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2 335 587 </w:t>
            </w:r>
          </w:p>
        </w:tc>
        <w:tc>
          <w:tcPr>
            <w:tcW w:w="0" w:type="auto"/>
            <w:tcBorders>
              <w:top w:val="single" w:sz="12" w:space="0" w:color="auto"/>
              <w:left w:val="nil"/>
              <w:bottom w:val="single" w:sz="4"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2 692 181 </w:t>
            </w:r>
          </w:p>
        </w:tc>
        <w:tc>
          <w:tcPr>
            <w:tcW w:w="0" w:type="auto"/>
            <w:tcBorders>
              <w:top w:val="single" w:sz="12" w:space="0" w:color="auto"/>
              <w:left w:val="nil"/>
              <w:bottom w:val="single" w:sz="4"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7 317 559 </w:t>
            </w:r>
          </w:p>
        </w:tc>
      </w:tr>
      <w:tr w:rsidR="007459B2" w:rsidRPr="002244F9" w:rsidTr="000B4A25">
        <w:trPr>
          <w:trHeight w:val="316"/>
          <w:jc w:val="center"/>
        </w:trPr>
        <w:tc>
          <w:tcPr>
            <w:tcW w:w="0" w:type="auto"/>
            <w:tcBorders>
              <w:top w:val="nil"/>
              <w:left w:val="nil"/>
              <w:bottom w:val="single" w:sz="12" w:space="0" w:color="auto"/>
              <w:right w:val="nil"/>
            </w:tcBorders>
          </w:tcPr>
          <w:p w:rsidR="007459B2" w:rsidRPr="002244F9" w:rsidRDefault="007459B2" w:rsidP="00245E18">
            <w:pPr>
              <w:widowControl/>
              <w:autoSpaceDE/>
              <w:autoSpaceDN/>
              <w:adjustRightInd/>
              <w:rPr>
                <w:rFonts w:cs="Arial"/>
                <w:szCs w:val="18"/>
              </w:rPr>
            </w:pPr>
            <w:r>
              <w:t>Gastos de apoyo a los programas</w:t>
            </w:r>
          </w:p>
        </w:tc>
        <w:tc>
          <w:tcPr>
            <w:tcW w:w="0" w:type="auto"/>
            <w:tcBorders>
              <w:top w:val="nil"/>
              <w:left w:val="nil"/>
              <w:bottom w:val="single" w:sz="12" w:space="0" w:color="auto"/>
              <w:right w:val="nil"/>
            </w:tcBorders>
            <w:noWrap/>
          </w:tcPr>
          <w:p w:rsidR="007459B2" w:rsidRPr="002244F9" w:rsidRDefault="007459B2" w:rsidP="00245E18">
            <w:pPr>
              <w:widowControl/>
              <w:autoSpaceDE/>
              <w:autoSpaceDN/>
              <w:adjustRightInd/>
              <w:jc w:val="right"/>
              <w:rPr>
                <w:rFonts w:cs="Arial"/>
                <w:szCs w:val="18"/>
              </w:rPr>
            </w:pPr>
            <w:r>
              <w:t xml:space="preserve">297 673 </w:t>
            </w:r>
          </w:p>
        </w:tc>
        <w:tc>
          <w:tcPr>
            <w:tcW w:w="0" w:type="auto"/>
            <w:tcBorders>
              <w:top w:val="nil"/>
              <w:left w:val="nil"/>
              <w:bottom w:val="single" w:sz="12" w:space="0" w:color="auto"/>
              <w:right w:val="nil"/>
            </w:tcBorders>
            <w:noWrap/>
          </w:tcPr>
          <w:p w:rsidR="007459B2" w:rsidRPr="002244F9" w:rsidRDefault="007459B2" w:rsidP="00245E18">
            <w:pPr>
              <w:widowControl/>
              <w:autoSpaceDE/>
              <w:autoSpaceDN/>
              <w:adjustRightInd/>
              <w:jc w:val="right"/>
              <w:rPr>
                <w:rFonts w:cs="Arial"/>
                <w:szCs w:val="18"/>
              </w:rPr>
            </w:pPr>
            <w:r>
              <w:t xml:space="preserve">303 626 </w:t>
            </w:r>
          </w:p>
        </w:tc>
        <w:tc>
          <w:tcPr>
            <w:tcW w:w="0" w:type="auto"/>
            <w:tcBorders>
              <w:top w:val="nil"/>
              <w:left w:val="nil"/>
              <w:bottom w:val="single" w:sz="12" w:space="0" w:color="auto"/>
              <w:right w:val="nil"/>
            </w:tcBorders>
            <w:noWrap/>
          </w:tcPr>
          <w:p w:rsidR="007459B2" w:rsidRPr="002244F9" w:rsidRDefault="007459B2" w:rsidP="00245E18">
            <w:pPr>
              <w:widowControl/>
              <w:autoSpaceDE/>
              <w:autoSpaceDN/>
              <w:adjustRightInd/>
              <w:jc w:val="right"/>
              <w:rPr>
                <w:rFonts w:cs="Arial"/>
                <w:szCs w:val="18"/>
              </w:rPr>
            </w:pPr>
            <w:r>
              <w:t xml:space="preserve">349 984 </w:t>
            </w:r>
          </w:p>
        </w:tc>
        <w:tc>
          <w:tcPr>
            <w:tcW w:w="0" w:type="auto"/>
            <w:tcBorders>
              <w:top w:val="nil"/>
              <w:left w:val="nil"/>
              <w:bottom w:val="single" w:sz="12" w:space="0" w:color="auto"/>
              <w:right w:val="nil"/>
            </w:tcBorders>
            <w:noWrap/>
          </w:tcPr>
          <w:p w:rsidR="007459B2" w:rsidRPr="002244F9" w:rsidRDefault="007459B2" w:rsidP="00245E18">
            <w:pPr>
              <w:widowControl/>
              <w:autoSpaceDE/>
              <w:autoSpaceDN/>
              <w:adjustRightInd/>
              <w:jc w:val="right"/>
              <w:rPr>
                <w:rFonts w:cs="Arial"/>
                <w:szCs w:val="18"/>
              </w:rPr>
            </w:pPr>
            <w:r>
              <w:t xml:space="preserve">951 283 </w:t>
            </w:r>
          </w:p>
        </w:tc>
      </w:tr>
      <w:tr w:rsidR="007459B2" w:rsidRPr="002244F9" w:rsidTr="000B4A25">
        <w:trPr>
          <w:trHeight w:val="316"/>
          <w:jc w:val="center"/>
        </w:trPr>
        <w:tc>
          <w:tcPr>
            <w:tcW w:w="0" w:type="auto"/>
            <w:tcBorders>
              <w:top w:val="single" w:sz="12" w:space="0" w:color="auto"/>
              <w:left w:val="nil"/>
              <w:bottom w:val="single" w:sz="12" w:space="0" w:color="auto"/>
              <w:right w:val="nil"/>
            </w:tcBorders>
          </w:tcPr>
          <w:p w:rsidR="007459B2" w:rsidRPr="002244F9" w:rsidRDefault="007459B2" w:rsidP="00245E18">
            <w:pPr>
              <w:widowControl/>
              <w:autoSpaceDE/>
              <w:autoSpaceDN/>
              <w:adjustRightInd/>
              <w:rPr>
                <w:rFonts w:cs="Arial"/>
                <w:b/>
                <w:bCs/>
                <w:szCs w:val="18"/>
              </w:rPr>
            </w:pPr>
            <w:proofErr w:type="gramStart"/>
            <w:r>
              <w:rPr>
                <w:b/>
              </w:rPr>
              <w:t>Total</w:t>
            </w:r>
            <w:proofErr w:type="gramEnd"/>
            <w:r>
              <w:rPr>
                <w:b/>
              </w:rPr>
              <w:t xml:space="preserve"> general </w:t>
            </w:r>
          </w:p>
        </w:tc>
        <w:tc>
          <w:tcPr>
            <w:tcW w:w="0" w:type="auto"/>
            <w:tcBorders>
              <w:top w:val="single" w:sz="12" w:space="0" w:color="auto"/>
              <w:left w:val="nil"/>
              <w:bottom w:val="single" w:sz="12"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2 587 464 </w:t>
            </w:r>
          </w:p>
        </w:tc>
        <w:tc>
          <w:tcPr>
            <w:tcW w:w="0" w:type="auto"/>
            <w:tcBorders>
              <w:top w:val="single" w:sz="12" w:space="0" w:color="auto"/>
              <w:left w:val="nil"/>
              <w:bottom w:val="single" w:sz="12"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2 639 213 </w:t>
            </w:r>
          </w:p>
        </w:tc>
        <w:tc>
          <w:tcPr>
            <w:tcW w:w="0" w:type="auto"/>
            <w:tcBorders>
              <w:top w:val="single" w:sz="12" w:space="0" w:color="auto"/>
              <w:left w:val="nil"/>
              <w:bottom w:val="single" w:sz="12"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3 042 165 </w:t>
            </w:r>
          </w:p>
        </w:tc>
        <w:tc>
          <w:tcPr>
            <w:tcW w:w="0" w:type="auto"/>
            <w:tcBorders>
              <w:top w:val="single" w:sz="12" w:space="0" w:color="auto"/>
              <w:left w:val="nil"/>
              <w:bottom w:val="single" w:sz="12" w:space="0" w:color="auto"/>
              <w:right w:val="nil"/>
            </w:tcBorders>
            <w:noWrap/>
          </w:tcPr>
          <w:p w:rsidR="007459B2" w:rsidRPr="002244F9" w:rsidRDefault="007459B2" w:rsidP="00245E18">
            <w:pPr>
              <w:widowControl/>
              <w:autoSpaceDE/>
              <w:autoSpaceDN/>
              <w:adjustRightInd/>
              <w:jc w:val="right"/>
              <w:rPr>
                <w:rFonts w:cs="Arial"/>
                <w:b/>
                <w:bCs/>
                <w:szCs w:val="18"/>
              </w:rPr>
            </w:pPr>
            <w:r>
              <w:rPr>
                <w:b/>
              </w:rPr>
              <w:t xml:space="preserve">8 268 842 </w:t>
            </w:r>
          </w:p>
        </w:tc>
      </w:tr>
    </w:tbl>
    <w:p w:rsidR="007459B2" w:rsidRDefault="007459B2" w:rsidP="007910DD">
      <w:pPr>
        <w:rPr>
          <w:rFonts w:cs="Arial"/>
          <w:sz w:val="22"/>
          <w:szCs w:val="22"/>
        </w:rPr>
        <w:sectPr w:rsidR="007459B2" w:rsidSect="00620809">
          <w:headerReference w:type="first" r:id="rId18"/>
          <w:endnotePr>
            <w:numFmt w:val="decimal"/>
          </w:endnotePr>
          <w:pgSz w:w="11905" w:h="16837" w:code="9"/>
          <w:pgMar w:top="1008" w:right="1411" w:bottom="1152" w:left="1411" w:header="432" w:footer="432" w:gutter="0"/>
          <w:cols w:space="720"/>
          <w:noEndnote/>
          <w:titlePg/>
          <w:docGrid w:linePitch="272"/>
        </w:sectPr>
      </w:pPr>
    </w:p>
    <w:p w:rsidR="007459B2" w:rsidRDefault="007459B2" w:rsidP="00245E18">
      <w:pPr>
        <w:jc w:val="right"/>
        <w:rPr>
          <w:rFonts w:cs="Arial"/>
          <w:b/>
          <w:caps/>
          <w:sz w:val="22"/>
          <w:szCs w:val="22"/>
        </w:rPr>
      </w:pPr>
      <w:r>
        <w:rPr>
          <w:b/>
          <w:caps/>
          <w:sz w:val="22"/>
        </w:rPr>
        <w:lastRenderedPageBreak/>
        <w:t>Anexo 2</w:t>
      </w:r>
    </w:p>
    <w:p w:rsidR="007459B2" w:rsidRDefault="007459B2" w:rsidP="00245E18">
      <w:pPr>
        <w:jc w:val="right"/>
        <w:rPr>
          <w:rFonts w:cs="Arial"/>
          <w:sz w:val="22"/>
          <w:szCs w:val="22"/>
        </w:rPr>
      </w:pPr>
    </w:p>
    <w:p w:rsidR="007459B2" w:rsidRPr="009F4A8E" w:rsidRDefault="007459B2" w:rsidP="00245E18">
      <w:pPr>
        <w:pStyle w:val="Heading2"/>
        <w:keepNext w:val="0"/>
        <w:jc w:val="center"/>
        <w:rPr>
          <w:rFonts w:cs="Arial"/>
          <w:sz w:val="22"/>
          <w:szCs w:val="22"/>
        </w:rPr>
      </w:pPr>
      <w:r>
        <w:rPr>
          <w:sz w:val="22"/>
        </w:rPr>
        <w:t>ESCALA DE CUOTAS PARA EL TRIENIO 2018 - 2020, PRESUPUESTO</w:t>
      </w:r>
    </w:p>
    <w:p w:rsidR="007459B2" w:rsidRDefault="007459B2" w:rsidP="00245E18">
      <w:pPr>
        <w:pStyle w:val="Heading2"/>
        <w:keepNext w:val="0"/>
        <w:jc w:val="center"/>
        <w:rPr>
          <w:rFonts w:cs="Arial"/>
          <w:b w:val="0"/>
          <w:sz w:val="18"/>
          <w:szCs w:val="18"/>
        </w:rPr>
      </w:pPr>
      <w:r>
        <w:rPr>
          <w:b w:val="0"/>
          <w:sz w:val="18"/>
        </w:rPr>
        <w:t xml:space="preserve"> (Todas las cifras en euros)</w:t>
      </w:r>
    </w:p>
    <w:p w:rsidR="007459B2" w:rsidRPr="00245E18" w:rsidRDefault="007459B2" w:rsidP="00245E18"/>
    <w:tbl>
      <w:tblPr>
        <w:tblW w:w="15408" w:type="dxa"/>
        <w:jc w:val="center"/>
        <w:tblLook w:val="00A0" w:firstRow="1" w:lastRow="0" w:firstColumn="1" w:lastColumn="0" w:noHBand="0" w:noVBand="0"/>
      </w:tblPr>
      <w:tblGrid>
        <w:gridCol w:w="519"/>
        <w:gridCol w:w="2726"/>
        <w:gridCol w:w="1004"/>
        <w:gridCol w:w="1037"/>
        <w:gridCol w:w="1334"/>
        <w:gridCol w:w="1160"/>
        <w:gridCol w:w="1334"/>
        <w:gridCol w:w="1160"/>
        <w:gridCol w:w="1334"/>
        <w:gridCol w:w="1160"/>
        <w:gridCol w:w="1053"/>
        <w:gridCol w:w="1587"/>
      </w:tblGrid>
      <w:tr w:rsidR="007459B2" w:rsidRPr="00E0707E" w:rsidTr="00245E18">
        <w:trPr>
          <w:trHeight w:val="229"/>
          <w:tblHeader/>
          <w:jc w:val="center"/>
        </w:trPr>
        <w:tc>
          <w:tcPr>
            <w:tcW w:w="518" w:type="dxa"/>
            <w:vMerge w:val="restart"/>
            <w:tcBorders>
              <w:top w:val="single" w:sz="4" w:space="0" w:color="auto"/>
              <w:left w:val="single" w:sz="4" w:space="0" w:color="auto"/>
              <w:bottom w:val="single" w:sz="8" w:space="0" w:color="000000"/>
              <w:right w:val="single" w:sz="4" w:space="0" w:color="auto"/>
            </w:tcBorders>
            <w:shd w:val="clear" w:color="000000" w:fill="EDEDED"/>
            <w:vAlign w:val="center"/>
          </w:tcPr>
          <w:p w:rsidR="007459B2" w:rsidRPr="00265960" w:rsidRDefault="007459B2" w:rsidP="00245E18">
            <w:pPr>
              <w:widowControl/>
              <w:autoSpaceDE/>
              <w:autoSpaceDN/>
              <w:adjustRightInd/>
              <w:rPr>
                <w:rFonts w:cs="Arial"/>
                <w:b/>
                <w:bCs/>
                <w:iCs/>
                <w:sz w:val="16"/>
                <w:szCs w:val="16"/>
              </w:rPr>
            </w:pPr>
            <w:r>
              <w:rPr>
                <w:b/>
                <w:sz w:val="16"/>
              </w:rPr>
              <w:t>N°</w:t>
            </w:r>
          </w:p>
        </w:tc>
        <w:tc>
          <w:tcPr>
            <w:tcW w:w="2725" w:type="dxa"/>
            <w:vMerge w:val="restart"/>
            <w:tcBorders>
              <w:top w:val="single" w:sz="4" w:space="0" w:color="auto"/>
              <w:left w:val="single" w:sz="4" w:space="0" w:color="auto"/>
              <w:bottom w:val="single" w:sz="8" w:space="0" w:color="000000"/>
              <w:right w:val="single" w:sz="4" w:space="0" w:color="auto"/>
            </w:tcBorders>
            <w:shd w:val="clear" w:color="000000" w:fill="EDEDED"/>
            <w:vAlign w:val="center"/>
          </w:tcPr>
          <w:p w:rsidR="007459B2" w:rsidRPr="00265960" w:rsidRDefault="007459B2" w:rsidP="00245E18">
            <w:pPr>
              <w:widowControl/>
              <w:autoSpaceDE/>
              <w:autoSpaceDN/>
              <w:adjustRightInd/>
              <w:rPr>
                <w:rFonts w:cs="Arial"/>
                <w:b/>
                <w:bCs/>
                <w:iCs/>
                <w:sz w:val="16"/>
                <w:szCs w:val="16"/>
              </w:rPr>
            </w:pPr>
            <w:r>
              <w:rPr>
                <w:b/>
                <w:sz w:val="16"/>
              </w:rPr>
              <w:t>Parte</w:t>
            </w:r>
          </w:p>
        </w:tc>
        <w:tc>
          <w:tcPr>
            <w:tcW w:w="1004" w:type="dxa"/>
            <w:vMerge w:val="restart"/>
            <w:tcBorders>
              <w:top w:val="single" w:sz="4" w:space="0" w:color="auto"/>
              <w:left w:val="single" w:sz="4" w:space="0" w:color="auto"/>
              <w:bottom w:val="single" w:sz="8" w:space="0" w:color="000000"/>
              <w:right w:val="single" w:sz="4" w:space="0" w:color="auto"/>
            </w:tcBorders>
            <w:shd w:val="clear" w:color="000000" w:fill="EDEDED"/>
            <w:vAlign w:val="center"/>
          </w:tcPr>
          <w:p w:rsidR="007459B2" w:rsidRPr="00265960" w:rsidRDefault="007459B2" w:rsidP="002D63C6">
            <w:pPr>
              <w:widowControl/>
              <w:autoSpaceDE/>
              <w:autoSpaceDN/>
              <w:adjustRightInd/>
              <w:jc w:val="center"/>
              <w:rPr>
                <w:rFonts w:cs="Arial"/>
                <w:b/>
                <w:bCs/>
                <w:iCs/>
                <w:sz w:val="16"/>
                <w:szCs w:val="16"/>
              </w:rPr>
            </w:pPr>
            <w:r>
              <w:rPr>
                <w:b/>
                <w:sz w:val="16"/>
              </w:rPr>
              <w:t>Escala NU para 2017 %</w:t>
            </w:r>
          </w:p>
        </w:tc>
        <w:tc>
          <w:tcPr>
            <w:tcW w:w="0" w:type="auto"/>
            <w:vMerge w:val="restart"/>
            <w:tcBorders>
              <w:top w:val="single" w:sz="4" w:space="0" w:color="auto"/>
              <w:left w:val="single" w:sz="4" w:space="0" w:color="auto"/>
              <w:bottom w:val="single" w:sz="8" w:space="0" w:color="000000"/>
              <w:right w:val="single" w:sz="4" w:space="0" w:color="auto"/>
            </w:tcBorders>
            <w:shd w:val="clear" w:color="000000" w:fill="EDEDED"/>
            <w:vAlign w:val="center"/>
          </w:tcPr>
          <w:p w:rsidR="007459B2" w:rsidRPr="00265960" w:rsidRDefault="007459B2" w:rsidP="002D63C6">
            <w:pPr>
              <w:widowControl/>
              <w:autoSpaceDE/>
              <w:autoSpaceDN/>
              <w:adjustRightInd/>
              <w:jc w:val="center"/>
              <w:rPr>
                <w:rFonts w:cs="Arial"/>
                <w:b/>
                <w:bCs/>
                <w:iCs/>
                <w:sz w:val="16"/>
                <w:szCs w:val="16"/>
              </w:rPr>
            </w:pPr>
            <w:r>
              <w:rPr>
                <w:b/>
                <w:sz w:val="16"/>
              </w:rPr>
              <w:t>Escala ajustada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EDEDED"/>
            <w:vAlign w:val="center"/>
          </w:tcPr>
          <w:p w:rsidR="007459B2" w:rsidRPr="00265960" w:rsidRDefault="007459B2" w:rsidP="00245E18">
            <w:pPr>
              <w:widowControl/>
              <w:autoSpaceDE/>
              <w:autoSpaceDN/>
              <w:adjustRightInd/>
              <w:jc w:val="center"/>
              <w:rPr>
                <w:rFonts w:cs="Arial"/>
                <w:b/>
                <w:bCs/>
                <w:iCs/>
                <w:sz w:val="16"/>
                <w:szCs w:val="16"/>
              </w:rPr>
            </w:pPr>
            <w:r>
              <w:rPr>
                <w:b/>
                <w:sz w:val="16"/>
              </w:rPr>
              <w:t>Hipótesis 1 –</w:t>
            </w:r>
          </w:p>
          <w:p w:rsidR="007459B2" w:rsidRPr="00265960" w:rsidRDefault="007459B2" w:rsidP="00245E18">
            <w:pPr>
              <w:widowControl/>
              <w:autoSpaceDE/>
              <w:autoSpaceDN/>
              <w:adjustRightInd/>
              <w:jc w:val="center"/>
              <w:rPr>
                <w:rFonts w:cs="Arial"/>
                <w:b/>
                <w:bCs/>
                <w:iCs/>
                <w:sz w:val="16"/>
                <w:szCs w:val="16"/>
              </w:rPr>
            </w:pPr>
            <w:r>
              <w:rPr>
                <w:b/>
                <w:sz w:val="16"/>
              </w:rPr>
              <w:t>Crecimiento nominal cero</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EDEDED"/>
            <w:vAlign w:val="center"/>
          </w:tcPr>
          <w:p w:rsidR="007459B2" w:rsidRPr="00265960" w:rsidRDefault="007459B2" w:rsidP="00245E18">
            <w:pPr>
              <w:widowControl/>
              <w:autoSpaceDE/>
              <w:autoSpaceDN/>
              <w:adjustRightInd/>
              <w:jc w:val="center"/>
              <w:rPr>
                <w:rFonts w:cs="Arial"/>
                <w:b/>
                <w:bCs/>
                <w:iCs/>
                <w:sz w:val="16"/>
                <w:szCs w:val="16"/>
              </w:rPr>
            </w:pPr>
            <w:r>
              <w:rPr>
                <w:b/>
                <w:sz w:val="16"/>
              </w:rPr>
              <w:t>Hipótesis 2 –</w:t>
            </w:r>
          </w:p>
          <w:p w:rsidR="007459B2" w:rsidRPr="00265960" w:rsidRDefault="007459B2" w:rsidP="00245E18">
            <w:pPr>
              <w:widowControl/>
              <w:autoSpaceDE/>
              <w:autoSpaceDN/>
              <w:adjustRightInd/>
              <w:jc w:val="center"/>
              <w:rPr>
                <w:rFonts w:cs="Arial"/>
                <w:b/>
                <w:bCs/>
                <w:iCs/>
                <w:sz w:val="16"/>
                <w:szCs w:val="16"/>
              </w:rPr>
            </w:pPr>
            <w:r>
              <w:rPr>
                <w:b/>
                <w:sz w:val="16"/>
              </w:rPr>
              <w:t>Crecimiento real cero</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EDEDED"/>
            <w:vAlign w:val="center"/>
          </w:tcPr>
          <w:p w:rsidR="007459B2" w:rsidRPr="00265960" w:rsidRDefault="007459B2" w:rsidP="00245E18">
            <w:pPr>
              <w:widowControl/>
              <w:autoSpaceDE/>
              <w:autoSpaceDN/>
              <w:adjustRightInd/>
              <w:jc w:val="center"/>
              <w:rPr>
                <w:rFonts w:cs="Arial"/>
                <w:b/>
                <w:bCs/>
                <w:iCs/>
                <w:sz w:val="16"/>
                <w:szCs w:val="16"/>
              </w:rPr>
            </w:pPr>
            <w:r>
              <w:rPr>
                <w:b/>
                <w:sz w:val="16"/>
              </w:rPr>
              <w:t>Hipótesis 3</w:t>
            </w:r>
          </w:p>
        </w:tc>
        <w:tc>
          <w:tcPr>
            <w:tcW w:w="1053" w:type="dxa"/>
            <w:vMerge w:val="restart"/>
            <w:tcBorders>
              <w:top w:val="single" w:sz="4" w:space="0" w:color="auto"/>
              <w:left w:val="single" w:sz="4" w:space="0" w:color="auto"/>
              <w:bottom w:val="single" w:sz="8" w:space="0" w:color="000000"/>
              <w:right w:val="single" w:sz="4" w:space="0" w:color="auto"/>
            </w:tcBorders>
            <w:shd w:val="clear" w:color="000000" w:fill="EDEDED"/>
            <w:vAlign w:val="center"/>
          </w:tcPr>
          <w:p w:rsidR="007459B2" w:rsidRPr="00265960" w:rsidRDefault="007459B2" w:rsidP="00245E18">
            <w:pPr>
              <w:widowControl/>
              <w:autoSpaceDE/>
              <w:autoSpaceDN/>
              <w:adjustRightInd/>
              <w:jc w:val="center"/>
              <w:rPr>
                <w:rFonts w:cs="Arial"/>
                <w:b/>
                <w:bCs/>
                <w:iCs/>
                <w:sz w:val="16"/>
                <w:szCs w:val="16"/>
              </w:rPr>
            </w:pPr>
            <w:r>
              <w:rPr>
                <w:b/>
                <w:sz w:val="16"/>
              </w:rPr>
              <w:t>Escala NU para 2014 %</w:t>
            </w:r>
          </w:p>
        </w:tc>
        <w:tc>
          <w:tcPr>
            <w:tcW w:w="1587" w:type="dxa"/>
            <w:vMerge w:val="restart"/>
            <w:tcBorders>
              <w:top w:val="single" w:sz="4" w:space="0" w:color="auto"/>
              <w:left w:val="single" w:sz="4" w:space="0" w:color="auto"/>
              <w:bottom w:val="single" w:sz="8" w:space="0" w:color="000000"/>
              <w:right w:val="single" w:sz="4" w:space="0" w:color="auto"/>
            </w:tcBorders>
            <w:shd w:val="clear" w:color="000000" w:fill="EDEDED"/>
            <w:vAlign w:val="center"/>
          </w:tcPr>
          <w:p w:rsidR="007459B2" w:rsidRPr="00265960" w:rsidRDefault="007459B2" w:rsidP="00245E18">
            <w:pPr>
              <w:widowControl/>
              <w:autoSpaceDE/>
              <w:autoSpaceDN/>
              <w:adjustRightInd/>
              <w:jc w:val="center"/>
              <w:rPr>
                <w:rFonts w:cs="Arial"/>
                <w:b/>
                <w:bCs/>
                <w:iCs/>
                <w:sz w:val="16"/>
                <w:szCs w:val="16"/>
              </w:rPr>
            </w:pPr>
            <w:r>
              <w:rPr>
                <w:b/>
                <w:sz w:val="16"/>
              </w:rPr>
              <w:t>Cuotas asignadas aprobadas por la COP11 para</w:t>
            </w:r>
          </w:p>
          <w:p w:rsidR="007459B2" w:rsidRPr="00265960" w:rsidRDefault="007459B2" w:rsidP="00245E18">
            <w:pPr>
              <w:widowControl/>
              <w:autoSpaceDE/>
              <w:autoSpaceDN/>
              <w:adjustRightInd/>
              <w:jc w:val="center"/>
              <w:rPr>
                <w:rFonts w:cs="Arial"/>
                <w:b/>
                <w:bCs/>
                <w:iCs/>
                <w:sz w:val="16"/>
                <w:szCs w:val="16"/>
              </w:rPr>
            </w:pPr>
            <w:r>
              <w:rPr>
                <w:b/>
                <w:sz w:val="16"/>
              </w:rPr>
              <w:t>2015-2017</w:t>
            </w:r>
          </w:p>
        </w:tc>
      </w:tr>
      <w:tr w:rsidR="007459B2" w:rsidRPr="00E0707E" w:rsidTr="00245E18">
        <w:trPr>
          <w:trHeight w:val="229"/>
          <w:tblHeader/>
          <w:jc w:val="center"/>
        </w:trPr>
        <w:tc>
          <w:tcPr>
            <w:tcW w:w="518" w:type="dxa"/>
            <w:vMerge/>
            <w:tcBorders>
              <w:top w:val="single" w:sz="4" w:space="0" w:color="auto"/>
              <w:left w:val="single" w:sz="4" w:space="0" w:color="auto"/>
              <w:bottom w:val="single" w:sz="8" w:space="0" w:color="000000"/>
              <w:right w:val="single" w:sz="4" w:space="0" w:color="auto"/>
            </w:tcBorders>
          </w:tcPr>
          <w:p w:rsidR="007459B2" w:rsidRPr="00E0707E" w:rsidRDefault="007459B2" w:rsidP="00245E18">
            <w:pPr>
              <w:widowControl/>
              <w:autoSpaceDE/>
              <w:autoSpaceDN/>
              <w:adjustRightInd/>
              <w:jc w:val="center"/>
              <w:rPr>
                <w:rFonts w:cs="Arial"/>
                <w:bCs/>
                <w:iCs/>
                <w:szCs w:val="18"/>
              </w:rPr>
            </w:pPr>
          </w:p>
        </w:tc>
        <w:tc>
          <w:tcPr>
            <w:tcW w:w="2725" w:type="dxa"/>
            <w:vMerge/>
            <w:tcBorders>
              <w:top w:val="single" w:sz="4" w:space="0" w:color="auto"/>
              <w:left w:val="single" w:sz="4" w:space="0" w:color="auto"/>
              <w:bottom w:val="single" w:sz="8" w:space="0" w:color="000000"/>
              <w:right w:val="single" w:sz="4" w:space="0" w:color="auto"/>
            </w:tcBorders>
          </w:tcPr>
          <w:p w:rsidR="007459B2" w:rsidRPr="00E0707E" w:rsidRDefault="007459B2" w:rsidP="00245E18">
            <w:pPr>
              <w:widowControl/>
              <w:autoSpaceDE/>
              <w:autoSpaceDN/>
              <w:adjustRightInd/>
              <w:rPr>
                <w:rFonts w:cs="Arial"/>
                <w:bCs/>
                <w:iCs/>
                <w:szCs w:val="18"/>
              </w:rPr>
            </w:pPr>
          </w:p>
        </w:tc>
        <w:tc>
          <w:tcPr>
            <w:tcW w:w="1004" w:type="dxa"/>
            <w:vMerge/>
            <w:tcBorders>
              <w:top w:val="single" w:sz="4" w:space="0" w:color="auto"/>
              <w:left w:val="single" w:sz="4" w:space="0" w:color="auto"/>
              <w:bottom w:val="single" w:sz="8" w:space="0" w:color="000000"/>
              <w:right w:val="single" w:sz="4" w:space="0" w:color="auto"/>
            </w:tcBorders>
          </w:tcPr>
          <w:p w:rsidR="007459B2" w:rsidRPr="00E0707E" w:rsidRDefault="007459B2" w:rsidP="00245E18">
            <w:pPr>
              <w:widowControl/>
              <w:autoSpaceDE/>
              <w:autoSpaceDN/>
              <w:adjustRightInd/>
              <w:jc w:val="center"/>
              <w:rPr>
                <w:rFonts w:cs="Arial"/>
                <w:bCs/>
                <w:iCs/>
                <w:szCs w:val="18"/>
              </w:rPr>
            </w:pPr>
          </w:p>
        </w:tc>
        <w:tc>
          <w:tcPr>
            <w:tcW w:w="0" w:type="auto"/>
            <w:vMerge/>
            <w:tcBorders>
              <w:top w:val="single" w:sz="4" w:space="0" w:color="auto"/>
              <w:left w:val="single" w:sz="4" w:space="0" w:color="auto"/>
              <w:bottom w:val="single" w:sz="8" w:space="0" w:color="000000"/>
              <w:right w:val="single" w:sz="4" w:space="0" w:color="auto"/>
            </w:tcBorders>
          </w:tcPr>
          <w:p w:rsidR="007459B2" w:rsidRPr="00E0707E" w:rsidRDefault="007459B2" w:rsidP="00245E18">
            <w:pPr>
              <w:widowControl/>
              <w:autoSpaceDE/>
              <w:autoSpaceDN/>
              <w:adjustRightInd/>
              <w:jc w:val="center"/>
              <w:rPr>
                <w:rFonts w:cs="Arial"/>
                <w:bCs/>
                <w:iCs/>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7459B2" w:rsidRPr="00E0707E" w:rsidRDefault="007459B2" w:rsidP="00245E18">
            <w:pPr>
              <w:widowControl/>
              <w:autoSpaceDE/>
              <w:autoSpaceDN/>
              <w:adjustRightInd/>
              <w:jc w:val="center"/>
              <w:rPr>
                <w:rFonts w:cs="Arial"/>
                <w:bCs/>
                <w:iCs/>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7459B2" w:rsidRPr="00E0707E" w:rsidRDefault="007459B2" w:rsidP="00245E18">
            <w:pPr>
              <w:widowControl/>
              <w:autoSpaceDE/>
              <w:autoSpaceDN/>
              <w:adjustRightInd/>
              <w:jc w:val="center"/>
              <w:rPr>
                <w:rFonts w:cs="Arial"/>
                <w:bCs/>
                <w:iCs/>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7459B2" w:rsidRPr="00E0707E" w:rsidRDefault="007459B2" w:rsidP="00245E18">
            <w:pPr>
              <w:widowControl/>
              <w:autoSpaceDE/>
              <w:autoSpaceDN/>
              <w:adjustRightInd/>
              <w:jc w:val="center"/>
              <w:rPr>
                <w:rFonts w:cs="Arial"/>
                <w:bCs/>
                <w:iCs/>
                <w:szCs w:val="18"/>
              </w:rPr>
            </w:pPr>
          </w:p>
        </w:tc>
        <w:tc>
          <w:tcPr>
            <w:tcW w:w="1053" w:type="dxa"/>
            <w:vMerge/>
            <w:tcBorders>
              <w:top w:val="single" w:sz="4" w:space="0" w:color="auto"/>
              <w:left w:val="single" w:sz="4" w:space="0" w:color="auto"/>
              <w:bottom w:val="single" w:sz="8" w:space="0" w:color="000000"/>
              <w:right w:val="single" w:sz="4" w:space="0" w:color="auto"/>
            </w:tcBorders>
          </w:tcPr>
          <w:p w:rsidR="007459B2" w:rsidRPr="00E0707E" w:rsidRDefault="007459B2" w:rsidP="00245E18">
            <w:pPr>
              <w:widowControl/>
              <w:autoSpaceDE/>
              <w:autoSpaceDN/>
              <w:adjustRightInd/>
              <w:jc w:val="center"/>
              <w:rPr>
                <w:rFonts w:cs="Arial"/>
                <w:b/>
                <w:bCs/>
                <w:i/>
                <w:iCs/>
                <w:szCs w:val="18"/>
              </w:rPr>
            </w:pPr>
          </w:p>
        </w:tc>
        <w:tc>
          <w:tcPr>
            <w:tcW w:w="1587" w:type="dxa"/>
            <w:vMerge/>
            <w:tcBorders>
              <w:top w:val="single" w:sz="4" w:space="0" w:color="auto"/>
              <w:left w:val="single" w:sz="4" w:space="0" w:color="auto"/>
              <w:bottom w:val="single" w:sz="8" w:space="0" w:color="000000"/>
              <w:right w:val="single" w:sz="4" w:space="0" w:color="auto"/>
            </w:tcBorders>
          </w:tcPr>
          <w:p w:rsidR="007459B2" w:rsidRPr="00E0707E" w:rsidRDefault="007459B2" w:rsidP="00245E18">
            <w:pPr>
              <w:widowControl/>
              <w:autoSpaceDE/>
              <w:autoSpaceDN/>
              <w:adjustRightInd/>
              <w:jc w:val="center"/>
              <w:rPr>
                <w:rFonts w:cs="Arial"/>
                <w:b/>
                <w:bCs/>
                <w:i/>
                <w:iCs/>
                <w:szCs w:val="18"/>
              </w:rPr>
            </w:pPr>
          </w:p>
        </w:tc>
      </w:tr>
      <w:tr w:rsidR="007459B2" w:rsidRPr="00E0707E" w:rsidTr="00245E18">
        <w:trPr>
          <w:trHeight w:val="19"/>
          <w:tblHeader/>
          <w:jc w:val="center"/>
        </w:trPr>
        <w:tc>
          <w:tcPr>
            <w:tcW w:w="518" w:type="dxa"/>
            <w:vMerge/>
            <w:tcBorders>
              <w:top w:val="single" w:sz="4" w:space="0" w:color="auto"/>
              <w:left w:val="single" w:sz="4" w:space="0" w:color="auto"/>
              <w:bottom w:val="single" w:sz="8" w:space="0" w:color="000000"/>
              <w:right w:val="single" w:sz="4" w:space="0" w:color="auto"/>
            </w:tcBorders>
          </w:tcPr>
          <w:p w:rsidR="007459B2" w:rsidRPr="00E0707E" w:rsidRDefault="007459B2" w:rsidP="00245E18">
            <w:pPr>
              <w:widowControl/>
              <w:autoSpaceDE/>
              <w:autoSpaceDN/>
              <w:adjustRightInd/>
              <w:jc w:val="center"/>
              <w:rPr>
                <w:rFonts w:cs="Arial"/>
                <w:bCs/>
                <w:iCs/>
                <w:szCs w:val="18"/>
              </w:rPr>
            </w:pPr>
          </w:p>
        </w:tc>
        <w:tc>
          <w:tcPr>
            <w:tcW w:w="2725" w:type="dxa"/>
            <w:vMerge/>
            <w:tcBorders>
              <w:top w:val="single" w:sz="4" w:space="0" w:color="auto"/>
              <w:left w:val="single" w:sz="4" w:space="0" w:color="auto"/>
              <w:bottom w:val="single" w:sz="8" w:space="0" w:color="000000"/>
              <w:right w:val="single" w:sz="4" w:space="0" w:color="auto"/>
            </w:tcBorders>
          </w:tcPr>
          <w:p w:rsidR="007459B2" w:rsidRPr="00E0707E" w:rsidRDefault="007459B2" w:rsidP="00245E18">
            <w:pPr>
              <w:widowControl/>
              <w:autoSpaceDE/>
              <w:autoSpaceDN/>
              <w:adjustRightInd/>
              <w:rPr>
                <w:rFonts w:cs="Arial"/>
                <w:bCs/>
                <w:iCs/>
                <w:szCs w:val="18"/>
              </w:rPr>
            </w:pPr>
          </w:p>
        </w:tc>
        <w:tc>
          <w:tcPr>
            <w:tcW w:w="1004" w:type="dxa"/>
            <w:vMerge/>
            <w:tcBorders>
              <w:top w:val="single" w:sz="4" w:space="0" w:color="auto"/>
              <w:left w:val="single" w:sz="4" w:space="0" w:color="auto"/>
              <w:bottom w:val="single" w:sz="8" w:space="0" w:color="000000"/>
              <w:right w:val="single" w:sz="4" w:space="0" w:color="auto"/>
            </w:tcBorders>
          </w:tcPr>
          <w:p w:rsidR="007459B2" w:rsidRPr="00E0707E" w:rsidRDefault="007459B2" w:rsidP="00245E18">
            <w:pPr>
              <w:widowControl/>
              <w:autoSpaceDE/>
              <w:autoSpaceDN/>
              <w:adjustRightInd/>
              <w:jc w:val="center"/>
              <w:rPr>
                <w:rFonts w:cs="Arial"/>
                <w:bCs/>
                <w:iCs/>
                <w:szCs w:val="18"/>
              </w:rPr>
            </w:pPr>
          </w:p>
        </w:tc>
        <w:tc>
          <w:tcPr>
            <w:tcW w:w="0" w:type="auto"/>
            <w:vMerge/>
            <w:tcBorders>
              <w:top w:val="single" w:sz="4" w:space="0" w:color="auto"/>
              <w:left w:val="single" w:sz="4" w:space="0" w:color="auto"/>
              <w:bottom w:val="single" w:sz="8" w:space="0" w:color="000000"/>
              <w:right w:val="single" w:sz="4" w:space="0" w:color="auto"/>
            </w:tcBorders>
          </w:tcPr>
          <w:p w:rsidR="007459B2" w:rsidRPr="00E0707E" w:rsidRDefault="007459B2" w:rsidP="00245E18">
            <w:pPr>
              <w:widowControl/>
              <w:autoSpaceDE/>
              <w:autoSpaceDN/>
              <w:adjustRightInd/>
              <w:jc w:val="center"/>
              <w:rPr>
                <w:rFonts w:cs="Arial"/>
                <w:bCs/>
                <w:iCs/>
                <w:szCs w:val="18"/>
              </w:rPr>
            </w:pPr>
          </w:p>
        </w:tc>
        <w:tc>
          <w:tcPr>
            <w:tcW w:w="0" w:type="auto"/>
            <w:tcBorders>
              <w:top w:val="nil"/>
              <w:left w:val="nil"/>
              <w:bottom w:val="single" w:sz="8" w:space="0" w:color="auto"/>
              <w:right w:val="single" w:sz="4" w:space="0" w:color="auto"/>
            </w:tcBorders>
            <w:shd w:val="clear" w:color="000000" w:fill="EDEDED"/>
            <w:vAlign w:val="center"/>
          </w:tcPr>
          <w:p w:rsidR="007459B2" w:rsidRPr="00265960" w:rsidRDefault="007459B2" w:rsidP="00245E18">
            <w:pPr>
              <w:widowControl/>
              <w:autoSpaceDE/>
              <w:autoSpaceDN/>
              <w:adjustRightInd/>
              <w:jc w:val="center"/>
              <w:rPr>
                <w:rFonts w:cs="Arial"/>
                <w:b/>
                <w:bCs/>
                <w:iCs/>
                <w:sz w:val="16"/>
                <w:szCs w:val="16"/>
              </w:rPr>
            </w:pPr>
            <w:r>
              <w:rPr>
                <w:b/>
                <w:sz w:val="16"/>
              </w:rPr>
              <w:t>Cuotas asignadas 2018-2020</w:t>
            </w:r>
          </w:p>
        </w:tc>
        <w:tc>
          <w:tcPr>
            <w:tcW w:w="0" w:type="auto"/>
            <w:tcBorders>
              <w:top w:val="nil"/>
              <w:left w:val="nil"/>
              <w:bottom w:val="single" w:sz="8" w:space="0" w:color="auto"/>
              <w:right w:val="single" w:sz="4" w:space="0" w:color="auto"/>
            </w:tcBorders>
            <w:shd w:val="clear" w:color="000000" w:fill="EDEDED"/>
            <w:vAlign w:val="center"/>
          </w:tcPr>
          <w:p w:rsidR="007459B2" w:rsidRPr="00265960" w:rsidRDefault="007459B2" w:rsidP="00245E18">
            <w:pPr>
              <w:widowControl/>
              <w:autoSpaceDE/>
              <w:autoSpaceDN/>
              <w:adjustRightInd/>
              <w:jc w:val="center"/>
              <w:rPr>
                <w:rFonts w:cs="Arial"/>
                <w:b/>
                <w:bCs/>
                <w:iCs/>
                <w:sz w:val="16"/>
                <w:szCs w:val="16"/>
              </w:rPr>
            </w:pPr>
            <w:r>
              <w:rPr>
                <w:b/>
                <w:sz w:val="16"/>
              </w:rPr>
              <w:t>Cuota anual media</w:t>
            </w:r>
          </w:p>
        </w:tc>
        <w:tc>
          <w:tcPr>
            <w:tcW w:w="0" w:type="auto"/>
            <w:tcBorders>
              <w:top w:val="nil"/>
              <w:left w:val="nil"/>
              <w:bottom w:val="single" w:sz="8" w:space="0" w:color="auto"/>
              <w:right w:val="single" w:sz="4" w:space="0" w:color="auto"/>
            </w:tcBorders>
            <w:shd w:val="clear" w:color="000000" w:fill="EDEDED"/>
            <w:vAlign w:val="center"/>
          </w:tcPr>
          <w:p w:rsidR="007459B2" w:rsidRPr="00265960" w:rsidRDefault="007459B2" w:rsidP="00245E18">
            <w:pPr>
              <w:widowControl/>
              <w:autoSpaceDE/>
              <w:autoSpaceDN/>
              <w:adjustRightInd/>
              <w:jc w:val="center"/>
              <w:rPr>
                <w:rFonts w:cs="Arial"/>
                <w:b/>
                <w:bCs/>
                <w:iCs/>
                <w:sz w:val="16"/>
                <w:szCs w:val="16"/>
              </w:rPr>
            </w:pPr>
            <w:r>
              <w:rPr>
                <w:b/>
                <w:sz w:val="16"/>
              </w:rPr>
              <w:t>Cuotas asignadas 2018-2020</w:t>
            </w:r>
          </w:p>
        </w:tc>
        <w:tc>
          <w:tcPr>
            <w:tcW w:w="0" w:type="auto"/>
            <w:tcBorders>
              <w:top w:val="nil"/>
              <w:left w:val="nil"/>
              <w:bottom w:val="single" w:sz="8" w:space="0" w:color="auto"/>
              <w:right w:val="single" w:sz="4" w:space="0" w:color="auto"/>
            </w:tcBorders>
            <w:shd w:val="clear" w:color="000000" w:fill="EDEDED"/>
            <w:vAlign w:val="center"/>
          </w:tcPr>
          <w:p w:rsidR="007459B2" w:rsidRPr="00265960" w:rsidRDefault="007459B2" w:rsidP="00245E18">
            <w:pPr>
              <w:widowControl/>
              <w:autoSpaceDE/>
              <w:autoSpaceDN/>
              <w:adjustRightInd/>
              <w:jc w:val="center"/>
              <w:rPr>
                <w:rFonts w:cs="Arial"/>
                <w:b/>
                <w:bCs/>
                <w:iCs/>
                <w:sz w:val="16"/>
                <w:szCs w:val="16"/>
              </w:rPr>
            </w:pPr>
            <w:r>
              <w:rPr>
                <w:b/>
                <w:sz w:val="16"/>
              </w:rPr>
              <w:t>Cuota anual media</w:t>
            </w:r>
          </w:p>
        </w:tc>
        <w:tc>
          <w:tcPr>
            <w:tcW w:w="0" w:type="auto"/>
            <w:tcBorders>
              <w:top w:val="nil"/>
              <w:left w:val="nil"/>
              <w:bottom w:val="single" w:sz="8" w:space="0" w:color="auto"/>
              <w:right w:val="single" w:sz="4" w:space="0" w:color="auto"/>
            </w:tcBorders>
            <w:shd w:val="clear" w:color="000000" w:fill="EDEDED"/>
            <w:vAlign w:val="center"/>
          </w:tcPr>
          <w:p w:rsidR="007459B2" w:rsidRPr="00265960" w:rsidRDefault="007459B2" w:rsidP="00245E18">
            <w:pPr>
              <w:widowControl/>
              <w:autoSpaceDE/>
              <w:autoSpaceDN/>
              <w:adjustRightInd/>
              <w:jc w:val="center"/>
              <w:rPr>
                <w:rFonts w:cs="Arial"/>
                <w:b/>
                <w:bCs/>
                <w:iCs/>
                <w:sz w:val="16"/>
                <w:szCs w:val="16"/>
              </w:rPr>
            </w:pPr>
            <w:r>
              <w:rPr>
                <w:b/>
                <w:sz w:val="16"/>
              </w:rPr>
              <w:t>Cuotas asignadas 2018-2020</w:t>
            </w:r>
          </w:p>
        </w:tc>
        <w:tc>
          <w:tcPr>
            <w:tcW w:w="0" w:type="auto"/>
            <w:tcBorders>
              <w:top w:val="nil"/>
              <w:left w:val="nil"/>
              <w:bottom w:val="single" w:sz="8" w:space="0" w:color="auto"/>
              <w:right w:val="single" w:sz="4" w:space="0" w:color="auto"/>
            </w:tcBorders>
            <w:shd w:val="clear" w:color="000000" w:fill="EDEDED"/>
            <w:vAlign w:val="center"/>
          </w:tcPr>
          <w:p w:rsidR="007459B2" w:rsidRPr="00265960" w:rsidRDefault="007459B2" w:rsidP="00245E18">
            <w:pPr>
              <w:widowControl/>
              <w:autoSpaceDE/>
              <w:autoSpaceDN/>
              <w:adjustRightInd/>
              <w:jc w:val="center"/>
              <w:rPr>
                <w:rFonts w:cs="Arial"/>
                <w:b/>
                <w:bCs/>
                <w:iCs/>
                <w:sz w:val="16"/>
                <w:szCs w:val="16"/>
              </w:rPr>
            </w:pPr>
            <w:r>
              <w:rPr>
                <w:b/>
                <w:sz w:val="16"/>
              </w:rPr>
              <w:t>Cuota anual media</w:t>
            </w:r>
          </w:p>
        </w:tc>
        <w:tc>
          <w:tcPr>
            <w:tcW w:w="1053" w:type="dxa"/>
            <w:vMerge/>
            <w:tcBorders>
              <w:top w:val="single" w:sz="4" w:space="0" w:color="auto"/>
              <w:left w:val="single" w:sz="4" w:space="0" w:color="auto"/>
              <w:bottom w:val="single" w:sz="8" w:space="0" w:color="000000"/>
              <w:right w:val="single" w:sz="4" w:space="0" w:color="auto"/>
            </w:tcBorders>
          </w:tcPr>
          <w:p w:rsidR="007459B2" w:rsidRPr="00E0707E" w:rsidRDefault="007459B2" w:rsidP="00245E18">
            <w:pPr>
              <w:widowControl/>
              <w:autoSpaceDE/>
              <w:autoSpaceDN/>
              <w:adjustRightInd/>
              <w:jc w:val="center"/>
              <w:rPr>
                <w:rFonts w:cs="Arial"/>
                <w:b/>
                <w:bCs/>
                <w:i/>
                <w:iCs/>
                <w:szCs w:val="18"/>
              </w:rPr>
            </w:pPr>
          </w:p>
        </w:tc>
        <w:tc>
          <w:tcPr>
            <w:tcW w:w="1587" w:type="dxa"/>
            <w:vMerge/>
            <w:tcBorders>
              <w:top w:val="single" w:sz="4" w:space="0" w:color="auto"/>
              <w:left w:val="single" w:sz="4" w:space="0" w:color="auto"/>
              <w:bottom w:val="single" w:sz="8" w:space="0" w:color="000000"/>
              <w:right w:val="single" w:sz="4" w:space="0" w:color="auto"/>
            </w:tcBorders>
          </w:tcPr>
          <w:p w:rsidR="007459B2" w:rsidRPr="00E0707E" w:rsidRDefault="007459B2" w:rsidP="00245E18">
            <w:pPr>
              <w:widowControl/>
              <w:autoSpaceDE/>
              <w:autoSpaceDN/>
              <w:adjustRightInd/>
              <w:jc w:val="center"/>
              <w:rPr>
                <w:rFonts w:cs="Arial"/>
                <w:b/>
                <w:bCs/>
                <w:i/>
                <w:iCs/>
                <w:szCs w:val="18"/>
              </w:rPr>
            </w:pP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Afganistán *</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0,0127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942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314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1 009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336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1 047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349</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Nueva Parte</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2</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Albania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0,0169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1 257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419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1 346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449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1 396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465</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0,0100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1 630</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3</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Argelia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0,161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0,3398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25 289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8 430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27 087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9 029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28 096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9 365</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0,1370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22 305</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4</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Angola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0,0211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1 571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1 682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561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1 745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582</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0,0100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1 630</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5</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Antigua y Barbuda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0,0042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314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105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336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349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116</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327</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6</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Argentina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0,892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1,8825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140 111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46 704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150 073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50 024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155 665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51 888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0,4320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70 339</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7</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Armenia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0,0127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942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314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1 009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336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1 047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349</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0,0070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1 138</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8</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Australia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2,337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4,9322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367 085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122 362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393 185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131 062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407 835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135 945</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2,0740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337 691</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9</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Austria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0,720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1,5195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113 094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37 698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121 135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40 378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125 649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41 883</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0,7980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129 932</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10</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Bangladesh</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0,0211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1 571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1 682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561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1 745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582</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0,0100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1 630</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11</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proofErr w:type="spellStart"/>
            <w:r>
              <w:t>Belarús</w:t>
            </w:r>
            <w:proofErr w:type="spellEnd"/>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0,056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0,1182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8 796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2 932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9 422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3 141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9 773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3 258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0,0560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9 118</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12</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Bélgica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0,885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1,8678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139 012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46 337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148 895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49 632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154 443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51 481</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0,9980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162 493</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13</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proofErr w:type="spellStart"/>
            <w:r>
              <w:t>Benin</w:t>
            </w:r>
            <w:proofErr w:type="spellEnd"/>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0,0063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471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505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175</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0,0030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491</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14</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Bolivia (Estado Plurinacional)</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0,0253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1 885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628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2 019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673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2 094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698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0,0090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1 466</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15</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Brasil *</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3,823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8,0684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600 499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200 166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643 195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214 398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667 161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222 387</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Nueva Parte</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16</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Bulgaria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0,045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0,0950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7 068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2 356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7 571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2 524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7 853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2 618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0,0470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7 651</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17</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Burkina Faso</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0,0084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628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209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673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698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233</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0,0030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491</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18</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Burundi</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175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164</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19</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Cabo Verde</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175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164</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20</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Camerún</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0,0211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1 571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1 682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561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1 745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582</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0,0120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1 958</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21</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Chad</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0,0106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785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262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841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280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873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291</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327</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22</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Chile</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0,399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0,8421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62 673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20 891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67 129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22 376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69 630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23 210</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0,3340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54 383</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23</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Congo</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0,0127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942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314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1 009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336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1 047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349</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0,0050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811</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24</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Islas Cook</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175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164</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25</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Costa Rica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0,047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0,0992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7 383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2 461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7 907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2 636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8 202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2 734</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0,0380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6 185</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26</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proofErr w:type="spellStart"/>
            <w:r>
              <w:t>Côte</w:t>
            </w:r>
            <w:proofErr w:type="spellEnd"/>
            <w:r>
              <w:t xml:space="preserve"> </w:t>
            </w:r>
            <w:proofErr w:type="spellStart"/>
            <w:r>
              <w:t>d’Ivoire</w:t>
            </w:r>
            <w:proofErr w:type="spellEnd"/>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0,0190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1 414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471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1 514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505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1 571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524</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0,0110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1 794</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27</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Croacia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0,099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0,2089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15 550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5 183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16 656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5 552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17 277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5 759</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0,1260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20 519</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28</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Cuba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0,065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0,1372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10 210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3 403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10 936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3 645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11 343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3 781</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0,0690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11 238</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29</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Chipre</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0,043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0,0908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6 754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2 251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7 234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2 411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7 504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2 501</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0,0470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7 651</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30</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República Checa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0,344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0,7260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54 034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18 011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57 876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19 292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60 032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20 011</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0,3860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62 852</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lastRenderedPageBreak/>
              <w:t>31</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República Democrática del Congo</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0,0169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1 257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419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1 346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449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1 396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465</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0,0030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491</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32</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Dinamarca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0,584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1,2325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91 732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30 577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98 254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32 751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101 915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33 972</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0,6750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109 905</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33</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proofErr w:type="spellStart"/>
            <w:r>
              <w:t>Djibouti</w:t>
            </w:r>
            <w:proofErr w:type="spellEnd"/>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175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164</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34</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Ecuador</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0,067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0,1414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10 524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3 508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11 272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3 757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11 692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3 897</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0,0440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7 167</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35</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Egipto</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0,152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0,3208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23 875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7 958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25 573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8 524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26 526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8 842</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0,1340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21 822</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36</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Guinea Ecuatorial</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0,0211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1 571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1 682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561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1 745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582</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0,0100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1 630</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37</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Eritrea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175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164</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38</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Estonia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0,038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0,0802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5 969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1 990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6 393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2 131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6 631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2 210</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0,0400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6 512</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39</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Etiopía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0,0211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1 571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1 682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561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1 745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582</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0,0100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1 630</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40</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Unión Europea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2,5000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186 066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62 022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199 295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66 432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206 721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68 907</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186 063</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41</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proofErr w:type="spellStart"/>
            <w:r>
              <w:t>Fiji</w:t>
            </w:r>
            <w:proofErr w:type="spellEnd"/>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0,0063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471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505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175</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0,0030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491</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42</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Finlandia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0,456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0,9624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71 626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23 875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76 719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25 573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79 578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26 526</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0,5190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84 502</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43</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Francia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4,859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10,2548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763 229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254 410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817 495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272 498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847 955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282 652</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5,5930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910 664</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44</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Gabón</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0,0359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2 670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890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2 860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953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2 967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989</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0,0200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3 259</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45</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Gambia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175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164</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46</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Georgia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0,0169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1 257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419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1 346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449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1 396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465</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0,0070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1 138</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47</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Alemania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6,389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13,4839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1 003 554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334 518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1 074 907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358 302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1 114 959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371 653</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7,1410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1 162 713</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48</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Ghana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0,0338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2 513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838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2 692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897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2 792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931</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0,0140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2 278</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49</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Grecia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0,471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0,9940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73 982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24 661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79 243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26 414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82 195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27 398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0,6380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103 884</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50</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Guinea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0,0042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314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105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336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349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116</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164</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51</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Guinea-Bissau</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175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164</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52</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Honduras</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0,0169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1 257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419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1 346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449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1 396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465</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0,0080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1 303</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53</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Hungría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0,161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0,3398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25 289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8 430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27 087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9 029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28 096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9 365</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0,2660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43 308</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54</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India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0,737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1,5554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115 764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38 588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123 995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41 332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128 616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42 872</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0,6660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108 438</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55</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Irán (República Islámica del)</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0,471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0,9940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73 982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24 661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79 243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26 414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82 195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27 398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0,3560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57 963</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56</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Iraq *</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0,129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0,2723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20 263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6 754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21 703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7 234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22 512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7 504</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Nueva Parte</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57</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Irlanda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0,335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0,7070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52 620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17 540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56 362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18 787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58 462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19 487</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0,4180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68 062</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58</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Israel</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0,430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0,9075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67 542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22 514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72 345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24 115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75 040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25 013</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0,3960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64 475</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59</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Italia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3,748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7,9101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588 718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196 239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630 576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210 192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654 072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218 024</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4,4480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724 236</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60</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Jordania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0,020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0,0422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3 142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1 047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3 365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1 122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3 490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1 163</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0,0220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3 580</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61</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Kazajstán</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0,191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0,4031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30 001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10 000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32 134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10 711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33 332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11 111</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0,1210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19 700</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62</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proofErr w:type="spellStart"/>
            <w:r>
              <w:t>Kenya</w:t>
            </w:r>
            <w:proofErr w:type="spellEnd"/>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0,0380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2 827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942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3 028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1 009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3 141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1 047</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0,0130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2 114</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63</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Kirguistán</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0,0042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314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105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336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349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116</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327</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64</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Letonia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0,050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0,1055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7 854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2 618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8 412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2 804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8 726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2 909</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0,0470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7 651</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65</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Liberia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175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164</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lastRenderedPageBreak/>
              <w:t>66</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Libia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0,125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0,2638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19 634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6 545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21 030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7 010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21 814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7 271</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0,1420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23 124</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67</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Liechtenstein</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0,0148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1 100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367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1 178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393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1 222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407</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0,0090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1 466</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68</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Lituania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0,072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0,1520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11 309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3 770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12 114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4 038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12 565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4 188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0,0730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11 886</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69</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Luxemburgo</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0,064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0,1351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10 053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3 351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10 768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3 589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11 169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3 723</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0,0810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13 188</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70</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Madagascar</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0,0063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471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505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175</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0,0030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491</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71</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Malí</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0,0063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471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505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175</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0,0040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655</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72</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Malta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0,0338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2 513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838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2 692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897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2 792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931</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0,0160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2 604</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73</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Mauritania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0,0042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314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105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336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349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116</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327</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74</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Mauricio</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0,0253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1 885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628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2 019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673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2 094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698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0,0130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2 114</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75</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Mónaco</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0,0211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1 571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1 682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561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1 745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582</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0,0120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1 958</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76</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Mongolia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0,0106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785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262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841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280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873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291</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0,0030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491</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77</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Montenegro</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0,0084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628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209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673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698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233</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0,0050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811</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78</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Marruecos</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0,054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0,1140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8 482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2 827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9 085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3 028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9 424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3 141</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0,0620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10 092</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79</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Mozambique</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0,0084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628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209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673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698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233</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0,0030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491</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80</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Países Bajos</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1,482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3,1277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232 786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77 595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249 337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83 112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258 627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86 209</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1,6540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269 309</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81</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Nueva Zelandia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0,268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0,5656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42 096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14 032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45 089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15 030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46 769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15 590</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0,2530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41 195</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82</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Níger</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0,0042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314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105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336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349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116</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327</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83</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Nigeria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0,209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0,4411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32 829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10 943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35 163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11 721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36 473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12 158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0,0900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14 654</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84</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Noruega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0,849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1,7918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133 357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44 452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142 839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47 613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148 161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49 387</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0,8510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138 558</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85</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Pakistán</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0,093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0,1963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14 608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4 869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15 647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5 216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16 230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5 410</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0,0850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13 843</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86</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proofErr w:type="spellStart"/>
            <w:r>
              <w:t>Palau</w:t>
            </w:r>
            <w:proofErr w:type="spellEnd"/>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175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164</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87</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Panamá</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0,034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0,0718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5 341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1 780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5 720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1 907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5 933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1 978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0,0260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4 235</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88</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Paraguay</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0,0295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2 199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733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2 355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785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2 443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814</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0,0100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1 630</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89</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Perú</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0,136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0,2870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21 362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7 121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22 881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7 627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23 734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7 911</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0,1170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19 053</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90</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Filipinas</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0,165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0,3482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25 917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8 639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27 760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9 253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28 795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9 598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0,1540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25 074</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91</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Polonia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0,841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1,7749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132 100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44 033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141 493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47 164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146 765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48 922</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0,9210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149 961</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92</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Portugal</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0,392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0,8273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61 574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20 525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65 951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21 984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68 409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22 803</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0,4740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77 179</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93</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 xml:space="preserve">República de </w:t>
            </w:r>
            <w:proofErr w:type="spellStart"/>
            <w:r>
              <w:t>Moldova</w:t>
            </w:r>
            <w:proofErr w:type="spellEnd"/>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0,0084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628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209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673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698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233</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0,0030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491</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94</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Rumania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0,184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0,3883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28 902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9 634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30 957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10 319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32 110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10 703</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0,2260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36 797</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95</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proofErr w:type="spellStart"/>
            <w:r>
              <w:t>Rwanda</w:t>
            </w:r>
            <w:proofErr w:type="spellEnd"/>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0,0042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314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105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336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349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116</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327</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96</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Samoa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175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164</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97</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Santo Tomé y Príncipe</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175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164</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98</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Arabia Saudita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1,146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2,4186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180 008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60 003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192 807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64 269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199 991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66 664</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0,8640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140 678</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99</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Senegal</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0,0106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785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262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841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280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873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291</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0,0060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975</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100</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Serbia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0,032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0,0675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5 026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1 675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5 384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1 795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5 584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1 861</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0,0400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6 512</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101</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Seychelles</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175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164</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lastRenderedPageBreak/>
              <w:t>102</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Eslovaquia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0,160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0,3377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25 132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8 377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26 919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8 973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27 922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9 307</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0,1710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27 843</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103</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Eslovenia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0,084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0,1773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13 194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4 398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14 132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4 711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14 659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4 886</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0,1000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16 285</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104</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Somalia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175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164</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105</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Sudáfrica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0,364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0,7682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57 175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19 058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61 241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20 414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63 522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21 174</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0,3720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60 568</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106</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España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2,443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5,1559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383 735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127 912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411 019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137 006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426 334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142 111</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2,9730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484 071</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107</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Sri Lanka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0,031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0,0654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4 869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1 623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5 216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1 739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5 410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1 803</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0,0250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4 071</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108</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proofErr w:type="spellStart"/>
            <w:r>
              <w:t>Swazilandia</w:t>
            </w:r>
            <w:proofErr w:type="spellEnd"/>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0,0042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314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105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336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349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116</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0,0030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491</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109</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Suecia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0,956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2,0176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150 164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50 055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160 841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53 614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166 834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55 611</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0,9600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156 309</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110</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Suiza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1,140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2,4059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179 066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59 689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191 798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63 933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198 944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66 315</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1,0470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170 472</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111</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República Árabe Siria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0,0507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3 770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1 257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4 038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1 346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4 188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1 396</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0,0360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5 865</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112</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Tayikistán</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0,0084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628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209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673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698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233</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0,0030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491</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113</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La ERY de Macedonia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0,0148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1 100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367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1 178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393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1 222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407</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0,0080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1 303</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114</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Togo</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157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175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0,0010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164</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115</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Túnez</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0,028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0,0591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4 398</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1 466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4 711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1 570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4 886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1 629</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0,0360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5 865</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116</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Uganda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0,0190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1 414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471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1 514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505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1 571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524</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0,0060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975</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117</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Ucrania</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0,103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0,2174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16 179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5 393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17 329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5 776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17 975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5 992</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0,0990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16 120</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118</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Emiratos Árabes Unidos *</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0,604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1,2747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94 873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31 624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101 619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33 873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105 405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35 135</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Nueva Parte</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119</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Reino Unido</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4,463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9,4191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701 027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233 676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750 871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250 290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778 849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259 616</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5,1790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843 256</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120</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 xml:space="preserve">República Unida de </w:t>
            </w:r>
            <w:proofErr w:type="spellStart"/>
            <w:r>
              <w:t>Tanzanía</w:t>
            </w:r>
            <w:proofErr w:type="spellEnd"/>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0,0211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1 571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1 682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561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1 745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582</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0,0090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1 466</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121</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Uruguay</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0,079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0,1667</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12 409</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4 136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13 291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4 430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13 786</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4 595</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0,0520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8 469</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122</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Uzbekistán</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0,023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0,0485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3 613</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1 204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3 870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1 290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4 014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1 338</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0,0150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2 441</w:t>
            </w:r>
          </w:p>
        </w:tc>
      </w:tr>
      <w:tr w:rsidR="007459B2" w:rsidRPr="00E0707E" w:rsidTr="00245E18">
        <w:trPr>
          <w:trHeight w:val="19"/>
          <w:jc w:val="center"/>
        </w:trPr>
        <w:tc>
          <w:tcPr>
            <w:tcW w:w="518" w:type="dxa"/>
            <w:tcBorders>
              <w:top w:val="nil"/>
              <w:left w:val="single" w:sz="4" w:space="0" w:color="auto"/>
              <w:bottom w:val="dotted" w:sz="4"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123</w:t>
            </w:r>
          </w:p>
        </w:tc>
        <w:tc>
          <w:tcPr>
            <w:tcW w:w="2725"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rPr>
                <w:rFonts w:cs="Arial"/>
                <w:szCs w:val="18"/>
              </w:rPr>
            </w:pPr>
            <w:r>
              <w:t>Yemen</w:t>
            </w:r>
          </w:p>
        </w:tc>
        <w:tc>
          <w:tcPr>
            <w:tcW w:w="1004"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0,010</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0,0211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1 571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524</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1 682</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561</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1 745</w:t>
            </w:r>
          </w:p>
        </w:tc>
        <w:tc>
          <w:tcPr>
            <w:tcW w:w="0" w:type="auto"/>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582</w:t>
            </w:r>
          </w:p>
        </w:tc>
        <w:tc>
          <w:tcPr>
            <w:tcW w:w="1053"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0,0100</w:t>
            </w:r>
          </w:p>
        </w:tc>
        <w:tc>
          <w:tcPr>
            <w:tcW w:w="1587" w:type="dxa"/>
            <w:tcBorders>
              <w:top w:val="nil"/>
              <w:left w:val="nil"/>
              <w:bottom w:val="dotted" w:sz="4"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1 630</w:t>
            </w:r>
          </w:p>
        </w:tc>
      </w:tr>
      <w:tr w:rsidR="007459B2" w:rsidRPr="00E0707E" w:rsidTr="00245E18">
        <w:trPr>
          <w:trHeight w:val="19"/>
          <w:jc w:val="center"/>
        </w:trPr>
        <w:tc>
          <w:tcPr>
            <w:tcW w:w="518" w:type="dxa"/>
            <w:tcBorders>
              <w:top w:val="nil"/>
              <w:left w:val="single" w:sz="4" w:space="0" w:color="auto"/>
              <w:bottom w:val="single" w:sz="12" w:space="0" w:color="auto"/>
              <w:right w:val="single" w:sz="4" w:space="0" w:color="auto"/>
            </w:tcBorders>
            <w:shd w:val="clear" w:color="000000" w:fill="FFFFFF"/>
            <w:noWrap/>
          </w:tcPr>
          <w:p w:rsidR="007459B2" w:rsidRPr="00E0707E" w:rsidRDefault="007459B2" w:rsidP="00245E18">
            <w:pPr>
              <w:widowControl/>
              <w:autoSpaceDE/>
              <w:autoSpaceDN/>
              <w:adjustRightInd/>
              <w:jc w:val="center"/>
              <w:rPr>
                <w:rFonts w:cs="Arial"/>
                <w:szCs w:val="18"/>
              </w:rPr>
            </w:pPr>
            <w:r>
              <w:t>124</w:t>
            </w:r>
          </w:p>
        </w:tc>
        <w:tc>
          <w:tcPr>
            <w:tcW w:w="2725" w:type="dxa"/>
            <w:tcBorders>
              <w:top w:val="nil"/>
              <w:left w:val="nil"/>
              <w:bottom w:val="single" w:sz="12" w:space="0" w:color="auto"/>
              <w:right w:val="single" w:sz="4" w:space="0" w:color="auto"/>
            </w:tcBorders>
            <w:noWrap/>
          </w:tcPr>
          <w:p w:rsidR="007459B2" w:rsidRPr="00E0707E" w:rsidRDefault="007459B2" w:rsidP="00245E18">
            <w:pPr>
              <w:widowControl/>
              <w:autoSpaceDE/>
              <w:autoSpaceDN/>
              <w:adjustRightInd/>
              <w:rPr>
                <w:rFonts w:cs="Arial"/>
                <w:szCs w:val="18"/>
              </w:rPr>
            </w:pPr>
            <w:proofErr w:type="spellStart"/>
            <w:r>
              <w:t>Zimbabwe</w:t>
            </w:r>
            <w:proofErr w:type="spellEnd"/>
          </w:p>
        </w:tc>
        <w:tc>
          <w:tcPr>
            <w:tcW w:w="1004" w:type="dxa"/>
            <w:tcBorders>
              <w:top w:val="nil"/>
              <w:left w:val="nil"/>
              <w:bottom w:val="single" w:sz="12"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0,004</w:t>
            </w:r>
          </w:p>
        </w:tc>
        <w:tc>
          <w:tcPr>
            <w:tcW w:w="0" w:type="auto"/>
            <w:tcBorders>
              <w:top w:val="nil"/>
              <w:left w:val="nil"/>
              <w:bottom w:val="single" w:sz="12"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0,0084</w:t>
            </w:r>
          </w:p>
        </w:tc>
        <w:tc>
          <w:tcPr>
            <w:tcW w:w="0" w:type="auto"/>
            <w:tcBorders>
              <w:top w:val="nil"/>
              <w:left w:val="nil"/>
              <w:bottom w:val="single" w:sz="12"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628</w:t>
            </w:r>
          </w:p>
        </w:tc>
        <w:tc>
          <w:tcPr>
            <w:tcW w:w="0" w:type="auto"/>
            <w:tcBorders>
              <w:top w:val="nil"/>
              <w:left w:val="nil"/>
              <w:bottom w:val="single" w:sz="12"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209</w:t>
            </w:r>
          </w:p>
        </w:tc>
        <w:tc>
          <w:tcPr>
            <w:tcW w:w="0" w:type="auto"/>
            <w:tcBorders>
              <w:top w:val="nil"/>
              <w:left w:val="nil"/>
              <w:bottom w:val="single" w:sz="12"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673</w:t>
            </w:r>
          </w:p>
        </w:tc>
        <w:tc>
          <w:tcPr>
            <w:tcW w:w="0" w:type="auto"/>
            <w:tcBorders>
              <w:top w:val="nil"/>
              <w:left w:val="nil"/>
              <w:bottom w:val="single" w:sz="12"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224</w:t>
            </w:r>
          </w:p>
        </w:tc>
        <w:tc>
          <w:tcPr>
            <w:tcW w:w="0" w:type="auto"/>
            <w:tcBorders>
              <w:top w:val="nil"/>
              <w:left w:val="nil"/>
              <w:bottom w:val="single" w:sz="12"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698</w:t>
            </w:r>
          </w:p>
        </w:tc>
        <w:tc>
          <w:tcPr>
            <w:tcW w:w="0" w:type="auto"/>
            <w:tcBorders>
              <w:top w:val="nil"/>
              <w:left w:val="nil"/>
              <w:bottom w:val="single" w:sz="12"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233</w:t>
            </w:r>
          </w:p>
        </w:tc>
        <w:tc>
          <w:tcPr>
            <w:tcW w:w="1053" w:type="dxa"/>
            <w:tcBorders>
              <w:top w:val="nil"/>
              <w:left w:val="nil"/>
              <w:bottom w:val="single" w:sz="12" w:space="0" w:color="auto"/>
              <w:right w:val="single" w:sz="4" w:space="0" w:color="auto"/>
            </w:tcBorders>
            <w:noWrap/>
          </w:tcPr>
          <w:p w:rsidR="007459B2" w:rsidRPr="00E0707E" w:rsidRDefault="007459B2" w:rsidP="00245E18">
            <w:pPr>
              <w:widowControl/>
              <w:autoSpaceDE/>
              <w:autoSpaceDN/>
              <w:adjustRightInd/>
              <w:jc w:val="center"/>
              <w:rPr>
                <w:rFonts w:cs="Arial"/>
                <w:szCs w:val="18"/>
              </w:rPr>
            </w:pPr>
            <w:r>
              <w:t>0,0020</w:t>
            </w:r>
          </w:p>
        </w:tc>
        <w:tc>
          <w:tcPr>
            <w:tcW w:w="1587" w:type="dxa"/>
            <w:tcBorders>
              <w:top w:val="nil"/>
              <w:left w:val="nil"/>
              <w:bottom w:val="single" w:sz="12" w:space="0" w:color="auto"/>
              <w:right w:val="single" w:sz="4" w:space="0" w:color="auto"/>
            </w:tcBorders>
            <w:noWrap/>
          </w:tcPr>
          <w:p w:rsidR="007459B2" w:rsidRPr="00E0707E" w:rsidRDefault="007459B2" w:rsidP="00245E18">
            <w:pPr>
              <w:widowControl/>
              <w:autoSpaceDE/>
              <w:autoSpaceDN/>
              <w:adjustRightInd/>
              <w:jc w:val="right"/>
              <w:rPr>
                <w:rFonts w:cs="Arial"/>
                <w:szCs w:val="18"/>
              </w:rPr>
            </w:pPr>
            <w:r>
              <w:t>327</w:t>
            </w:r>
          </w:p>
        </w:tc>
      </w:tr>
      <w:tr w:rsidR="007459B2" w:rsidRPr="00E0707E" w:rsidTr="00245E18">
        <w:trPr>
          <w:trHeight w:val="420"/>
          <w:jc w:val="center"/>
        </w:trPr>
        <w:tc>
          <w:tcPr>
            <w:tcW w:w="518" w:type="dxa"/>
            <w:tcBorders>
              <w:top w:val="single" w:sz="12" w:space="0" w:color="auto"/>
              <w:left w:val="single" w:sz="4" w:space="0" w:color="auto"/>
              <w:bottom w:val="single" w:sz="12" w:space="0" w:color="auto"/>
              <w:right w:val="single" w:sz="4" w:space="0" w:color="auto"/>
            </w:tcBorders>
            <w:shd w:val="clear" w:color="auto" w:fill="D9D9D9"/>
            <w:noWrap/>
            <w:vAlign w:val="center"/>
          </w:tcPr>
          <w:p w:rsidR="007459B2" w:rsidRPr="00E0707E" w:rsidRDefault="007459B2" w:rsidP="00245E18">
            <w:pPr>
              <w:widowControl/>
              <w:autoSpaceDE/>
              <w:autoSpaceDN/>
              <w:adjustRightInd/>
              <w:jc w:val="right"/>
              <w:rPr>
                <w:rFonts w:cs="Arial"/>
                <w:b/>
                <w:bCs/>
                <w:szCs w:val="18"/>
              </w:rPr>
            </w:pPr>
          </w:p>
        </w:tc>
        <w:tc>
          <w:tcPr>
            <w:tcW w:w="2725" w:type="dxa"/>
            <w:tcBorders>
              <w:top w:val="single" w:sz="12" w:space="0" w:color="auto"/>
              <w:left w:val="nil"/>
              <w:bottom w:val="single" w:sz="12" w:space="0" w:color="auto"/>
              <w:right w:val="single" w:sz="4" w:space="0" w:color="auto"/>
            </w:tcBorders>
            <w:shd w:val="clear" w:color="auto" w:fill="D9D9D9"/>
            <w:noWrap/>
            <w:vAlign w:val="center"/>
          </w:tcPr>
          <w:p w:rsidR="007459B2" w:rsidRPr="00E0707E" w:rsidRDefault="007459B2" w:rsidP="00245E18">
            <w:pPr>
              <w:widowControl/>
              <w:autoSpaceDE/>
              <w:autoSpaceDN/>
              <w:adjustRightInd/>
              <w:rPr>
                <w:rFonts w:cs="Arial"/>
                <w:b/>
                <w:bCs/>
                <w:szCs w:val="18"/>
              </w:rPr>
            </w:pPr>
            <w:proofErr w:type="gramStart"/>
            <w:r>
              <w:rPr>
                <w:b/>
              </w:rPr>
              <w:t>TOTAL</w:t>
            </w:r>
            <w:proofErr w:type="gramEnd"/>
            <w:r>
              <w:rPr>
                <w:b/>
              </w:rPr>
              <w:t xml:space="preserve"> GENERAL</w:t>
            </w:r>
          </w:p>
        </w:tc>
        <w:tc>
          <w:tcPr>
            <w:tcW w:w="1004" w:type="dxa"/>
            <w:tcBorders>
              <w:top w:val="single" w:sz="12" w:space="0" w:color="auto"/>
              <w:left w:val="nil"/>
              <w:bottom w:val="single" w:sz="12" w:space="0" w:color="auto"/>
              <w:right w:val="single" w:sz="4" w:space="0" w:color="auto"/>
            </w:tcBorders>
            <w:shd w:val="clear" w:color="auto" w:fill="D9D9D9"/>
            <w:noWrap/>
            <w:vAlign w:val="center"/>
          </w:tcPr>
          <w:p w:rsidR="007459B2" w:rsidRPr="00E0707E" w:rsidRDefault="007459B2" w:rsidP="00245E18">
            <w:pPr>
              <w:widowControl/>
              <w:autoSpaceDE/>
              <w:autoSpaceDN/>
              <w:adjustRightInd/>
              <w:jc w:val="center"/>
              <w:rPr>
                <w:rFonts w:cs="Arial"/>
                <w:b/>
                <w:bCs/>
                <w:szCs w:val="18"/>
              </w:rPr>
            </w:pPr>
            <w:r>
              <w:rPr>
                <w:b/>
              </w:rPr>
              <w:t>46.198</w:t>
            </w:r>
          </w:p>
        </w:tc>
        <w:tc>
          <w:tcPr>
            <w:tcW w:w="0" w:type="auto"/>
            <w:tcBorders>
              <w:top w:val="single" w:sz="12" w:space="0" w:color="auto"/>
              <w:left w:val="nil"/>
              <w:bottom w:val="single" w:sz="12" w:space="0" w:color="auto"/>
              <w:right w:val="single" w:sz="4" w:space="0" w:color="auto"/>
            </w:tcBorders>
            <w:shd w:val="clear" w:color="auto" w:fill="D9D9D9"/>
            <w:noWrap/>
            <w:vAlign w:val="center"/>
          </w:tcPr>
          <w:p w:rsidR="007459B2" w:rsidRPr="00E0707E" w:rsidRDefault="007459B2" w:rsidP="00245E18">
            <w:pPr>
              <w:widowControl/>
              <w:autoSpaceDE/>
              <w:autoSpaceDN/>
              <w:adjustRightInd/>
              <w:jc w:val="center"/>
              <w:rPr>
                <w:rFonts w:cs="Arial"/>
                <w:b/>
                <w:bCs/>
                <w:szCs w:val="18"/>
              </w:rPr>
            </w:pPr>
            <w:r>
              <w:rPr>
                <w:b/>
              </w:rPr>
              <w:t>100.000</w:t>
            </w:r>
          </w:p>
        </w:tc>
        <w:tc>
          <w:tcPr>
            <w:tcW w:w="0" w:type="auto"/>
            <w:tcBorders>
              <w:top w:val="single" w:sz="12" w:space="0" w:color="auto"/>
              <w:left w:val="nil"/>
              <w:bottom w:val="single" w:sz="12" w:space="0" w:color="auto"/>
              <w:right w:val="single" w:sz="4" w:space="0" w:color="auto"/>
            </w:tcBorders>
            <w:shd w:val="clear" w:color="auto" w:fill="D9D9D9"/>
            <w:noWrap/>
            <w:vAlign w:val="center"/>
          </w:tcPr>
          <w:p w:rsidR="007459B2" w:rsidRPr="00E0707E" w:rsidRDefault="007459B2" w:rsidP="00245E18">
            <w:pPr>
              <w:widowControl/>
              <w:autoSpaceDE/>
              <w:autoSpaceDN/>
              <w:adjustRightInd/>
              <w:jc w:val="right"/>
              <w:rPr>
                <w:rFonts w:cs="Arial"/>
                <w:b/>
                <w:bCs/>
                <w:szCs w:val="18"/>
              </w:rPr>
            </w:pPr>
            <w:r>
              <w:rPr>
                <w:b/>
              </w:rPr>
              <w:t>7 442 628</w:t>
            </w:r>
          </w:p>
        </w:tc>
        <w:tc>
          <w:tcPr>
            <w:tcW w:w="0" w:type="auto"/>
            <w:tcBorders>
              <w:top w:val="single" w:sz="12" w:space="0" w:color="auto"/>
              <w:left w:val="nil"/>
              <w:bottom w:val="single" w:sz="12" w:space="0" w:color="auto"/>
              <w:right w:val="single" w:sz="4" w:space="0" w:color="auto"/>
            </w:tcBorders>
            <w:shd w:val="clear" w:color="auto" w:fill="D9D9D9"/>
            <w:noWrap/>
            <w:vAlign w:val="center"/>
          </w:tcPr>
          <w:p w:rsidR="007459B2" w:rsidRPr="00E0707E" w:rsidRDefault="007459B2" w:rsidP="00245E18">
            <w:pPr>
              <w:widowControl/>
              <w:autoSpaceDE/>
              <w:autoSpaceDN/>
              <w:adjustRightInd/>
              <w:jc w:val="right"/>
              <w:rPr>
                <w:rFonts w:cs="Arial"/>
                <w:b/>
                <w:bCs/>
                <w:szCs w:val="18"/>
              </w:rPr>
            </w:pPr>
            <w:r>
              <w:rPr>
                <w:b/>
              </w:rPr>
              <w:t>2 480 876</w:t>
            </w:r>
          </w:p>
        </w:tc>
        <w:tc>
          <w:tcPr>
            <w:tcW w:w="0" w:type="auto"/>
            <w:tcBorders>
              <w:top w:val="single" w:sz="12" w:space="0" w:color="auto"/>
              <w:left w:val="nil"/>
              <w:bottom w:val="single" w:sz="12" w:space="0" w:color="auto"/>
              <w:right w:val="single" w:sz="4" w:space="0" w:color="auto"/>
            </w:tcBorders>
            <w:shd w:val="clear" w:color="auto" w:fill="D9D9D9"/>
            <w:noWrap/>
            <w:vAlign w:val="center"/>
          </w:tcPr>
          <w:p w:rsidR="007459B2" w:rsidRPr="00E0707E" w:rsidRDefault="007459B2" w:rsidP="00245E18">
            <w:pPr>
              <w:widowControl/>
              <w:autoSpaceDE/>
              <w:autoSpaceDN/>
              <w:adjustRightInd/>
              <w:jc w:val="right"/>
              <w:rPr>
                <w:rFonts w:cs="Arial"/>
                <w:b/>
                <w:bCs/>
                <w:szCs w:val="18"/>
              </w:rPr>
            </w:pPr>
            <w:r>
              <w:rPr>
                <w:b/>
              </w:rPr>
              <w:t>7 971 806</w:t>
            </w:r>
          </w:p>
        </w:tc>
        <w:tc>
          <w:tcPr>
            <w:tcW w:w="0" w:type="auto"/>
            <w:tcBorders>
              <w:top w:val="single" w:sz="12" w:space="0" w:color="auto"/>
              <w:left w:val="nil"/>
              <w:bottom w:val="single" w:sz="12" w:space="0" w:color="auto"/>
              <w:right w:val="single" w:sz="4" w:space="0" w:color="auto"/>
            </w:tcBorders>
            <w:shd w:val="clear" w:color="auto" w:fill="D9D9D9"/>
            <w:noWrap/>
            <w:vAlign w:val="center"/>
          </w:tcPr>
          <w:p w:rsidR="007459B2" w:rsidRPr="00E0707E" w:rsidRDefault="007459B2" w:rsidP="00245E18">
            <w:pPr>
              <w:widowControl/>
              <w:autoSpaceDE/>
              <w:autoSpaceDN/>
              <w:adjustRightInd/>
              <w:jc w:val="right"/>
              <w:rPr>
                <w:rFonts w:cs="Arial"/>
                <w:b/>
                <w:bCs/>
                <w:szCs w:val="18"/>
              </w:rPr>
            </w:pPr>
            <w:r>
              <w:rPr>
                <w:b/>
              </w:rPr>
              <w:t>2 657 269</w:t>
            </w:r>
          </w:p>
        </w:tc>
        <w:tc>
          <w:tcPr>
            <w:tcW w:w="0" w:type="auto"/>
            <w:tcBorders>
              <w:top w:val="single" w:sz="12" w:space="0" w:color="auto"/>
              <w:left w:val="nil"/>
              <w:bottom w:val="single" w:sz="12" w:space="0" w:color="auto"/>
              <w:right w:val="single" w:sz="4" w:space="0" w:color="auto"/>
            </w:tcBorders>
            <w:shd w:val="clear" w:color="auto" w:fill="D9D9D9"/>
            <w:noWrap/>
            <w:vAlign w:val="center"/>
          </w:tcPr>
          <w:p w:rsidR="007459B2" w:rsidRPr="00E0707E" w:rsidRDefault="007459B2" w:rsidP="00245E18">
            <w:pPr>
              <w:widowControl/>
              <w:autoSpaceDE/>
              <w:autoSpaceDN/>
              <w:adjustRightInd/>
              <w:jc w:val="right"/>
              <w:rPr>
                <w:rFonts w:cs="Arial"/>
                <w:b/>
                <w:bCs/>
                <w:szCs w:val="18"/>
              </w:rPr>
            </w:pPr>
            <w:r>
              <w:rPr>
                <w:b/>
              </w:rPr>
              <w:t>8 268 842</w:t>
            </w:r>
          </w:p>
        </w:tc>
        <w:tc>
          <w:tcPr>
            <w:tcW w:w="0" w:type="auto"/>
            <w:tcBorders>
              <w:top w:val="single" w:sz="12" w:space="0" w:color="auto"/>
              <w:left w:val="nil"/>
              <w:bottom w:val="single" w:sz="12" w:space="0" w:color="auto"/>
              <w:right w:val="single" w:sz="4" w:space="0" w:color="auto"/>
            </w:tcBorders>
            <w:shd w:val="clear" w:color="auto" w:fill="D9D9D9"/>
            <w:noWrap/>
            <w:vAlign w:val="center"/>
          </w:tcPr>
          <w:p w:rsidR="007459B2" w:rsidRPr="00E0707E" w:rsidRDefault="007459B2" w:rsidP="00245E18">
            <w:pPr>
              <w:widowControl/>
              <w:autoSpaceDE/>
              <w:autoSpaceDN/>
              <w:adjustRightInd/>
              <w:jc w:val="right"/>
              <w:rPr>
                <w:rFonts w:cs="Arial"/>
                <w:b/>
                <w:bCs/>
                <w:szCs w:val="18"/>
              </w:rPr>
            </w:pPr>
            <w:r>
              <w:rPr>
                <w:b/>
              </w:rPr>
              <w:t>2 756 281</w:t>
            </w:r>
          </w:p>
        </w:tc>
        <w:tc>
          <w:tcPr>
            <w:tcW w:w="1053" w:type="dxa"/>
            <w:tcBorders>
              <w:top w:val="single" w:sz="12" w:space="0" w:color="auto"/>
              <w:left w:val="nil"/>
              <w:bottom w:val="single" w:sz="12" w:space="0" w:color="auto"/>
              <w:right w:val="single" w:sz="4" w:space="0" w:color="auto"/>
            </w:tcBorders>
            <w:shd w:val="clear" w:color="auto" w:fill="D9D9D9"/>
            <w:noWrap/>
            <w:vAlign w:val="center"/>
          </w:tcPr>
          <w:p w:rsidR="007459B2" w:rsidRPr="00E0707E" w:rsidRDefault="007459B2" w:rsidP="00245E18">
            <w:pPr>
              <w:widowControl/>
              <w:autoSpaceDE/>
              <w:autoSpaceDN/>
              <w:adjustRightInd/>
              <w:jc w:val="right"/>
              <w:rPr>
                <w:rFonts w:cs="Arial"/>
                <w:b/>
                <w:bCs/>
                <w:szCs w:val="18"/>
              </w:rPr>
            </w:pPr>
          </w:p>
        </w:tc>
        <w:tc>
          <w:tcPr>
            <w:tcW w:w="1587" w:type="dxa"/>
            <w:tcBorders>
              <w:top w:val="single" w:sz="12" w:space="0" w:color="auto"/>
              <w:left w:val="nil"/>
              <w:bottom w:val="single" w:sz="12" w:space="0" w:color="auto"/>
              <w:right w:val="single" w:sz="4" w:space="0" w:color="auto"/>
            </w:tcBorders>
            <w:shd w:val="clear" w:color="auto" w:fill="D9D9D9"/>
            <w:noWrap/>
            <w:vAlign w:val="center"/>
          </w:tcPr>
          <w:p w:rsidR="007459B2" w:rsidRPr="00E0707E" w:rsidRDefault="007459B2" w:rsidP="00245E18">
            <w:pPr>
              <w:widowControl/>
              <w:numPr>
                <w:ilvl w:val="0"/>
                <w:numId w:val="17"/>
              </w:numPr>
              <w:autoSpaceDE/>
              <w:autoSpaceDN/>
              <w:adjustRightInd/>
              <w:jc w:val="right"/>
              <w:rPr>
                <w:rFonts w:cs="Arial"/>
                <w:b/>
                <w:bCs/>
                <w:szCs w:val="18"/>
              </w:rPr>
            </w:pPr>
            <w:r>
              <w:rPr>
                <w:b/>
              </w:rPr>
              <w:t>442 630</w:t>
            </w:r>
          </w:p>
        </w:tc>
      </w:tr>
    </w:tbl>
    <w:p w:rsidR="007459B2" w:rsidRPr="00EB2527" w:rsidRDefault="007459B2" w:rsidP="00245E18">
      <w:pPr>
        <w:spacing w:before="120"/>
      </w:pPr>
      <w:r>
        <w:t xml:space="preserve">* Países que se han adherido a la Convención después del 1º de enero de 2015 </w:t>
      </w:r>
    </w:p>
    <w:p w:rsidR="007459B2" w:rsidRPr="00245E18" w:rsidRDefault="007459B2" w:rsidP="00245E18">
      <w:pPr>
        <w:jc w:val="right"/>
        <w:rPr>
          <w:rFonts w:cs="Arial"/>
          <w:sz w:val="22"/>
          <w:szCs w:val="22"/>
        </w:rPr>
      </w:pPr>
    </w:p>
    <w:p w:rsidR="007459B2" w:rsidRPr="00245E18" w:rsidRDefault="007459B2" w:rsidP="007910DD">
      <w:pPr>
        <w:rPr>
          <w:rFonts w:cs="Arial"/>
          <w:sz w:val="22"/>
          <w:szCs w:val="22"/>
        </w:rPr>
      </w:pPr>
    </w:p>
    <w:p w:rsidR="007459B2" w:rsidRPr="00245E18" w:rsidRDefault="007459B2" w:rsidP="007910DD">
      <w:pPr>
        <w:rPr>
          <w:rFonts w:cs="Arial"/>
          <w:sz w:val="22"/>
          <w:szCs w:val="22"/>
        </w:rPr>
        <w:sectPr w:rsidR="007459B2" w:rsidRPr="00245E18" w:rsidSect="00245E18">
          <w:headerReference w:type="even" r:id="rId19"/>
          <w:headerReference w:type="default" r:id="rId20"/>
          <w:headerReference w:type="first" r:id="rId21"/>
          <w:endnotePr>
            <w:numFmt w:val="decimal"/>
          </w:endnotePr>
          <w:pgSz w:w="16837" w:h="11905" w:orient="landscape" w:code="9"/>
          <w:pgMar w:top="1411" w:right="1008" w:bottom="1411" w:left="1152" w:header="432" w:footer="432" w:gutter="0"/>
          <w:cols w:space="720"/>
          <w:noEndnote/>
          <w:titlePg/>
          <w:rtlGutter/>
          <w:docGrid w:linePitch="272"/>
        </w:sectPr>
      </w:pPr>
    </w:p>
    <w:p w:rsidR="007459B2" w:rsidRPr="00A14313" w:rsidRDefault="007459B2" w:rsidP="00245E18">
      <w:pPr>
        <w:widowControl/>
        <w:autoSpaceDE/>
        <w:adjustRightInd/>
        <w:jc w:val="right"/>
        <w:rPr>
          <w:rFonts w:cs="Arial"/>
          <w:b/>
          <w:bCs/>
          <w:caps/>
          <w:sz w:val="22"/>
          <w:szCs w:val="22"/>
        </w:rPr>
      </w:pPr>
      <w:r>
        <w:rPr>
          <w:b/>
          <w:caps/>
          <w:sz w:val="22"/>
        </w:rPr>
        <w:lastRenderedPageBreak/>
        <w:t>Anexo 3</w:t>
      </w:r>
    </w:p>
    <w:p w:rsidR="007459B2" w:rsidRPr="00A14313" w:rsidRDefault="007459B2" w:rsidP="007910DD">
      <w:pPr>
        <w:rPr>
          <w:rFonts w:cs="Arial"/>
          <w:sz w:val="22"/>
          <w:szCs w:val="22"/>
        </w:rPr>
      </w:pPr>
    </w:p>
    <w:p w:rsidR="007459B2" w:rsidRPr="00DA1F72" w:rsidRDefault="007459B2" w:rsidP="007910DD">
      <w:pPr>
        <w:jc w:val="center"/>
        <w:rPr>
          <w:rFonts w:cs="Arial"/>
          <w:sz w:val="22"/>
          <w:szCs w:val="22"/>
        </w:rPr>
      </w:pPr>
      <w:r w:rsidRPr="00DA1F72">
        <w:rPr>
          <w:sz w:val="22"/>
          <w:szCs w:val="22"/>
        </w:rPr>
        <w:t>PROYECTO DE RESOLUCIÓN</w:t>
      </w:r>
    </w:p>
    <w:p w:rsidR="007459B2" w:rsidRPr="00DA1F72" w:rsidRDefault="007459B2" w:rsidP="007910DD">
      <w:pPr>
        <w:jc w:val="center"/>
        <w:rPr>
          <w:rFonts w:cs="Arial"/>
          <w:sz w:val="22"/>
          <w:szCs w:val="22"/>
        </w:rPr>
      </w:pPr>
    </w:p>
    <w:p w:rsidR="007459B2" w:rsidRPr="00DA1F72" w:rsidRDefault="007459B2"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r w:rsidRPr="00DA1F72">
        <w:rPr>
          <w:b/>
          <w:caps/>
          <w:sz w:val="22"/>
          <w:szCs w:val="22"/>
        </w:rPr>
        <w:t>ASUNTOS ADMINISTRATIVOS Y FINANCIEROS</w:t>
      </w:r>
    </w:p>
    <w:p w:rsidR="007459B2" w:rsidRPr="00DA1F72" w:rsidRDefault="007459B2"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p>
    <w:p w:rsidR="007459B2" w:rsidRPr="00DA1F72" w:rsidRDefault="007459B2" w:rsidP="001E0D2C">
      <w:pPr>
        <w:jc w:val="both"/>
        <w:rPr>
          <w:rFonts w:cs="Arial"/>
          <w:sz w:val="22"/>
          <w:szCs w:val="22"/>
        </w:rPr>
      </w:pPr>
      <w:r w:rsidRPr="00DA1F72">
        <w:rPr>
          <w:i/>
          <w:sz w:val="22"/>
          <w:szCs w:val="22"/>
        </w:rPr>
        <w:t>Recordando</w:t>
      </w:r>
      <w:r w:rsidRPr="00DA1F72">
        <w:rPr>
          <w:sz w:val="22"/>
          <w:szCs w:val="22"/>
        </w:rPr>
        <w:t xml:space="preserve"> el Artículo VII, párrafo 4, de la Convención, que dice lo siguiente:</w:t>
      </w:r>
    </w:p>
    <w:p w:rsidR="007459B2" w:rsidRPr="00502DE0" w:rsidRDefault="007459B2" w:rsidP="001E0D2C">
      <w:pPr>
        <w:jc w:val="both"/>
        <w:rPr>
          <w:rFonts w:cs="Arial"/>
          <w:szCs w:val="18"/>
        </w:rPr>
      </w:pPr>
    </w:p>
    <w:p w:rsidR="007459B2" w:rsidRPr="00DA1F72" w:rsidRDefault="007459B2" w:rsidP="001E0D2C">
      <w:pPr>
        <w:jc w:val="both"/>
        <w:rPr>
          <w:rFonts w:cs="Arial"/>
          <w:sz w:val="22"/>
          <w:szCs w:val="22"/>
        </w:rPr>
      </w:pPr>
      <w:r w:rsidRPr="00DA1F72">
        <w:rPr>
          <w:sz w:val="22"/>
          <w:szCs w:val="22"/>
        </w:rPr>
        <w:t>“La Conferencia de las Partes establecerá y mantendrá en examen el reglamento financiero de la presente Convención.  La Conferencia de las Partes, en cada una de sus reuniones ordinarias, aprobará el presupuesto para el ejercicio económico siguiente.  Cada una de las Partes contribuirá a este presupuesto conforme a una escala convenida por la Conferencia”;</w:t>
      </w:r>
    </w:p>
    <w:p w:rsidR="007459B2" w:rsidRPr="00502DE0" w:rsidRDefault="007459B2" w:rsidP="001E0D2C">
      <w:pPr>
        <w:jc w:val="both"/>
        <w:rPr>
          <w:rFonts w:cs="Arial"/>
          <w:szCs w:val="18"/>
        </w:rPr>
      </w:pPr>
    </w:p>
    <w:p w:rsidR="007459B2" w:rsidRPr="00DA1F72" w:rsidRDefault="007459B2" w:rsidP="001E0D2C">
      <w:pPr>
        <w:jc w:val="both"/>
        <w:rPr>
          <w:rFonts w:cs="Arial"/>
          <w:sz w:val="22"/>
          <w:szCs w:val="22"/>
        </w:rPr>
      </w:pPr>
      <w:r w:rsidRPr="00DA1F72">
        <w:rPr>
          <w:i/>
          <w:sz w:val="22"/>
          <w:szCs w:val="22"/>
        </w:rPr>
        <w:t>Reconociendo</w:t>
      </w:r>
      <w:r w:rsidRPr="00DA1F72">
        <w:rPr>
          <w:sz w:val="22"/>
          <w:szCs w:val="22"/>
        </w:rPr>
        <w:t xml:space="preserve"> la importancia de que todas las Partes puedan participar en la aplicación de la Convención y las actividades relacionadas; y</w:t>
      </w:r>
    </w:p>
    <w:p w:rsidR="007459B2" w:rsidRPr="00502DE0" w:rsidRDefault="007459B2" w:rsidP="001E0D2C">
      <w:pPr>
        <w:jc w:val="both"/>
        <w:rPr>
          <w:rFonts w:cs="Arial"/>
          <w:szCs w:val="18"/>
        </w:rPr>
      </w:pPr>
    </w:p>
    <w:p w:rsidR="007459B2" w:rsidRPr="00DA1F72" w:rsidRDefault="007459B2" w:rsidP="001E0D2C">
      <w:pPr>
        <w:jc w:val="both"/>
        <w:rPr>
          <w:rFonts w:cs="Arial"/>
          <w:sz w:val="22"/>
          <w:szCs w:val="22"/>
        </w:rPr>
      </w:pPr>
      <w:r w:rsidRPr="00DA1F72">
        <w:rPr>
          <w:i/>
          <w:sz w:val="22"/>
          <w:szCs w:val="22"/>
        </w:rPr>
        <w:t xml:space="preserve">Teniendo en cuenta </w:t>
      </w:r>
      <w:r w:rsidRPr="00DA1F72">
        <w:rPr>
          <w:sz w:val="22"/>
          <w:szCs w:val="22"/>
        </w:rPr>
        <w:t xml:space="preserve">el aumento del número de las Partes, de otros países y organizaciones que asisten a la reunión de la Conferencia de las Partes en calidad de observadores, así como los gastos adicionales resultantes para las Partes; y </w:t>
      </w:r>
    </w:p>
    <w:p w:rsidR="007459B2" w:rsidRPr="00502DE0" w:rsidRDefault="007459B2" w:rsidP="001E0D2C">
      <w:pPr>
        <w:jc w:val="both"/>
        <w:rPr>
          <w:rFonts w:cs="Arial"/>
          <w:szCs w:val="18"/>
        </w:rPr>
      </w:pPr>
    </w:p>
    <w:p w:rsidR="007459B2" w:rsidRPr="00DA1F72" w:rsidRDefault="007459B2" w:rsidP="001E0D2C">
      <w:pPr>
        <w:jc w:val="both"/>
        <w:rPr>
          <w:rFonts w:cs="Arial"/>
          <w:sz w:val="22"/>
          <w:szCs w:val="22"/>
        </w:rPr>
      </w:pPr>
      <w:r w:rsidRPr="00DA1F72">
        <w:rPr>
          <w:i/>
          <w:sz w:val="22"/>
          <w:szCs w:val="22"/>
        </w:rPr>
        <w:t>Recordando</w:t>
      </w:r>
      <w:r w:rsidRPr="00DA1F72">
        <w:rPr>
          <w:sz w:val="22"/>
          <w:szCs w:val="22"/>
        </w:rPr>
        <w:t xml:space="preserve"> la Resolución 10.1, en la que se pide a la Secretaría que emprenda un examen de la clasificación de los puestos de la Secretaría, teniendo en cuenta los resultados del Grupo de trabajo sobre la estructura futura de la CMS, para hacer posibles las decisiones sobre la clasificación de los puestos que han de adoptar las Partes en la COP11; y</w:t>
      </w:r>
    </w:p>
    <w:p w:rsidR="007459B2" w:rsidRPr="00502DE0" w:rsidRDefault="007459B2" w:rsidP="001E0D2C">
      <w:pPr>
        <w:jc w:val="both"/>
        <w:rPr>
          <w:rFonts w:cs="Arial"/>
          <w:szCs w:val="18"/>
        </w:rPr>
      </w:pPr>
    </w:p>
    <w:p w:rsidR="007459B2" w:rsidRPr="00DA1F72" w:rsidRDefault="007459B2" w:rsidP="001E0D2C">
      <w:pPr>
        <w:jc w:val="both"/>
        <w:rPr>
          <w:rFonts w:cs="Arial"/>
          <w:i/>
          <w:sz w:val="22"/>
          <w:szCs w:val="22"/>
        </w:rPr>
      </w:pPr>
      <w:r w:rsidRPr="00DA1F72">
        <w:rPr>
          <w:i/>
          <w:sz w:val="22"/>
          <w:szCs w:val="22"/>
        </w:rPr>
        <w:t>Tomando nota</w:t>
      </w:r>
      <w:r w:rsidRPr="00DA1F72">
        <w:rPr>
          <w:sz w:val="22"/>
          <w:szCs w:val="22"/>
        </w:rPr>
        <w:t xml:space="preserve"> de que el nivel actual del saldo del Fondo Fiduciario y de la tendencia al alza de los saldos de fin de año de los atrasos en los pagos de las Partes hace imposible la detracción de recursos del saldo del Fondo Fiduciario para contribuir a la financiación del presupuesto actual ya que ello podría afectar negativamente a la liquidez de este fondo;</w:t>
      </w:r>
    </w:p>
    <w:p w:rsidR="007459B2" w:rsidRPr="00502DE0" w:rsidRDefault="007459B2" w:rsidP="007910DD">
      <w:pPr>
        <w:jc w:val="both"/>
        <w:rPr>
          <w:rFonts w:cs="Arial"/>
          <w:szCs w:val="18"/>
        </w:rPr>
      </w:pPr>
    </w:p>
    <w:p w:rsidR="007459B2" w:rsidRPr="00DA1F72" w:rsidRDefault="007459B2" w:rsidP="00245E18">
      <w:pPr>
        <w:jc w:val="both"/>
        <w:rPr>
          <w:rFonts w:cs="Arial"/>
          <w:sz w:val="22"/>
          <w:szCs w:val="22"/>
        </w:rPr>
      </w:pPr>
      <w:r w:rsidRPr="00DA1F72">
        <w:rPr>
          <w:i/>
          <w:sz w:val="22"/>
          <w:szCs w:val="22"/>
        </w:rPr>
        <w:t>Habiendo examinado</w:t>
      </w:r>
      <w:r w:rsidRPr="00DA1F72">
        <w:rPr>
          <w:sz w:val="22"/>
          <w:szCs w:val="22"/>
        </w:rPr>
        <w:t xml:space="preserve"> el Programa de trabajo propuesto para 2018-2020 presentado por la Secretaría;</w:t>
      </w:r>
    </w:p>
    <w:p w:rsidR="007459B2" w:rsidRPr="00502DE0" w:rsidRDefault="007459B2" w:rsidP="00245E18">
      <w:pPr>
        <w:jc w:val="both"/>
        <w:rPr>
          <w:rFonts w:cs="Arial"/>
          <w:szCs w:val="18"/>
        </w:rPr>
      </w:pPr>
    </w:p>
    <w:p w:rsidR="007459B2" w:rsidRPr="00DA1F72" w:rsidRDefault="007459B2" w:rsidP="00245E18">
      <w:pPr>
        <w:jc w:val="both"/>
        <w:rPr>
          <w:rFonts w:cs="Arial"/>
          <w:sz w:val="22"/>
          <w:szCs w:val="22"/>
        </w:rPr>
      </w:pPr>
      <w:r w:rsidRPr="00DA1F72">
        <w:rPr>
          <w:i/>
          <w:sz w:val="22"/>
          <w:szCs w:val="22"/>
        </w:rPr>
        <w:t>Tomando nota</w:t>
      </w:r>
      <w:r w:rsidRPr="00DA1F72">
        <w:rPr>
          <w:sz w:val="22"/>
          <w:szCs w:val="22"/>
        </w:rPr>
        <w:t xml:space="preserve"> de la Decisión de la segunda reunión de los Signatarios del Memorando de entendimiento sobre la conservación de los tiburones migratorios (</w:t>
      </w:r>
      <w:proofErr w:type="spellStart"/>
      <w:r w:rsidRPr="00DA1F72">
        <w:rPr>
          <w:sz w:val="22"/>
          <w:szCs w:val="22"/>
        </w:rPr>
        <w:t>MdE</w:t>
      </w:r>
      <w:proofErr w:type="spellEnd"/>
      <w:r w:rsidRPr="00DA1F72">
        <w:rPr>
          <w:sz w:val="22"/>
          <w:szCs w:val="22"/>
        </w:rPr>
        <w:t xml:space="preserve"> sobre los tiburones) de que la Secretaría de la CMS desempeñara funciones de secretaría permanente del </w:t>
      </w:r>
      <w:proofErr w:type="spellStart"/>
      <w:r w:rsidRPr="00DA1F72">
        <w:rPr>
          <w:sz w:val="22"/>
          <w:szCs w:val="22"/>
        </w:rPr>
        <w:t>MdE</w:t>
      </w:r>
      <w:proofErr w:type="spellEnd"/>
      <w:r w:rsidRPr="00DA1F72">
        <w:rPr>
          <w:sz w:val="22"/>
          <w:szCs w:val="22"/>
        </w:rPr>
        <w:t xml:space="preserve"> sobre los tiburones;</w:t>
      </w:r>
    </w:p>
    <w:p w:rsidR="007459B2" w:rsidRPr="00502DE0" w:rsidRDefault="007459B2" w:rsidP="007910DD">
      <w:pPr>
        <w:jc w:val="both"/>
        <w:rPr>
          <w:rFonts w:cs="Arial"/>
          <w:szCs w:val="18"/>
        </w:rPr>
      </w:pPr>
    </w:p>
    <w:p w:rsidR="007459B2" w:rsidRPr="00502DE0" w:rsidRDefault="007459B2" w:rsidP="007910DD">
      <w:pPr>
        <w:jc w:val="both"/>
        <w:rPr>
          <w:rFonts w:cs="Arial"/>
          <w:szCs w:val="18"/>
        </w:rPr>
      </w:pPr>
    </w:p>
    <w:p w:rsidR="007459B2" w:rsidRPr="00DA1F72" w:rsidRDefault="007459B2" w:rsidP="007910DD">
      <w:pPr>
        <w:jc w:val="center"/>
        <w:rPr>
          <w:rFonts w:cs="Arial"/>
          <w:i/>
          <w:sz w:val="22"/>
          <w:szCs w:val="22"/>
        </w:rPr>
      </w:pPr>
      <w:r w:rsidRPr="00DA1F72">
        <w:rPr>
          <w:i/>
          <w:sz w:val="22"/>
          <w:szCs w:val="22"/>
        </w:rPr>
        <w:t>La Conferencia de las Partes en la</w:t>
      </w:r>
    </w:p>
    <w:p w:rsidR="007459B2" w:rsidRPr="00DA1F72" w:rsidRDefault="007459B2" w:rsidP="007910DD">
      <w:pPr>
        <w:jc w:val="center"/>
        <w:rPr>
          <w:rFonts w:cs="Arial"/>
          <w:i/>
          <w:sz w:val="22"/>
          <w:szCs w:val="22"/>
        </w:rPr>
      </w:pPr>
      <w:r w:rsidRPr="00DA1F72">
        <w:rPr>
          <w:i/>
          <w:sz w:val="22"/>
          <w:szCs w:val="22"/>
        </w:rPr>
        <w:t>Convención sobre la Conservación de las Especies Migratorias de Animales Silvestres</w:t>
      </w:r>
    </w:p>
    <w:p w:rsidR="007459B2" w:rsidRPr="00502DE0" w:rsidRDefault="007459B2" w:rsidP="007910DD">
      <w:pPr>
        <w:jc w:val="both"/>
        <w:rPr>
          <w:rFonts w:cs="Arial"/>
          <w:szCs w:val="18"/>
        </w:rPr>
      </w:pPr>
    </w:p>
    <w:p w:rsidR="007459B2" w:rsidRPr="00DA1F72" w:rsidRDefault="007459B2" w:rsidP="001E0D2C">
      <w:pPr>
        <w:numPr>
          <w:ilvl w:val="0"/>
          <w:numId w:val="4"/>
        </w:numPr>
        <w:jc w:val="both"/>
        <w:rPr>
          <w:rFonts w:cs="Arial"/>
          <w:sz w:val="22"/>
          <w:szCs w:val="22"/>
        </w:rPr>
      </w:pPr>
      <w:r w:rsidRPr="00DA1F72">
        <w:rPr>
          <w:i/>
          <w:sz w:val="22"/>
          <w:szCs w:val="22"/>
        </w:rPr>
        <w:t>Confirma</w:t>
      </w:r>
      <w:r w:rsidRPr="00DA1F72">
        <w:rPr>
          <w:sz w:val="22"/>
          <w:szCs w:val="22"/>
        </w:rPr>
        <w:t xml:space="preserve"> que todas las Partes contribuirán al presupuesto aprobado en la escala acordada por la Conferencia de las Partes de conformidad con el Artículo VII, párrafo 4 de la Convención;</w:t>
      </w:r>
    </w:p>
    <w:p w:rsidR="007459B2" w:rsidRPr="00502DE0" w:rsidRDefault="007459B2" w:rsidP="001E0D2C">
      <w:pPr>
        <w:ind w:left="360"/>
        <w:jc w:val="both"/>
        <w:rPr>
          <w:rFonts w:cs="Arial"/>
          <w:szCs w:val="18"/>
        </w:rPr>
      </w:pPr>
    </w:p>
    <w:p w:rsidR="007459B2" w:rsidRPr="00DA1F72" w:rsidRDefault="007459B2" w:rsidP="001E0D2C">
      <w:pPr>
        <w:numPr>
          <w:ilvl w:val="0"/>
          <w:numId w:val="4"/>
        </w:numPr>
        <w:jc w:val="both"/>
        <w:rPr>
          <w:rFonts w:cs="Arial"/>
          <w:sz w:val="22"/>
          <w:szCs w:val="22"/>
        </w:rPr>
      </w:pPr>
      <w:r w:rsidRPr="00DA1F72">
        <w:rPr>
          <w:i/>
          <w:sz w:val="22"/>
          <w:szCs w:val="22"/>
        </w:rPr>
        <w:t>Adopta</w:t>
      </w:r>
      <w:r w:rsidRPr="00DA1F72">
        <w:rPr>
          <w:sz w:val="22"/>
          <w:szCs w:val="22"/>
        </w:rPr>
        <w:t xml:space="preserve"> el presupuesto para 2018 a 2020, que se adjunta como Anexo [ </w:t>
      </w:r>
      <w:proofErr w:type="gramStart"/>
      <w:r w:rsidRPr="00DA1F72">
        <w:rPr>
          <w:sz w:val="22"/>
          <w:szCs w:val="22"/>
        </w:rPr>
        <w:t xml:space="preserve">  ]</w:t>
      </w:r>
      <w:proofErr w:type="gramEnd"/>
      <w:r w:rsidRPr="00DA1F72">
        <w:rPr>
          <w:sz w:val="22"/>
          <w:szCs w:val="22"/>
        </w:rPr>
        <w:t xml:space="preserve"> de la presente Resolución;</w:t>
      </w:r>
    </w:p>
    <w:p w:rsidR="007459B2" w:rsidRPr="00502DE0" w:rsidRDefault="007459B2" w:rsidP="001E0D2C">
      <w:pPr>
        <w:ind w:left="360"/>
        <w:jc w:val="both"/>
        <w:rPr>
          <w:rFonts w:cs="Arial"/>
          <w:szCs w:val="18"/>
        </w:rPr>
      </w:pPr>
    </w:p>
    <w:p w:rsidR="007459B2" w:rsidRPr="00DA1F72" w:rsidRDefault="007459B2" w:rsidP="001E0D2C">
      <w:pPr>
        <w:numPr>
          <w:ilvl w:val="0"/>
          <w:numId w:val="4"/>
        </w:numPr>
        <w:jc w:val="both"/>
        <w:rPr>
          <w:rFonts w:cs="Arial"/>
          <w:sz w:val="22"/>
          <w:szCs w:val="22"/>
        </w:rPr>
      </w:pPr>
      <w:r w:rsidRPr="00DA1F72">
        <w:rPr>
          <w:i/>
          <w:sz w:val="22"/>
          <w:szCs w:val="22"/>
        </w:rPr>
        <w:t xml:space="preserve">Adopta </w:t>
      </w:r>
      <w:r w:rsidRPr="00DA1F72">
        <w:rPr>
          <w:sz w:val="22"/>
          <w:szCs w:val="22"/>
        </w:rPr>
        <w:t xml:space="preserve">la escala de cuotas de contribución de las Partes en la Convención, basada en la Escala de cuotas de las Naciones Unidas, que figura en el Anexo </w:t>
      </w:r>
      <w:proofErr w:type="gramStart"/>
      <w:r w:rsidRPr="00DA1F72">
        <w:rPr>
          <w:sz w:val="22"/>
          <w:szCs w:val="22"/>
        </w:rPr>
        <w:t>[ ]</w:t>
      </w:r>
      <w:proofErr w:type="gramEnd"/>
      <w:r w:rsidRPr="00DA1F72">
        <w:rPr>
          <w:sz w:val="22"/>
          <w:szCs w:val="22"/>
        </w:rPr>
        <w:t xml:space="preserve"> de la presente Resolución y decide aplicar esta escala prorrateada a las nuevas Partes;</w:t>
      </w:r>
    </w:p>
    <w:p w:rsidR="007459B2" w:rsidRPr="00502DE0" w:rsidRDefault="007459B2" w:rsidP="001E0D2C">
      <w:pPr>
        <w:ind w:left="360"/>
        <w:jc w:val="both"/>
        <w:rPr>
          <w:rFonts w:cs="Arial"/>
          <w:szCs w:val="18"/>
        </w:rPr>
      </w:pPr>
    </w:p>
    <w:p w:rsidR="007459B2" w:rsidRPr="00DA1F72" w:rsidRDefault="007459B2" w:rsidP="001E0D2C">
      <w:pPr>
        <w:numPr>
          <w:ilvl w:val="0"/>
          <w:numId w:val="4"/>
        </w:numPr>
        <w:jc w:val="both"/>
        <w:rPr>
          <w:rFonts w:cs="Arial"/>
          <w:sz w:val="22"/>
          <w:szCs w:val="22"/>
        </w:rPr>
      </w:pPr>
      <w:r w:rsidRPr="00DA1F72">
        <w:rPr>
          <w:i/>
          <w:sz w:val="22"/>
          <w:szCs w:val="22"/>
        </w:rPr>
        <w:t>Solicita</w:t>
      </w:r>
      <w:r w:rsidRPr="00DA1F72">
        <w:rPr>
          <w:sz w:val="22"/>
          <w:szCs w:val="22"/>
        </w:rPr>
        <w:t xml:space="preserve"> a las Partes, en particular a las que deben pagar cuotas reducidas, que consideren la posibilidad de abonar en un único pago la cantidad correspondiente a todo el trienio;</w:t>
      </w:r>
    </w:p>
    <w:p w:rsidR="007459B2" w:rsidRPr="00502DE0" w:rsidRDefault="007459B2" w:rsidP="00502DE0">
      <w:pPr>
        <w:jc w:val="both"/>
        <w:rPr>
          <w:rFonts w:cs="Arial"/>
          <w:szCs w:val="18"/>
        </w:rPr>
      </w:pPr>
    </w:p>
    <w:p w:rsidR="007459B2" w:rsidRPr="00DA1F72" w:rsidRDefault="007459B2" w:rsidP="001E0D2C">
      <w:pPr>
        <w:numPr>
          <w:ilvl w:val="0"/>
          <w:numId w:val="4"/>
        </w:numPr>
        <w:jc w:val="both"/>
        <w:rPr>
          <w:rFonts w:cs="Arial"/>
          <w:sz w:val="22"/>
          <w:szCs w:val="22"/>
        </w:rPr>
      </w:pPr>
      <w:r w:rsidRPr="00DA1F72">
        <w:rPr>
          <w:i/>
          <w:sz w:val="22"/>
          <w:szCs w:val="22"/>
        </w:rPr>
        <w:t>Insta</w:t>
      </w:r>
      <w:r w:rsidRPr="00DA1F72">
        <w:rPr>
          <w:sz w:val="22"/>
          <w:szCs w:val="22"/>
        </w:rPr>
        <w:t xml:space="preserve"> a las Partes a que paguen sus cuotas lo antes posible, preferentemente no más tarde del final de marzo del año al que corresponden y, si así lo desean, que informen a la Secretaría si prefieren recibir una sola factura que cubra todo el trienio;</w:t>
      </w:r>
    </w:p>
    <w:p w:rsidR="007459B2" w:rsidRPr="00502DE0" w:rsidRDefault="007459B2" w:rsidP="001E0D2C">
      <w:pPr>
        <w:ind w:left="360"/>
        <w:jc w:val="both"/>
        <w:rPr>
          <w:rFonts w:cs="Arial"/>
          <w:szCs w:val="18"/>
        </w:rPr>
      </w:pPr>
    </w:p>
    <w:p w:rsidR="007459B2" w:rsidRPr="00DA1F72" w:rsidRDefault="007459B2" w:rsidP="001E0D2C">
      <w:pPr>
        <w:numPr>
          <w:ilvl w:val="0"/>
          <w:numId w:val="4"/>
        </w:numPr>
        <w:jc w:val="both"/>
        <w:rPr>
          <w:rFonts w:cs="Arial"/>
          <w:sz w:val="22"/>
          <w:szCs w:val="22"/>
        </w:rPr>
      </w:pPr>
      <w:r w:rsidRPr="00DA1F72">
        <w:rPr>
          <w:i/>
          <w:sz w:val="22"/>
          <w:szCs w:val="22"/>
        </w:rPr>
        <w:lastRenderedPageBreak/>
        <w:t>Toma nota</w:t>
      </w:r>
      <w:r w:rsidRPr="00DA1F72">
        <w:rPr>
          <w:sz w:val="22"/>
          <w:szCs w:val="22"/>
        </w:rPr>
        <w:t xml:space="preserve"> con preocupación de que varias Partes no han abonado sus cuotas de contribución al presupuesto básico para 2017 y años anteriores que vencen el 1º de marzo de cada año, afectando así desfavorablemente a la aplicación de la Convención;</w:t>
      </w:r>
    </w:p>
    <w:p w:rsidR="007459B2" w:rsidRPr="00502DE0" w:rsidRDefault="007459B2" w:rsidP="001E0D2C">
      <w:pPr>
        <w:ind w:left="360"/>
        <w:jc w:val="both"/>
        <w:rPr>
          <w:rFonts w:cs="Arial"/>
          <w:szCs w:val="18"/>
        </w:rPr>
      </w:pPr>
    </w:p>
    <w:p w:rsidR="007459B2" w:rsidRPr="00DA1F72" w:rsidRDefault="007459B2" w:rsidP="001E0D2C">
      <w:pPr>
        <w:numPr>
          <w:ilvl w:val="0"/>
          <w:numId w:val="4"/>
        </w:numPr>
        <w:jc w:val="both"/>
        <w:rPr>
          <w:rFonts w:cs="Arial"/>
          <w:sz w:val="22"/>
          <w:szCs w:val="22"/>
        </w:rPr>
      </w:pPr>
      <w:r w:rsidRPr="00DA1F72">
        <w:rPr>
          <w:i/>
          <w:sz w:val="22"/>
          <w:szCs w:val="22"/>
        </w:rPr>
        <w:t>Insta</w:t>
      </w:r>
      <w:r w:rsidRPr="00DA1F72">
        <w:rPr>
          <w:sz w:val="22"/>
          <w:szCs w:val="22"/>
        </w:rPr>
        <w:t xml:space="preserve"> a las Partes con cuotas pendientes a cooperar con la Secretaría para acordar el pago de dichas cuotas pendientes sin tardanza;</w:t>
      </w:r>
    </w:p>
    <w:p w:rsidR="007459B2" w:rsidRPr="00502DE0" w:rsidRDefault="007459B2" w:rsidP="001E0D2C">
      <w:pPr>
        <w:ind w:left="360"/>
        <w:jc w:val="both"/>
        <w:rPr>
          <w:rFonts w:cs="Arial"/>
          <w:szCs w:val="18"/>
        </w:rPr>
      </w:pPr>
    </w:p>
    <w:p w:rsidR="007459B2" w:rsidRPr="00DA1F72" w:rsidRDefault="007459B2" w:rsidP="001E0D2C">
      <w:pPr>
        <w:numPr>
          <w:ilvl w:val="0"/>
          <w:numId w:val="4"/>
        </w:numPr>
        <w:jc w:val="both"/>
        <w:rPr>
          <w:rFonts w:cs="Arial"/>
          <w:sz w:val="22"/>
          <w:szCs w:val="22"/>
        </w:rPr>
      </w:pPr>
      <w:r w:rsidRPr="00DA1F72">
        <w:rPr>
          <w:i/>
          <w:sz w:val="22"/>
          <w:szCs w:val="22"/>
        </w:rPr>
        <w:t>Decide</w:t>
      </w:r>
      <w:r w:rsidRPr="00DA1F72">
        <w:rPr>
          <w:sz w:val="22"/>
          <w:szCs w:val="22"/>
        </w:rPr>
        <w:t xml:space="preserve"> establecer el umbral de elegibilidad para la financiación de los delegados que asisten a las reuniones de la Convención en el 0,200% sobre la escala de cuotas de las Naciones Unidas y como regla general, además, excluir de tal elegibilidad a los países de la Unión Europea, a otros países europeos con economías fuertes y/o a los países que tienen pagos en mora de más de tres años;</w:t>
      </w:r>
    </w:p>
    <w:p w:rsidR="007459B2" w:rsidRPr="00502DE0" w:rsidRDefault="007459B2" w:rsidP="001E0D2C">
      <w:pPr>
        <w:ind w:left="360"/>
        <w:jc w:val="both"/>
        <w:rPr>
          <w:rFonts w:cs="Arial"/>
          <w:szCs w:val="18"/>
        </w:rPr>
      </w:pPr>
    </w:p>
    <w:p w:rsidR="007459B2" w:rsidRPr="00DA1F72" w:rsidRDefault="007459B2" w:rsidP="001E0D2C">
      <w:pPr>
        <w:numPr>
          <w:ilvl w:val="0"/>
          <w:numId w:val="4"/>
        </w:numPr>
        <w:jc w:val="both"/>
        <w:rPr>
          <w:rFonts w:cs="Arial"/>
          <w:sz w:val="22"/>
          <w:szCs w:val="22"/>
        </w:rPr>
      </w:pPr>
      <w:r w:rsidRPr="00DA1F72">
        <w:rPr>
          <w:i/>
          <w:sz w:val="22"/>
          <w:szCs w:val="22"/>
        </w:rPr>
        <w:t xml:space="preserve">Decide </w:t>
      </w:r>
      <w:r w:rsidRPr="00DA1F72">
        <w:rPr>
          <w:sz w:val="22"/>
          <w:szCs w:val="22"/>
        </w:rPr>
        <w:t xml:space="preserve">que los representantes de los países con cuotas en mora de tres años o más sean excluidos de ocupar cargos en órganos de la Convención y se </w:t>
      </w:r>
      <w:proofErr w:type="gramStart"/>
      <w:r w:rsidRPr="00DA1F72">
        <w:rPr>
          <w:sz w:val="22"/>
          <w:szCs w:val="22"/>
        </w:rPr>
        <w:t>les</w:t>
      </w:r>
      <w:proofErr w:type="gramEnd"/>
      <w:r w:rsidRPr="00DA1F72">
        <w:rPr>
          <w:sz w:val="22"/>
          <w:szCs w:val="22"/>
        </w:rPr>
        <w:t xml:space="preserve"> niegue el derecho al voto; y solicita al Secretario Ejecutivo que estudie con dichas Partes la aplicación de enfoques innovadores para la identificación de posibles fondos de financiación, a fin de resolver la situación de sus atrasos antes de la próxima reunión;</w:t>
      </w:r>
    </w:p>
    <w:p w:rsidR="007459B2" w:rsidRPr="00502DE0" w:rsidRDefault="007459B2" w:rsidP="001E0D2C">
      <w:pPr>
        <w:ind w:left="360"/>
        <w:jc w:val="both"/>
        <w:rPr>
          <w:rFonts w:cs="Arial"/>
          <w:szCs w:val="18"/>
        </w:rPr>
      </w:pPr>
    </w:p>
    <w:p w:rsidR="007459B2" w:rsidRPr="00DA1F72" w:rsidRDefault="007459B2" w:rsidP="001E0D2C">
      <w:pPr>
        <w:numPr>
          <w:ilvl w:val="0"/>
          <w:numId w:val="4"/>
        </w:numPr>
        <w:jc w:val="both"/>
        <w:rPr>
          <w:rFonts w:cs="Arial"/>
          <w:sz w:val="22"/>
          <w:szCs w:val="22"/>
        </w:rPr>
      </w:pPr>
      <w:r w:rsidRPr="00DA1F72">
        <w:rPr>
          <w:i/>
          <w:sz w:val="22"/>
          <w:szCs w:val="22"/>
        </w:rPr>
        <w:t xml:space="preserve">Decide </w:t>
      </w:r>
      <w:r w:rsidRPr="00DA1F72">
        <w:rPr>
          <w:sz w:val="22"/>
          <w:szCs w:val="22"/>
        </w:rPr>
        <w:t>que las Resoluciones adoptadas por esta Conferencia de las Partes, por las que se establecen, entre otras cosas, órganos, mecanismos o actividades que tengan implicaciones financieras no previstas en el Anexo I, estén sujetas a la disponibilidad de fondos procedentes de contribuciones voluntarias;</w:t>
      </w:r>
    </w:p>
    <w:p w:rsidR="007459B2" w:rsidRPr="00502DE0" w:rsidRDefault="007459B2" w:rsidP="001E0D2C">
      <w:pPr>
        <w:ind w:left="360"/>
        <w:jc w:val="both"/>
        <w:rPr>
          <w:rFonts w:cs="Arial"/>
          <w:szCs w:val="18"/>
        </w:rPr>
      </w:pPr>
    </w:p>
    <w:p w:rsidR="007459B2" w:rsidRPr="00DA1F72" w:rsidRDefault="007459B2" w:rsidP="001E0D2C">
      <w:pPr>
        <w:numPr>
          <w:ilvl w:val="0"/>
          <w:numId w:val="4"/>
        </w:numPr>
        <w:jc w:val="both"/>
        <w:rPr>
          <w:rFonts w:cs="Arial"/>
          <w:sz w:val="22"/>
          <w:szCs w:val="22"/>
        </w:rPr>
      </w:pPr>
      <w:r w:rsidRPr="00DA1F72">
        <w:rPr>
          <w:i/>
          <w:sz w:val="22"/>
          <w:szCs w:val="22"/>
        </w:rPr>
        <w:t xml:space="preserve">Alienta </w:t>
      </w:r>
      <w:r w:rsidRPr="00DA1F72">
        <w:rPr>
          <w:sz w:val="22"/>
          <w:szCs w:val="22"/>
        </w:rPr>
        <w:t>a todas las Partes a que aporten contribuciones voluntarias al Fondo Fiduciario con el fin de atender las solicitudes de ayuda de los países en desarrollo para participar en la Convención y poder aplicarla durante el trienio;</w:t>
      </w:r>
    </w:p>
    <w:p w:rsidR="007459B2" w:rsidRPr="00502DE0" w:rsidRDefault="007459B2" w:rsidP="001E0D2C">
      <w:pPr>
        <w:ind w:left="360"/>
        <w:jc w:val="both"/>
        <w:rPr>
          <w:rFonts w:cs="Arial"/>
          <w:szCs w:val="18"/>
        </w:rPr>
      </w:pPr>
    </w:p>
    <w:p w:rsidR="007459B2" w:rsidRPr="00DA1F72" w:rsidRDefault="007459B2" w:rsidP="001E0D2C">
      <w:pPr>
        <w:numPr>
          <w:ilvl w:val="0"/>
          <w:numId w:val="4"/>
        </w:numPr>
        <w:jc w:val="both"/>
        <w:rPr>
          <w:rFonts w:cs="Arial"/>
          <w:sz w:val="22"/>
          <w:szCs w:val="22"/>
        </w:rPr>
      </w:pPr>
      <w:r w:rsidRPr="00DA1F72">
        <w:rPr>
          <w:i/>
          <w:sz w:val="22"/>
          <w:szCs w:val="22"/>
        </w:rPr>
        <w:t>Aprueba</w:t>
      </w:r>
      <w:r w:rsidRPr="00DA1F72">
        <w:rPr>
          <w:sz w:val="22"/>
          <w:szCs w:val="22"/>
        </w:rPr>
        <w:t xml:space="preserve"> el Programa de trabajo para 2018-2020 a fin de ayudar a las Partes a identificar las actividades y los proyectos fundamentales actuales y futuros no cubiertos por el presupuesto básico que tienen la intención de financiar;</w:t>
      </w:r>
    </w:p>
    <w:p w:rsidR="007459B2" w:rsidRPr="00502DE0" w:rsidRDefault="007459B2" w:rsidP="001E0D2C">
      <w:pPr>
        <w:ind w:left="360"/>
        <w:jc w:val="both"/>
        <w:rPr>
          <w:rFonts w:cs="Arial"/>
          <w:szCs w:val="18"/>
        </w:rPr>
      </w:pPr>
    </w:p>
    <w:p w:rsidR="007459B2" w:rsidRPr="00DA1F72" w:rsidRDefault="007459B2" w:rsidP="001E0D2C">
      <w:pPr>
        <w:numPr>
          <w:ilvl w:val="0"/>
          <w:numId w:val="4"/>
        </w:numPr>
        <w:jc w:val="both"/>
        <w:rPr>
          <w:rFonts w:cs="Arial"/>
          <w:sz w:val="22"/>
          <w:szCs w:val="22"/>
        </w:rPr>
      </w:pPr>
      <w:r w:rsidRPr="00DA1F72">
        <w:rPr>
          <w:i/>
          <w:sz w:val="22"/>
          <w:szCs w:val="22"/>
        </w:rPr>
        <w:t xml:space="preserve">Alienta </w:t>
      </w:r>
      <w:r w:rsidRPr="00DA1F72">
        <w:rPr>
          <w:sz w:val="22"/>
          <w:szCs w:val="22"/>
        </w:rPr>
        <w:t>a los Estados que no son Partes en la Convención, a las organizaciones gubernamentales, intergubernamentales y no gubernamentales y otras fuentes a que consideren la posibilidad de contribuir al Fondo Fiduciario o a actividades especiales;</w:t>
      </w:r>
    </w:p>
    <w:p w:rsidR="007459B2" w:rsidRPr="00502DE0" w:rsidRDefault="007459B2" w:rsidP="001E0D2C">
      <w:pPr>
        <w:ind w:left="360"/>
        <w:jc w:val="both"/>
        <w:rPr>
          <w:rFonts w:cs="Arial"/>
          <w:szCs w:val="18"/>
        </w:rPr>
      </w:pPr>
    </w:p>
    <w:p w:rsidR="007459B2" w:rsidRPr="00DA1F72" w:rsidRDefault="007459B2" w:rsidP="001E0D2C">
      <w:pPr>
        <w:numPr>
          <w:ilvl w:val="0"/>
          <w:numId w:val="4"/>
        </w:numPr>
        <w:jc w:val="both"/>
        <w:rPr>
          <w:rFonts w:cs="Arial"/>
          <w:sz w:val="22"/>
          <w:szCs w:val="22"/>
        </w:rPr>
      </w:pPr>
      <w:r w:rsidRPr="00DA1F72">
        <w:rPr>
          <w:i/>
          <w:sz w:val="22"/>
          <w:szCs w:val="22"/>
        </w:rPr>
        <w:t>Decide</w:t>
      </w:r>
      <w:r w:rsidRPr="00DA1F72">
        <w:rPr>
          <w:sz w:val="22"/>
          <w:szCs w:val="22"/>
        </w:rPr>
        <w:t xml:space="preserve"> que el Secretario Ejecutivo, a reserva de su aprobación por el Comité Permanente y en casos urgentes, con la sola aprobación del Presidente del Comité Permanente, tendrá la autoridad para gastar o destinar los fondos ahorrados en la ejecución del presupuesto básico, así como los fondos procedentes de nuevas Partes que han adherido a la Convención, a actividades del Programa de trabajo aprobadas con indicación de los costos, no subvencionadas con cargo al presupuesto básico;</w:t>
      </w:r>
    </w:p>
    <w:p w:rsidR="007459B2" w:rsidRPr="00502DE0" w:rsidRDefault="007459B2" w:rsidP="001E0D2C">
      <w:pPr>
        <w:ind w:left="360"/>
        <w:jc w:val="both"/>
        <w:rPr>
          <w:rFonts w:cs="Arial"/>
          <w:szCs w:val="18"/>
        </w:rPr>
      </w:pPr>
    </w:p>
    <w:p w:rsidR="007459B2" w:rsidRPr="00DA1F72" w:rsidRDefault="007459B2" w:rsidP="001E0D2C">
      <w:pPr>
        <w:numPr>
          <w:ilvl w:val="0"/>
          <w:numId w:val="4"/>
        </w:numPr>
        <w:jc w:val="both"/>
        <w:rPr>
          <w:rFonts w:cs="Arial"/>
          <w:sz w:val="22"/>
          <w:szCs w:val="22"/>
        </w:rPr>
      </w:pPr>
      <w:r w:rsidRPr="00DA1F72">
        <w:rPr>
          <w:i/>
          <w:sz w:val="22"/>
          <w:szCs w:val="22"/>
        </w:rPr>
        <w:t>Decide</w:t>
      </w:r>
      <w:r w:rsidRPr="00DA1F72">
        <w:rPr>
          <w:sz w:val="22"/>
          <w:szCs w:val="22"/>
        </w:rPr>
        <w:t xml:space="preserve"> que el Secretario Ejecutivo tendrá la autoridad de adoptar decisiones sobre el personal, según sea necesario, para implementar las prioridades de las Partes de acuerdo con el Programa de trabajo, siempre que las implicaciones de las decisiones puedan sufragarse con cargo al presupuesto existente;</w:t>
      </w:r>
    </w:p>
    <w:p w:rsidR="007459B2" w:rsidRPr="00502DE0" w:rsidRDefault="007459B2" w:rsidP="00292B9F">
      <w:pPr>
        <w:ind w:left="360"/>
        <w:jc w:val="both"/>
        <w:rPr>
          <w:rFonts w:cs="Arial"/>
          <w:szCs w:val="18"/>
        </w:rPr>
      </w:pPr>
    </w:p>
    <w:p w:rsidR="007459B2" w:rsidRPr="00DA1F72" w:rsidRDefault="007459B2" w:rsidP="001E0D2C">
      <w:pPr>
        <w:numPr>
          <w:ilvl w:val="0"/>
          <w:numId w:val="4"/>
        </w:numPr>
        <w:jc w:val="both"/>
        <w:rPr>
          <w:rFonts w:cs="Arial"/>
          <w:sz w:val="22"/>
          <w:szCs w:val="22"/>
        </w:rPr>
      </w:pPr>
      <w:r w:rsidRPr="00DA1F72">
        <w:rPr>
          <w:i/>
          <w:sz w:val="22"/>
          <w:szCs w:val="22"/>
        </w:rPr>
        <w:t>Alienta</w:t>
      </w:r>
      <w:r w:rsidRPr="00DA1F72">
        <w:rPr>
          <w:sz w:val="22"/>
          <w:szCs w:val="22"/>
        </w:rPr>
        <w:t xml:space="preserve"> al Secretario Ejecutivo a que, en consonancia con las normas de las Naciones Unidas, aproveche las oportunidades proporcionadas por las vacantes para estudiar posibles medios de fortalecer la capacidad de la Secretaría en el marco del presupuesto asignado, incluso mediante la realización de cambios estructurales;</w:t>
      </w:r>
    </w:p>
    <w:p w:rsidR="007459B2" w:rsidRPr="00502DE0" w:rsidRDefault="007459B2" w:rsidP="001E0D2C">
      <w:pPr>
        <w:ind w:left="360"/>
        <w:jc w:val="both"/>
        <w:rPr>
          <w:rFonts w:cs="Arial"/>
          <w:szCs w:val="18"/>
        </w:rPr>
      </w:pPr>
    </w:p>
    <w:p w:rsidR="007459B2" w:rsidRPr="00DA1F72" w:rsidRDefault="007459B2" w:rsidP="001E0D2C">
      <w:pPr>
        <w:numPr>
          <w:ilvl w:val="0"/>
          <w:numId w:val="4"/>
        </w:numPr>
        <w:jc w:val="both"/>
        <w:rPr>
          <w:rFonts w:cs="Arial"/>
          <w:i/>
          <w:sz w:val="22"/>
          <w:szCs w:val="22"/>
        </w:rPr>
      </w:pPr>
      <w:r w:rsidRPr="00DA1F72">
        <w:rPr>
          <w:i/>
          <w:sz w:val="22"/>
          <w:szCs w:val="22"/>
        </w:rPr>
        <w:t>Aprueba:</w:t>
      </w:r>
    </w:p>
    <w:p w:rsidR="007459B2" w:rsidRPr="00502DE0" w:rsidRDefault="007459B2" w:rsidP="001E0D2C">
      <w:pPr>
        <w:ind w:left="360"/>
        <w:jc w:val="both"/>
        <w:rPr>
          <w:rFonts w:cs="Arial"/>
          <w:szCs w:val="18"/>
        </w:rPr>
      </w:pPr>
    </w:p>
    <w:p w:rsidR="007459B2" w:rsidRPr="00DA1F72" w:rsidRDefault="007459B2" w:rsidP="00292B9F">
      <w:pPr>
        <w:pStyle w:val="ListParagraph"/>
        <w:numPr>
          <w:ilvl w:val="1"/>
          <w:numId w:val="15"/>
        </w:numPr>
        <w:ind w:left="907" w:hanging="547"/>
        <w:contextualSpacing w:val="0"/>
        <w:jc w:val="both"/>
        <w:rPr>
          <w:rFonts w:cs="Arial"/>
          <w:iCs/>
          <w:color w:val="000000"/>
          <w:sz w:val="22"/>
          <w:szCs w:val="22"/>
        </w:rPr>
      </w:pPr>
      <w:r w:rsidRPr="00DA1F72">
        <w:rPr>
          <w:color w:val="000000"/>
          <w:sz w:val="22"/>
          <w:szCs w:val="22"/>
        </w:rPr>
        <w:t>La reclasificación del puesto a tiempo parcial (50%) de P-2 de Oficial de información asociado a tiempo completo; y</w:t>
      </w:r>
    </w:p>
    <w:p w:rsidR="007459B2" w:rsidRPr="00502DE0" w:rsidRDefault="007459B2" w:rsidP="00292B9F">
      <w:pPr>
        <w:pStyle w:val="ListParagraph"/>
        <w:ind w:left="907"/>
        <w:contextualSpacing w:val="0"/>
        <w:jc w:val="both"/>
        <w:rPr>
          <w:rFonts w:cs="Arial"/>
          <w:iCs/>
          <w:color w:val="000000"/>
          <w:szCs w:val="18"/>
        </w:rPr>
      </w:pPr>
    </w:p>
    <w:p w:rsidR="007459B2" w:rsidRPr="00DA1F72" w:rsidRDefault="007459B2" w:rsidP="00292B9F">
      <w:pPr>
        <w:pStyle w:val="ListParagraph"/>
        <w:numPr>
          <w:ilvl w:val="1"/>
          <w:numId w:val="15"/>
        </w:numPr>
        <w:ind w:left="907" w:hanging="547"/>
        <w:contextualSpacing w:val="0"/>
        <w:jc w:val="both"/>
        <w:rPr>
          <w:rFonts w:cs="Arial"/>
          <w:iCs/>
          <w:sz w:val="22"/>
          <w:szCs w:val="22"/>
        </w:rPr>
      </w:pPr>
      <w:r w:rsidRPr="00DA1F72">
        <w:rPr>
          <w:sz w:val="22"/>
          <w:szCs w:val="22"/>
        </w:rPr>
        <w:t>La creación de un puesto a tiempo parcial (18%) de P-3 de Oficial de programas de la Unidad de gestión común de la información, la comunicación y la divulgación;</w:t>
      </w:r>
    </w:p>
    <w:p w:rsidR="007459B2" w:rsidRPr="00DA1F72" w:rsidRDefault="007459B2" w:rsidP="001E0D2C">
      <w:pPr>
        <w:jc w:val="both"/>
        <w:rPr>
          <w:rFonts w:cs="Arial"/>
          <w:iCs/>
          <w:sz w:val="22"/>
          <w:szCs w:val="22"/>
        </w:rPr>
      </w:pPr>
    </w:p>
    <w:p w:rsidR="007459B2" w:rsidRPr="00DA1F72" w:rsidRDefault="007459B2" w:rsidP="001E0D2C">
      <w:pPr>
        <w:numPr>
          <w:ilvl w:val="0"/>
          <w:numId w:val="4"/>
        </w:numPr>
        <w:jc w:val="both"/>
        <w:rPr>
          <w:rFonts w:cs="Arial"/>
          <w:sz w:val="22"/>
          <w:szCs w:val="22"/>
        </w:rPr>
      </w:pPr>
      <w:r w:rsidRPr="00DA1F72">
        <w:rPr>
          <w:i/>
          <w:sz w:val="22"/>
          <w:szCs w:val="22"/>
        </w:rPr>
        <w:t xml:space="preserve">Invita </w:t>
      </w:r>
      <w:r w:rsidRPr="00DA1F72">
        <w:rPr>
          <w:sz w:val="22"/>
          <w:szCs w:val="22"/>
        </w:rPr>
        <w:t>a las Partes a considerar la posibilidad de financiar oficiales profesionales subalternos y/o proporcionar gratis personal o expertos técnicos a la Secretaría para aumentar su capacidad;</w:t>
      </w:r>
    </w:p>
    <w:p w:rsidR="007459B2" w:rsidRPr="00DA1F72" w:rsidRDefault="007459B2" w:rsidP="00292B9F">
      <w:pPr>
        <w:ind w:left="360"/>
        <w:jc w:val="both"/>
        <w:rPr>
          <w:rFonts w:cs="Arial"/>
          <w:sz w:val="22"/>
          <w:szCs w:val="22"/>
        </w:rPr>
      </w:pPr>
    </w:p>
    <w:p w:rsidR="007459B2" w:rsidRPr="00DA1F72" w:rsidRDefault="007459B2" w:rsidP="001E0D2C">
      <w:pPr>
        <w:numPr>
          <w:ilvl w:val="0"/>
          <w:numId w:val="4"/>
        </w:numPr>
        <w:jc w:val="both"/>
        <w:rPr>
          <w:rFonts w:cs="Arial"/>
          <w:i/>
          <w:sz w:val="22"/>
          <w:szCs w:val="22"/>
        </w:rPr>
      </w:pPr>
      <w:r w:rsidRPr="00DA1F72">
        <w:rPr>
          <w:i/>
          <w:sz w:val="22"/>
          <w:szCs w:val="22"/>
        </w:rPr>
        <w:t>Encarga</w:t>
      </w:r>
      <w:r w:rsidRPr="00DA1F72">
        <w:rPr>
          <w:sz w:val="22"/>
          <w:szCs w:val="22"/>
        </w:rPr>
        <w:t xml:space="preserve"> al Subcomité de Finanzas y Presupuesto del Comité Permanente a que:</w:t>
      </w:r>
    </w:p>
    <w:p w:rsidR="007459B2" w:rsidRPr="00DA1F72" w:rsidRDefault="007459B2" w:rsidP="001E0D2C">
      <w:pPr>
        <w:tabs>
          <w:tab w:val="left" w:pos="720"/>
        </w:tabs>
        <w:ind w:left="1077" w:hanging="357"/>
        <w:jc w:val="both"/>
        <w:rPr>
          <w:rFonts w:cs="Arial"/>
          <w:color w:val="000000"/>
          <w:sz w:val="22"/>
          <w:szCs w:val="22"/>
        </w:rPr>
      </w:pPr>
    </w:p>
    <w:p w:rsidR="007459B2" w:rsidRPr="00DA1F72" w:rsidRDefault="007459B2" w:rsidP="00292B9F">
      <w:pPr>
        <w:ind w:left="900" w:hanging="540"/>
        <w:jc w:val="both"/>
        <w:rPr>
          <w:rFonts w:cs="Arial"/>
          <w:color w:val="000000"/>
          <w:sz w:val="22"/>
          <w:szCs w:val="22"/>
        </w:rPr>
      </w:pPr>
      <w:r w:rsidRPr="00DA1F72">
        <w:rPr>
          <w:sz w:val="22"/>
          <w:szCs w:val="22"/>
        </w:rPr>
        <w:t>i)</w:t>
      </w:r>
      <w:r w:rsidRPr="00DA1F72">
        <w:rPr>
          <w:sz w:val="22"/>
          <w:szCs w:val="22"/>
        </w:rPr>
        <w:tab/>
        <w:t xml:space="preserve">se reúna el día anterior al comienzo de cada reunión ordinaria del Comité Permanente, y trabaje </w:t>
      </w:r>
      <w:proofErr w:type="spellStart"/>
      <w:r w:rsidRPr="00DA1F72">
        <w:rPr>
          <w:sz w:val="22"/>
          <w:szCs w:val="22"/>
        </w:rPr>
        <w:t>intersesionalmente</w:t>
      </w:r>
      <w:proofErr w:type="spellEnd"/>
      <w:r w:rsidRPr="00DA1F72">
        <w:rPr>
          <w:sz w:val="22"/>
          <w:szCs w:val="22"/>
        </w:rPr>
        <w:t xml:space="preserve"> por medios electrónicos o de otro tipo;</w:t>
      </w:r>
    </w:p>
    <w:p w:rsidR="007459B2" w:rsidRPr="00DA1F72" w:rsidRDefault="007459B2" w:rsidP="001E0D2C">
      <w:pPr>
        <w:ind w:left="1418" w:hanging="698"/>
        <w:jc w:val="both"/>
        <w:rPr>
          <w:rFonts w:cs="Arial"/>
          <w:color w:val="000000"/>
          <w:sz w:val="22"/>
          <w:szCs w:val="22"/>
        </w:rPr>
      </w:pPr>
    </w:p>
    <w:p w:rsidR="007459B2" w:rsidRPr="00DA1F72" w:rsidRDefault="007459B2" w:rsidP="00292B9F">
      <w:pPr>
        <w:ind w:left="900" w:hanging="540"/>
        <w:jc w:val="both"/>
        <w:rPr>
          <w:rFonts w:cs="Arial"/>
          <w:color w:val="000000"/>
          <w:sz w:val="22"/>
          <w:szCs w:val="22"/>
        </w:rPr>
      </w:pPr>
      <w:r w:rsidRPr="00DA1F72">
        <w:rPr>
          <w:sz w:val="22"/>
          <w:szCs w:val="22"/>
        </w:rPr>
        <w:t>ii)</w:t>
      </w:r>
      <w:r w:rsidRPr="00DA1F72">
        <w:rPr>
          <w:sz w:val="22"/>
          <w:szCs w:val="22"/>
        </w:rPr>
        <w:tab/>
        <w:t>trabaje con la Secretaría para preparar todos los documentos presupuestarios que han de ser examinados por el Comité Permanente; y</w:t>
      </w:r>
    </w:p>
    <w:p w:rsidR="007459B2" w:rsidRPr="00DA1F72" w:rsidRDefault="007459B2" w:rsidP="00292B9F">
      <w:pPr>
        <w:ind w:left="900" w:hanging="540"/>
        <w:jc w:val="both"/>
        <w:rPr>
          <w:rFonts w:cs="Arial"/>
          <w:color w:val="000000"/>
          <w:sz w:val="22"/>
          <w:szCs w:val="22"/>
        </w:rPr>
      </w:pPr>
    </w:p>
    <w:p w:rsidR="007459B2" w:rsidRPr="00DA1F72" w:rsidRDefault="007459B2" w:rsidP="00292B9F">
      <w:pPr>
        <w:ind w:left="900" w:hanging="540"/>
        <w:jc w:val="both"/>
        <w:rPr>
          <w:rFonts w:cs="Arial"/>
          <w:color w:val="000000"/>
          <w:sz w:val="22"/>
          <w:szCs w:val="22"/>
        </w:rPr>
      </w:pPr>
      <w:r w:rsidRPr="00DA1F72">
        <w:rPr>
          <w:sz w:val="22"/>
          <w:szCs w:val="22"/>
        </w:rPr>
        <w:t>iii)</w:t>
      </w:r>
      <w:r w:rsidRPr="00DA1F72">
        <w:rPr>
          <w:sz w:val="22"/>
          <w:szCs w:val="22"/>
        </w:rPr>
        <w:tab/>
        <w:t xml:space="preserve">desempeñe sus funciones con arreglo a los términos de referencia que se adjuntan como Anexo </w:t>
      </w:r>
      <w:proofErr w:type="gramStart"/>
      <w:r w:rsidRPr="00DA1F72">
        <w:rPr>
          <w:sz w:val="22"/>
          <w:szCs w:val="22"/>
        </w:rPr>
        <w:t>[  ]</w:t>
      </w:r>
      <w:proofErr w:type="gramEnd"/>
      <w:r w:rsidRPr="00DA1F72">
        <w:rPr>
          <w:sz w:val="22"/>
          <w:szCs w:val="22"/>
        </w:rPr>
        <w:t xml:space="preserve"> de la presente Resolución;</w:t>
      </w:r>
    </w:p>
    <w:p w:rsidR="007459B2" w:rsidRPr="00DA1F72" w:rsidRDefault="007459B2" w:rsidP="001E0D2C">
      <w:pPr>
        <w:pStyle w:val="ListParagraph"/>
        <w:ind w:left="0"/>
        <w:rPr>
          <w:rFonts w:cs="Arial"/>
          <w:sz w:val="22"/>
          <w:szCs w:val="22"/>
        </w:rPr>
      </w:pPr>
    </w:p>
    <w:p w:rsidR="007459B2" w:rsidRPr="00DA1F72" w:rsidRDefault="007459B2" w:rsidP="001E0D2C">
      <w:pPr>
        <w:numPr>
          <w:ilvl w:val="0"/>
          <w:numId w:val="4"/>
        </w:numPr>
        <w:jc w:val="both"/>
        <w:rPr>
          <w:rFonts w:cs="Arial"/>
          <w:sz w:val="22"/>
          <w:szCs w:val="22"/>
        </w:rPr>
      </w:pPr>
      <w:r w:rsidRPr="00DA1F72">
        <w:rPr>
          <w:i/>
          <w:sz w:val="22"/>
          <w:szCs w:val="22"/>
        </w:rPr>
        <w:t>Confirma</w:t>
      </w:r>
      <w:r w:rsidRPr="00DA1F72">
        <w:rPr>
          <w:sz w:val="22"/>
          <w:szCs w:val="22"/>
        </w:rPr>
        <w:t xml:space="preserve"> que la Secretaría de la CMS seguirá prestando los servicios de secretaría al ASCOBANS y al Acuerdo sobre los gorilas en el próximo trienio y </w:t>
      </w:r>
      <w:r w:rsidRPr="00DA1F72">
        <w:rPr>
          <w:i/>
          <w:sz w:val="22"/>
          <w:szCs w:val="22"/>
        </w:rPr>
        <w:t>decide</w:t>
      </w:r>
      <w:r w:rsidRPr="00DA1F72">
        <w:rPr>
          <w:sz w:val="22"/>
          <w:szCs w:val="22"/>
        </w:rPr>
        <w:t xml:space="preserve"> que la Secretaría de la CMS desempeñará las funciones de secretaría permanente del </w:t>
      </w:r>
      <w:proofErr w:type="spellStart"/>
      <w:r w:rsidRPr="00DA1F72">
        <w:rPr>
          <w:sz w:val="22"/>
          <w:szCs w:val="22"/>
        </w:rPr>
        <w:t>MdE</w:t>
      </w:r>
      <w:proofErr w:type="spellEnd"/>
      <w:r w:rsidRPr="00DA1F72">
        <w:rPr>
          <w:sz w:val="22"/>
          <w:szCs w:val="22"/>
        </w:rPr>
        <w:t xml:space="preserve"> sobre los tiburones;</w:t>
      </w:r>
    </w:p>
    <w:p w:rsidR="007459B2" w:rsidRPr="00DA1F72" w:rsidRDefault="007459B2" w:rsidP="00292B9F">
      <w:pPr>
        <w:ind w:left="360"/>
        <w:jc w:val="both"/>
        <w:rPr>
          <w:rFonts w:cs="Arial"/>
          <w:sz w:val="22"/>
          <w:szCs w:val="22"/>
        </w:rPr>
      </w:pPr>
    </w:p>
    <w:p w:rsidR="007459B2" w:rsidRPr="00DA1F72" w:rsidRDefault="007459B2" w:rsidP="001E0D2C">
      <w:pPr>
        <w:numPr>
          <w:ilvl w:val="0"/>
          <w:numId w:val="4"/>
        </w:numPr>
        <w:jc w:val="both"/>
        <w:rPr>
          <w:rFonts w:cs="Arial"/>
          <w:sz w:val="22"/>
          <w:szCs w:val="22"/>
        </w:rPr>
      </w:pPr>
      <w:r w:rsidRPr="00DA1F72">
        <w:rPr>
          <w:i/>
          <w:sz w:val="22"/>
          <w:szCs w:val="22"/>
        </w:rPr>
        <w:t>Solicita</w:t>
      </w:r>
      <w:r w:rsidRPr="00DA1F72">
        <w:rPr>
          <w:sz w:val="22"/>
          <w:szCs w:val="22"/>
        </w:rPr>
        <w:t xml:space="preserve"> al Director Ejecutivo de la ONU Medio Ambiente que siga incorporando aspectos del Programa de trabajo de la Convención en el Programa de trabajo de la ONU Medio Ambiente y los proyectos previstos para aplicarlos, y considere, según proceda, la posible prestación de apoyo financiero para determinadas actividades específicas de la CMS, en este contexto;</w:t>
      </w:r>
    </w:p>
    <w:p w:rsidR="007459B2" w:rsidRPr="00DA1F72" w:rsidRDefault="007459B2" w:rsidP="00292B9F">
      <w:pPr>
        <w:ind w:left="360"/>
        <w:jc w:val="both"/>
        <w:rPr>
          <w:rFonts w:cs="Arial"/>
          <w:sz w:val="22"/>
          <w:szCs w:val="22"/>
        </w:rPr>
      </w:pPr>
    </w:p>
    <w:p w:rsidR="007459B2" w:rsidRPr="00DA1F72" w:rsidRDefault="007459B2" w:rsidP="001E0D2C">
      <w:pPr>
        <w:numPr>
          <w:ilvl w:val="0"/>
          <w:numId w:val="4"/>
        </w:numPr>
        <w:jc w:val="both"/>
        <w:rPr>
          <w:rFonts w:cs="Arial"/>
          <w:sz w:val="22"/>
          <w:szCs w:val="22"/>
        </w:rPr>
      </w:pPr>
      <w:r w:rsidRPr="00DA1F72">
        <w:rPr>
          <w:i/>
          <w:sz w:val="22"/>
          <w:szCs w:val="22"/>
        </w:rPr>
        <w:t xml:space="preserve">Solicita </w:t>
      </w:r>
      <w:r w:rsidRPr="00DA1F72">
        <w:rPr>
          <w:sz w:val="22"/>
          <w:szCs w:val="22"/>
        </w:rPr>
        <w:t>al Director Ejecutivo de la ONU Medio Ambiente que prorrogue la duración del Fondo Fiduciario de la Convención hasta el 31 de diciembre de 2020;</w:t>
      </w:r>
    </w:p>
    <w:p w:rsidR="007459B2" w:rsidRPr="00DA1F72" w:rsidRDefault="007459B2" w:rsidP="00292B9F">
      <w:pPr>
        <w:ind w:left="360"/>
        <w:jc w:val="both"/>
        <w:rPr>
          <w:rFonts w:cs="Arial"/>
          <w:sz w:val="22"/>
          <w:szCs w:val="22"/>
        </w:rPr>
      </w:pPr>
    </w:p>
    <w:p w:rsidR="007459B2" w:rsidRPr="00DA1F72" w:rsidRDefault="007459B2" w:rsidP="001E0D2C">
      <w:pPr>
        <w:numPr>
          <w:ilvl w:val="0"/>
          <w:numId w:val="4"/>
        </w:numPr>
        <w:jc w:val="both"/>
        <w:rPr>
          <w:rFonts w:cs="Arial"/>
          <w:sz w:val="22"/>
          <w:szCs w:val="22"/>
        </w:rPr>
      </w:pPr>
      <w:r w:rsidRPr="00DA1F72">
        <w:rPr>
          <w:i/>
          <w:sz w:val="22"/>
          <w:szCs w:val="22"/>
        </w:rPr>
        <w:t>Aprueba</w:t>
      </w:r>
      <w:r w:rsidRPr="00DA1F72">
        <w:rPr>
          <w:sz w:val="22"/>
          <w:szCs w:val="22"/>
        </w:rPr>
        <w:t xml:space="preserve"> los términos de referencia para la administración del Fondo Fiduciario, según se establece en el Anexo [ </w:t>
      </w:r>
      <w:proofErr w:type="gramStart"/>
      <w:r w:rsidRPr="00DA1F72">
        <w:rPr>
          <w:sz w:val="22"/>
          <w:szCs w:val="22"/>
        </w:rPr>
        <w:t xml:space="preserve">  ]</w:t>
      </w:r>
      <w:proofErr w:type="gramEnd"/>
      <w:r w:rsidRPr="00DA1F72">
        <w:rPr>
          <w:sz w:val="22"/>
          <w:szCs w:val="22"/>
        </w:rPr>
        <w:t xml:space="preserve"> de la presente Resolución, para el período 2012 a 2020.</w:t>
      </w:r>
    </w:p>
    <w:p w:rsidR="007459B2" w:rsidRPr="00DA1F72" w:rsidRDefault="007459B2" w:rsidP="00292B9F">
      <w:pPr>
        <w:ind w:left="360"/>
        <w:jc w:val="both"/>
        <w:rPr>
          <w:rFonts w:cs="Arial"/>
          <w:sz w:val="22"/>
          <w:szCs w:val="22"/>
        </w:rPr>
      </w:pPr>
    </w:p>
    <w:p w:rsidR="007459B2" w:rsidRPr="00DA1F72" w:rsidRDefault="007459B2" w:rsidP="001E0D2C">
      <w:pPr>
        <w:numPr>
          <w:ilvl w:val="0"/>
          <w:numId w:val="4"/>
        </w:numPr>
        <w:jc w:val="both"/>
        <w:rPr>
          <w:rFonts w:cs="Arial"/>
          <w:sz w:val="22"/>
          <w:szCs w:val="22"/>
        </w:rPr>
      </w:pPr>
      <w:r w:rsidRPr="00DA1F72">
        <w:rPr>
          <w:i/>
          <w:sz w:val="22"/>
          <w:szCs w:val="22"/>
        </w:rPr>
        <w:t>Decide</w:t>
      </w:r>
      <w:r w:rsidRPr="00DA1F72">
        <w:rPr>
          <w:sz w:val="22"/>
          <w:szCs w:val="22"/>
        </w:rPr>
        <w:t xml:space="preserve"> que todas las contribuciones al Fondo Fiduciario se paguen en euros;</w:t>
      </w:r>
    </w:p>
    <w:p w:rsidR="007459B2" w:rsidRPr="00DA1F72" w:rsidRDefault="007459B2" w:rsidP="00292B9F">
      <w:pPr>
        <w:ind w:left="360"/>
        <w:jc w:val="both"/>
        <w:rPr>
          <w:rFonts w:cs="Arial"/>
          <w:sz w:val="22"/>
          <w:szCs w:val="22"/>
        </w:rPr>
      </w:pPr>
    </w:p>
    <w:p w:rsidR="007459B2" w:rsidRPr="00DA1F72" w:rsidRDefault="007459B2" w:rsidP="001E0D2C">
      <w:pPr>
        <w:numPr>
          <w:ilvl w:val="0"/>
          <w:numId w:val="4"/>
        </w:numPr>
        <w:jc w:val="both"/>
        <w:rPr>
          <w:rFonts w:cs="Arial"/>
          <w:sz w:val="22"/>
          <w:szCs w:val="22"/>
        </w:rPr>
      </w:pPr>
      <w:r w:rsidRPr="00DA1F72">
        <w:rPr>
          <w:i/>
          <w:sz w:val="22"/>
          <w:szCs w:val="22"/>
        </w:rPr>
        <w:t>Solicita</w:t>
      </w:r>
      <w:r w:rsidRPr="00DA1F72">
        <w:rPr>
          <w:sz w:val="22"/>
          <w:szCs w:val="22"/>
        </w:rPr>
        <w:t xml:space="preserve"> a la Secretaría que siga de cerca las fluctuaciones de los tipos de cambio y ajuste los niveles de gastos, según proceda; y decide que la Secretaría como último recurso, puede solicitar excepcionalmente al Comité Permanente la posibilidad de detraer recursos del Fondo Fiduciario;</w:t>
      </w:r>
    </w:p>
    <w:p w:rsidR="007459B2" w:rsidRPr="00DA1F72" w:rsidRDefault="007459B2" w:rsidP="00292B9F">
      <w:pPr>
        <w:ind w:left="360"/>
        <w:jc w:val="both"/>
        <w:rPr>
          <w:rFonts w:cs="Arial"/>
          <w:sz w:val="22"/>
          <w:szCs w:val="22"/>
        </w:rPr>
      </w:pPr>
    </w:p>
    <w:p w:rsidR="007459B2" w:rsidRPr="00DA1F72" w:rsidRDefault="007459B2" w:rsidP="001E0D2C">
      <w:pPr>
        <w:numPr>
          <w:ilvl w:val="0"/>
          <w:numId w:val="4"/>
        </w:numPr>
        <w:jc w:val="both"/>
        <w:rPr>
          <w:rFonts w:cs="Arial"/>
          <w:sz w:val="22"/>
          <w:szCs w:val="22"/>
        </w:rPr>
      </w:pPr>
      <w:r w:rsidRPr="00DA1F72">
        <w:rPr>
          <w:i/>
          <w:sz w:val="22"/>
          <w:szCs w:val="22"/>
        </w:rPr>
        <w:t xml:space="preserve">Decide además </w:t>
      </w:r>
      <w:r w:rsidRPr="00DA1F72">
        <w:rPr>
          <w:sz w:val="22"/>
          <w:szCs w:val="22"/>
        </w:rPr>
        <w:t xml:space="preserve">que se mantenga una reserva para gastos de funcionamiento a un nivel constante de por lo menos el 15% de los gastos anuales estimados </w:t>
      </w:r>
      <w:proofErr w:type="spellStart"/>
      <w:r w:rsidRPr="00DA1F72">
        <w:rPr>
          <w:sz w:val="22"/>
          <w:szCs w:val="22"/>
        </w:rPr>
        <w:t>ó</w:t>
      </w:r>
      <w:proofErr w:type="spellEnd"/>
      <w:r w:rsidRPr="00DA1F72">
        <w:rPr>
          <w:sz w:val="22"/>
          <w:szCs w:val="22"/>
        </w:rPr>
        <w:t xml:space="preserve"> de 500.000 USD, según cuál sea la cantidad mayor;</w:t>
      </w:r>
    </w:p>
    <w:p w:rsidR="007459B2" w:rsidRPr="00DA1F72" w:rsidRDefault="007459B2" w:rsidP="00292B9F">
      <w:pPr>
        <w:ind w:left="360"/>
        <w:jc w:val="both"/>
        <w:rPr>
          <w:rFonts w:cs="Arial"/>
          <w:sz w:val="22"/>
          <w:szCs w:val="22"/>
        </w:rPr>
      </w:pPr>
    </w:p>
    <w:p w:rsidR="007459B2" w:rsidRPr="00DA1F72" w:rsidRDefault="007459B2" w:rsidP="001E0D2C">
      <w:pPr>
        <w:numPr>
          <w:ilvl w:val="0"/>
          <w:numId w:val="4"/>
        </w:numPr>
        <w:jc w:val="both"/>
        <w:rPr>
          <w:rFonts w:cs="Arial"/>
          <w:sz w:val="22"/>
          <w:szCs w:val="22"/>
        </w:rPr>
      </w:pPr>
      <w:r w:rsidRPr="00DA1F72">
        <w:rPr>
          <w:i/>
          <w:sz w:val="22"/>
          <w:szCs w:val="22"/>
        </w:rPr>
        <w:t>Revoca</w:t>
      </w:r>
      <w:r w:rsidRPr="00DA1F72">
        <w:rPr>
          <w:sz w:val="22"/>
          <w:szCs w:val="22"/>
        </w:rPr>
        <w:t xml:space="preserve"> la Resolución 11.1, si bien las cuotas asignadas de las Partes destinadas a financiar el presupuesto para 2015-2017, tal como figuran en el Anexo II de la Resolución permanecen en registro.  </w:t>
      </w:r>
    </w:p>
    <w:p w:rsidR="00011871" w:rsidRDefault="00011871" w:rsidP="00292B9F">
      <w:pPr>
        <w:widowControl/>
        <w:autoSpaceDE/>
        <w:adjustRightInd/>
        <w:jc w:val="right"/>
        <w:rPr>
          <w:b/>
          <w:caps/>
          <w:sz w:val="22"/>
          <w:szCs w:val="22"/>
        </w:rPr>
        <w:sectPr w:rsidR="00011871" w:rsidSect="00620809">
          <w:headerReference w:type="even" r:id="rId22"/>
          <w:headerReference w:type="default" r:id="rId23"/>
          <w:headerReference w:type="first" r:id="rId24"/>
          <w:endnotePr>
            <w:numFmt w:val="decimal"/>
          </w:endnotePr>
          <w:pgSz w:w="11905" w:h="16837" w:code="9"/>
          <w:pgMar w:top="1008" w:right="1411" w:bottom="1152" w:left="1411" w:header="432" w:footer="432" w:gutter="0"/>
          <w:cols w:space="720"/>
          <w:noEndnote/>
          <w:titlePg/>
          <w:rtlGutter/>
          <w:docGrid w:linePitch="272"/>
        </w:sectPr>
      </w:pPr>
    </w:p>
    <w:p w:rsidR="007459B2" w:rsidRPr="00DA1F72" w:rsidRDefault="007459B2" w:rsidP="00292B9F">
      <w:pPr>
        <w:widowControl/>
        <w:autoSpaceDE/>
        <w:adjustRightInd/>
        <w:jc w:val="right"/>
        <w:rPr>
          <w:rFonts w:cs="Arial"/>
          <w:b/>
          <w:bCs/>
          <w:caps/>
          <w:sz w:val="22"/>
          <w:szCs w:val="22"/>
        </w:rPr>
      </w:pPr>
      <w:r w:rsidRPr="00DA1F72">
        <w:rPr>
          <w:b/>
          <w:caps/>
          <w:sz w:val="22"/>
          <w:szCs w:val="22"/>
        </w:rPr>
        <w:lastRenderedPageBreak/>
        <w:t>Anexo 3 (A)</w:t>
      </w:r>
    </w:p>
    <w:p w:rsidR="007459B2" w:rsidRPr="00DA1F72" w:rsidRDefault="007459B2" w:rsidP="00292B9F">
      <w:pPr>
        <w:rPr>
          <w:rFonts w:cs="Arial"/>
          <w:sz w:val="22"/>
          <w:szCs w:val="22"/>
        </w:rPr>
      </w:pPr>
    </w:p>
    <w:p w:rsidR="007459B2" w:rsidRPr="00DA1F72" w:rsidRDefault="007459B2" w:rsidP="00292B9F">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r w:rsidRPr="00DA1F72">
        <w:rPr>
          <w:b/>
          <w:color w:val="000000"/>
          <w:sz w:val="22"/>
          <w:szCs w:val="22"/>
        </w:rPr>
        <w:t>Presupuesto para el trienio 2018-2020</w:t>
      </w:r>
    </w:p>
    <w:p w:rsidR="007459B2" w:rsidRPr="00DA1F72" w:rsidRDefault="007459B2" w:rsidP="00292B9F">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p>
    <w:p w:rsidR="007459B2" w:rsidRPr="00DA1F72" w:rsidRDefault="007459B2" w:rsidP="00292B9F">
      <w:pPr>
        <w:tabs>
          <w:tab w:val="left" w:pos="1020"/>
        </w:tabs>
        <w:rPr>
          <w:rFonts w:cs="Arial"/>
          <w:sz w:val="22"/>
          <w:szCs w:val="22"/>
        </w:rPr>
      </w:pPr>
      <w:r w:rsidRPr="00DA1F72">
        <w:rPr>
          <w:sz w:val="22"/>
          <w:szCs w:val="22"/>
        </w:rPr>
        <w:t>[Se completará después de la adopción del presupuesto]</w:t>
      </w:r>
    </w:p>
    <w:p w:rsidR="007459B2" w:rsidRPr="00DA1F72" w:rsidRDefault="007459B2" w:rsidP="00292B9F">
      <w:pPr>
        <w:widowControl/>
        <w:autoSpaceDE/>
        <w:adjustRightInd/>
        <w:jc w:val="right"/>
        <w:rPr>
          <w:rFonts w:cs="Arial"/>
          <w:sz w:val="22"/>
          <w:szCs w:val="22"/>
        </w:rPr>
        <w:sectPr w:rsidR="007459B2" w:rsidRPr="00DA1F72" w:rsidSect="00620809">
          <w:headerReference w:type="first" r:id="rId25"/>
          <w:endnotePr>
            <w:numFmt w:val="decimal"/>
          </w:endnotePr>
          <w:pgSz w:w="11905" w:h="16837" w:code="9"/>
          <w:pgMar w:top="1008" w:right="1411" w:bottom="1152" w:left="1411" w:header="432" w:footer="432" w:gutter="0"/>
          <w:cols w:space="720"/>
          <w:noEndnote/>
          <w:titlePg/>
          <w:rtlGutter/>
          <w:docGrid w:linePitch="272"/>
        </w:sectPr>
      </w:pPr>
    </w:p>
    <w:p w:rsidR="007459B2" w:rsidRPr="00DA1F72" w:rsidRDefault="007459B2" w:rsidP="00292B9F">
      <w:pPr>
        <w:widowControl/>
        <w:autoSpaceDE/>
        <w:adjustRightInd/>
        <w:jc w:val="right"/>
        <w:rPr>
          <w:rFonts w:cs="Arial"/>
          <w:b/>
          <w:bCs/>
          <w:caps/>
          <w:sz w:val="22"/>
          <w:szCs w:val="22"/>
        </w:rPr>
      </w:pPr>
      <w:r w:rsidRPr="00DA1F72">
        <w:rPr>
          <w:b/>
          <w:caps/>
          <w:sz w:val="22"/>
          <w:szCs w:val="22"/>
        </w:rPr>
        <w:lastRenderedPageBreak/>
        <w:t>Anexo 3 (B)</w:t>
      </w:r>
    </w:p>
    <w:p w:rsidR="007459B2" w:rsidRPr="00DA1F72" w:rsidRDefault="007459B2" w:rsidP="00292B9F">
      <w:pPr>
        <w:rPr>
          <w:rFonts w:cs="Arial"/>
          <w:sz w:val="22"/>
          <w:szCs w:val="22"/>
        </w:rPr>
      </w:pPr>
    </w:p>
    <w:p w:rsidR="007459B2" w:rsidRPr="00DA1F72" w:rsidRDefault="007459B2" w:rsidP="00292B9F">
      <w:pPr>
        <w:jc w:val="center"/>
        <w:rPr>
          <w:rFonts w:cs="Arial"/>
          <w:b/>
          <w:color w:val="000000"/>
          <w:sz w:val="22"/>
          <w:szCs w:val="22"/>
        </w:rPr>
      </w:pPr>
      <w:r w:rsidRPr="00DA1F72">
        <w:rPr>
          <w:b/>
          <w:color w:val="000000"/>
          <w:sz w:val="22"/>
          <w:szCs w:val="22"/>
        </w:rPr>
        <w:t xml:space="preserve">Cuotas asignadas para la Convención durante el trienio 2018 </w:t>
      </w:r>
      <w:r>
        <w:rPr>
          <w:b/>
          <w:color w:val="000000"/>
          <w:sz w:val="22"/>
          <w:szCs w:val="22"/>
        </w:rPr>
        <w:t>-</w:t>
      </w:r>
      <w:r w:rsidRPr="00DA1F72">
        <w:rPr>
          <w:b/>
          <w:color w:val="000000"/>
          <w:sz w:val="22"/>
          <w:szCs w:val="22"/>
        </w:rPr>
        <w:t xml:space="preserve"> 2020 </w:t>
      </w:r>
    </w:p>
    <w:p w:rsidR="007459B2" w:rsidRPr="00DA1F72" w:rsidRDefault="007459B2" w:rsidP="00292B9F">
      <w:pPr>
        <w:jc w:val="center"/>
        <w:rPr>
          <w:rFonts w:cs="Arial"/>
          <w:sz w:val="22"/>
          <w:szCs w:val="22"/>
        </w:rPr>
      </w:pPr>
    </w:p>
    <w:p w:rsidR="007459B2" w:rsidRPr="00DA1F72" w:rsidRDefault="007459B2" w:rsidP="00292B9F">
      <w:pPr>
        <w:pStyle w:val="Heading2"/>
        <w:keepNext w:val="0"/>
        <w:ind w:left="-90" w:right="-367"/>
        <w:rPr>
          <w:rFonts w:cs="Arial"/>
          <w:b w:val="0"/>
          <w:bCs w:val="0"/>
          <w:sz w:val="22"/>
          <w:szCs w:val="22"/>
        </w:rPr>
      </w:pPr>
      <w:r w:rsidRPr="00DA1F72">
        <w:rPr>
          <w:b w:val="0"/>
          <w:sz w:val="22"/>
          <w:szCs w:val="22"/>
        </w:rPr>
        <w:t>[Se completará después de la adopción del presupuesto]</w:t>
      </w:r>
    </w:p>
    <w:p w:rsidR="007459B2" w:rsidRPr="00DA1F72" w:rsidRDefault="007459B2" w:rsidP="00292B9F">
      <w:pPr>
        <w:rPr>
          <w:sz w:val="22"/>
          <w:szCs w:val="22"/>
        </w:rPr>
        <w:sectPr w:rsidR="007459B2" w:rsidRPr="00DA1F72" w:rsidSect="00620809">
          <w:headerReference w:type="first" r:id="rId26"/>
          <w:endnotePr>
            <w:numFmt w:val="decimal"/>
          </w:endnotePr>
          <w:pgSz w:w="11905" w:h="16837" w:code="9"/>
          <w:pgMar w:top="1008" w:right="1411" w:bottom="1152" w:left="1411" w:header="432" w:footer="432" w:gutter="0"/>
          <w:cols w:space="720"/>
          <w:noEndnote/>
          <w:titlePg/>
          <w:rtlGutter/>
          <w:docGrid w:linePitch="272"/>
        </w:sectPr>
      </w:pPr>
    </w:p>
    <w:p w:rsidR="007459B2" w:rsidRPr="00DA1F72" w:rsidRDefault="007459B2" w:rsidP="00292B9F">
      <w:pPr>
        <w:widowControl/>
        <w:autoSpaceDE/>
        <w:adjustRightInd/>
        <w:jc w:val="right"/>
        <w:rPr>
          <w:rFonts w:cs="Arial"/>
          <w:b/>
          <w:bCs/>
          <w:caps/>
          <w:sz w:val="22"/>
          <w:szCs w:val="22"/>
        </w:rPr>
      </w:pPr>
      <w:r w:rsidRPr="00DA1F72">
        <w:rPr>
          <w:b/>
          <w:caps/>
          <w:sz w:val="22"/>
          <w:szCs w:val="22"/>
        </w:rPr>
        <w:lastRenderedPageBreak/>
        <w:t>Anexo 3 (C)</w:t>
      </w:r>
    </w:p>
    <w:p w:rsidR="007459B2" w:rsidRPr="00DA1F72" w:rsidRDefault="007459B2" w:rsidP="00292B9F">
      <w:pPr>
        <w:rPr>
          <w:rFonts w:cs="Arial"/>
          <w:sz w:val="22"/>
          <w:szCs w:val="22"/>
        </w:rPr>
      </w:pPr>
    </w:p>
    <w:p w:rsidR="007459B2" w:rsidRPr="00DA1F72" w:rsidRDefault="007459B2" w:rsidP="00292B9F">
      <w:pPr>
        <w:jc w:val="center"/>
        <w:rPr>
          <w:rFonts w:cs="Arial"/>
          <w:b/>
          <w:color w:val="000000"/>
          <w:sz w:val="22"/>
          <w:szCs w:val="22"/>
        </w:rPr>
      </w:pPr>
      <w:r w:rsidRPr="00DA1F72">
        <w:rPr>
          <w:b/>
          <w:color w:val="000000"/>
          <w:sz w:val="22"/>
          <w:szCs w:val="22"/>
        </w:rPr>
        <w:t>Términos de referencia del Subcomité de Finanzas y Presupuesto</w:t>
      </w:r>
    </w:p>
    <w:p w:rsidR="007459B2" w:rsidRPr="00DA1F72" w:rsidRDefault="007459B2" w:rsidP="00292B9F">
      <w:pPr>
        <w:jc w:val="center"/>
        <w:rPr>
          <w:rFonts w:cs="Arial"/>
          <w:b/>
          <w:color w:val="000000"/>
          <w:sz w:val="22"/>
          <w:szCs w:val="22"/>
        </w:rPr>
      </w:pPr>
    </w:p>
    <w:p w:rsidR="007459B2" w:rsidRPr="00DA1F72" w:rsidRDefault="007459B2" w:rsidP="00292B9F">
      <w:pPr>
        <w:jc w:val="both"/>
        <w:rPr>
          <w:rFonts w:cs="Arial"/>
          <w:i/>
          <w:sz w:val="22"/>
          <w:szCs w:val="22"/>
        </w:rPr>
      </w:pPr>
      <w:r w:rsidRPr="00DA1F72">
        <w:rPr>
          <w:sz w:val="22"/>
          <w:szCs w:val="22"/>
        </w:rPr>
        <w:t>1.</w:t>
      </w:r>
      <w:r w:rsidRPr="00DA1F72">
        <w:rPr>
          <w:sz w:val="22"/>
          <w:szCs w:val="22"/>
        </w:rPr>
        <w:tab/>
      </w:r>
      <w:r w:rsidRPr="00DA1F72">
        <w:rPr>
          <w:i/>
          <w:sz w:val="22"/>
          <w:szCs w:val="22"/>
        </w:rPr>
        <w:t>Composición del Subcomité:</w:t>
      </w:r>
    </w:p>
    <w:p w:rsidR="007459B2" w:rsidRPr="00DA1F72" w:rsidRDefault="007459B2" w:rsidP="00292B9F">
      <w:pPr>
        <w:ind w:left="709" w:hanging="709"/>
        <w:jc w:val="both"/>
        <w:rPr>
          <w:rFonts w:cs="Arial"/>
          <w:sz w:val="22"/>
          <w:szCs w:val="22"/>
        </w:rPr>
      </w:pPr>
    </w:p>
    <w:p w:rsidR="007459B2" w:rsidRPr="00DA1F72" w:rsidRDefault="007459B2" w:rsidP="00C840D0">
      <w:pPr>
        <w:pStyle w:val="ListParagraph"/>
        <w:numPr>
          <w:ilvl w:val="0"/>
          <w:numId w:val="19"/>
        </w:numPr>
        <w:ind w:left="720" w:hanging="450"/>
        <w:jc w:val="both"/>
        <w:rPr>
          <w:rFonts w:cs="Arial"/>
          <w:sz w:val="22"/>
          <w:szCs w:val="22"/>
        </w:rPr>
      </w:pPr>
      <w:r w:rsidRPr="00DA1F72">
        <w:rPr>
          <w:sz w:val="22"/>
          <w:szCs w:val="22"/>
        </w:rPr>
        <w:t xml:space="preserve">El Subcomité de Finanzas y Presupuesto estará integrado por miembros seleccionados </w:t>
      </w:r>
      <w:r w:rsidRPr="00DA1F72">
        <w:rPr>
          <w:sz w:val="22"/>
          <w:szCs w:val="22"/>
          <w:u w:val="single"/>
        </w:rPr>
        <w:t>de entre los miembros del Comité Permanente, con</w:t>
      </w:r>
      <w:r w:rsidRPr="00DA1F72">
        <w:rPr>
          <w:sz w:val="22"/>
          <w:szCs w:val="22"/>
        </w:rPr>
        <w:t xml:space="preserve"> un país representante de cada una de las regiones de la CMS designado por la región; y</w:t>
      </w:r>
    </w:p>
    <w:p w:rsidR="007459B2" w:rsidRPr="00DA1F72" w:rsidRDefault="007459B2" w:rsidP="00C840D0">
      <w:pPr>
        <w:pStyle w:val="ListParagraph"/>
        <w:ind w:left="1065" w:hanging="450"/>
        <w:jc w:val="both"/>
        <w:rPr>
          <w:rFonts w:cs="Arial"/>
          <w:sz w:val="22"/>
          <w:szCs w:val="22"/>
        </w:rPr>
      </w:pPr>
    </w:p>
    <w:p w:rsidR="007459B2" w:rsidRPr="00DA1F72" w:rsidRDefault="007459B2" w:rsidP="00C840D0">
      <w:pPr>
        <w:ind w:left="709" w:hanging="450"/>
        <w:jc w:val="both"/>
        <w:rPr>
          <w:rFonts w:cs="Arial"/>
          <w:sz w:val="22"/>
          <w:szCs w:val="22"/>
        </w:rPr>
      </w:pPr>
      <w:r w:rsidRPr="00DA1F72">
        <w:rPr>
          <w:sz w:val="22"/>
          <w:szCs w:val="22"/>
        </w:rPr>
        <w:t xml:space="preserve">b) </w:t>
      </w:r>
      <w:r w:rsidRPr="00DA1F72">
        <w:rPr>
          <w:sz w:val="22"/>
          <w:szCs w:val="22"/>
        </w:rPr>
        <w:tab/>
        <w:t>El Subcomité elegirá un Presidente de entre sus miembros.</w:t>
      </w:r>
    </w:p>
    <w:p w:rsidR="007459B2" w:rsidRPr="00DA1F72" w:rsidRDefault="007459B2" w:rsidP="00292B9F">
      <w:pPr>
        <w:ind w:left="709" w:hanging="709"/>
        <w:jc w:val="both"/>
        <w:rPr>
          <w:rFonts w:cs="Arial"/>
          <w:sz w:val="22"/>
          <w:szCs w:val="22"/>
        </w:rPr>
      </w:pPr>
    </w:p>
    <w:p w:rsidR="007459B2" w:rsidRPr="00DA1F72" w:rsidRDefault="007459B2" w:rsidP="00292B9F">
      <w:pPr>
        <w:jc w:val="both"/>
        <w:rPr>
          <w:rFonts w:cs="Arial"/>
          <w:i/>
          <w:sz w:val="22"/>
          <w:szCs w:val="22"/>
        </w:rPr>
      </w:pPr>
      <w:r w:rsidRPr="00DA1F72">
        <w:rPr>
          <w:sz w:val="22"/>
          <w:szCs w:val="22"/>
        </w:rPr>
        <w:t>2.</w:t>
      </w:r>
      <w:r w:rsidRPr="00DA1F72">
        <w:rPr>
          <w:sz w:val="22"/>
          <w:szCs w:val="22"/>
        </w:rPr>
        <w:tab/>
      </w:r>
      <w:r w:rsidRPr="00DA1F72">
        <w:rPr>
          <w:i/>
          <w:sz w:val="22"/>
          <w:szCs w:val="22"/>
        </w:rPr>
        <w:t>Reuniones y modo de funcionamiento del Subcomité:</w:t>
      </w:r>
    </w:p>
    <w:p w:rsidR="007459B2" w:rsidRPr="00DA1F72" w:rsidRDefault="007459B2" w:rsidP="00292B9F">
      <w:pPr>
        <w:ind w:left="709" w:hanging="709"/>
        <w:jc w:val="both"/>
        <w:rPr>
          <w:rFonts w:cs="Arial"/>
          <w:sz w:val="22"/>
          <w:szCs w:val="22"/>
        </w:rPr>
      </w:pPr>
    </w:p>
    <w:p w:rsidR="007459B2" w:rsidRPr="00DA1F72" w:rsidRDefault="007459B2" w:rsidP="00C840D0">
      <w:pPr>
        <w:numPr>
          <w:ilvl w:val="0"/>
          <w:numId w:val="18"/>
        </w:numPr>
        <w:ind w:hanging="435"/>
        <w:jc w:val="both"/>
        <w:rPr>
          <w:rFonts w:cs="Arial"/>
          <w:sz w:val="22"/>
          <w:szCs w:val="22"/>
        </w:rPr>
      </w:pPr>
      <w:r w:rsidRPr="00DA1F72">
        <w:rPr>
          <w:sz w:val="22"/>
          <w:szCs w:val="22"/>
        </w:rPr>
        <w:t>El Subcomité se reunirá en sesión privada (es decir, asistirán solo los miembros del Subcomité, observadores de las Partes y la Secretaría) un día antes de cada reunión del Comité Permanente; y</w:t>
      </w:r>
    </w:p>
    <w:p w:rsidR="007459B2" w:rsidRPr="00DA1F72" w:rsidRDefault="007459B2" w:rsidP="00C840D0">
      <w:pPr>
        <w:ind w:left="1065" w:hanging="435"/>
        <w:jc w:val="both"/>
        <w:rPr>
          <w:rFonts w:cs="Arial"/>
          <w:sz w:val="22"/>
          <w:szCs w:val="22"/>
        </w:rPr>
      </w:pPr>
    </w:p>
    <w:p w:rsidR="007459B2" w:rsidRPr="00DA1F72" w:rsidRDefault="007459B2" w:rsidP="00C840D0">
      <w:pPr>
        <w:ind w:left="709" w:hanging="435"/>
        <w:jc w:val="both"/>
        <w:rPr>
          <w:rFonts w:cs="Arial"/>
          <w:sz w:val="22"/>
          <w:szCs w:val="22"/>
        </w:rPr>
      </w:pPr>
      <w:r w:rsidRPr="00DA1F72">
        <w:rPr>
          <w:sz w:val="22"/>
          <w:szCs w:val="22"/>
        </w:rPr>
        <w:t xml:space="preserve">b) </w:t>
      </w:r>
      <w:r w:rsidRPr="00DA1F72">
        <w:rPr>
          <w:sz w:val="22"/>
          <w:szCs w:val="22"/>
        </w:rPr>
        <w:tab/>
        <w:t>Los miembros del Subcomité se comunicarán por vía electrónica entre las reuniones del Comité Permanente. Con este fin, la Secretaría deberá establecer un foro en su sitio web para las comunicaciones entre los miembros y para el intercambio de documentos, que podrán ser leídos por las Partes que no son miembros, que deberían comunicar sus opiniones a su representante regional en el Subcomité.</w:t>
      </w:r>
    </w:p>
    <w:p w:rsidR="007459B2" w:rsidRPr="00DA1F72" w:rsidRDefault="007459B2" w:rsidP="00292B9F">
      <w:pPr>
        <w:jc w:val="both"/>
        <w:rPr>
          <w:rFonts w:cs="Arial"/>
          <w:i/>
          <w:sz w:val="22"/>
          <w:szCs w:val="22"/>
        </w:rPr>
      </w:pPr>
    </w:p>
    <w:p w:rsidR="007459B2" w:rsidRPr="00DA1F72" w:rsidRDefault="007459B2" w:rsidP="00292B9F">
      <w:pPr>
        <w:jc w:val="both"/>
        <w:rPr>
          <w:rFonts w:cs="Arial"/>
          <w:i/>
          <w:sz w:val="22"/>
          <w:szCs w:val="22"/>
        </w:rPr>
      </w:pPr>
      <w:r w:rsidRPr="00DA1F72">
        <w:rPr>
          <w:sz w:val="22"/>
          <w:szCs w:val="22"/>
        </w:rPr>
        <w:t>3.</w:t>
      </w:r>
      <w:r w:rsidRPr="00DA1F72">
        <w:rPr>
          <w:sz w:val="22"/>
          <w:szCs w:val="22"/>
        </w:rPr>
        <w:tab/>
      </w:r>
      <w:r w:rsidRPr="00DA1F72">
        <w:rPr>
          <w:i/>
          <w:sz w:val="22"/>
          <w:szCs w:val="22"/>
        </w:rPr>
        <w:t>Responsabilidades de los miembros del Subcomité:</w:t>
      </w:r>
    </w:p>
    <w:p w:rsidR="007459B2" w:rsidRPr="00DA1F72" w:rsidRDefault="007459B2" w:rsidP="00292B9F">
      <w:pPr>
        <w:jc w:val="both"/>
        <w:rPr>
          <w:rFonts w:cs="Arial"/>
          <w:sz w:val="22"/>
          <w:szCs w:val="22"/>
        </w:rPr>
      </w:pPr>
    </w:p>
    <w:p w:rsidR="007459B2" w:rsidRPr="00DA1F72" w:rsidRDefault="007459B2" w:rsidP="00C840D0">
      <w:pPr>
        <w:ind w:left="630"/>
        <w:jc w:val="both"/>
        <w:rPr>
          <w:rFonts w:cs="Arial"/>
          <w:sz w:val="22"/>
          <w:szCs w:val="22"/>
        </w:rPr>
      </w:pPr>
      <w:r w:rsidRPr="00DA1F72">
        <w:rPr>
          <w:sz w:val="22"/>
          <w:szCs w:val="22"/>
        </w:rPr>
        <w:t>En el desempeño de sus funciones, los miembros del Subcomité deberán solicitar y representar los puntos de vista de su región, e informar luego de los resultados a sus regiones.</w:t>
      </w:r>
    </w:p>
    <w:p w:rsidR="007459B2" w:rsidRPr="00DA1F72" w:rsidRDefault="007459B2" w:rsidP="00292B9F">
      <w:pPr>
        <w:jc w:val="both"/>
        <w:rPr>
          <w:rFonts w:cs="Arial"/>
          <w:sz w:val="22"/>
          <w:szCs w:val="22"/>
        </w:rPr>
      </w:pPr>
    </w:p>
    <w:p w:rsidR="007459B2" w:rsidRPr="00DA1F72" w:rsidRDefault="007459B2" w:rsidP="00292B9F">
      <w:pPr>
        <w:jc w:val="both"/>
        <w:rPr>
          <w:rFonts w:cs="Arial"/>
          <w:i/>
          <w:sz w:val="22"/>
          <w:szCs w:val="22"/>
        </w:rPr>
      </w:pPr>
      <w:r w:rsidRPr="00DA1F72">
        <w:rPr>
          <w:sz w:val="22"/>
          <w:szCs w:val="22"/>
        </w:rPr>
        <w:t>4.</w:t>
      </w:r>
      <w:r w:rsidRPr="00DA1F72">
        <w:rPr>
          <w:sz w:val="22"/>
          <w:szCs w:val="22"/>
        </w:rPr>
        <w:tab/>
      </w:r>
      <w:r w:rsidRPr="00DA1F72">
        <w:rPr>
          <w:i/>
          <w:sz w:val="22"/>
          <w:szCs w:val="22"/>
        </w:rPr>
        <w:t>Responsabilidades del Subcomité:</w:t>
      </w:r>
    </w:p>
    <w:p w:rsidR="007459B2" w:rsidRPr="00DA1F72" w:rsidRDefault="007459B2" w:rsidP="00292B9F">
      <w:pPr>
        <w:jc w:val="both"/>
        <w:rPr>
          <w:rFonts w:cs="Arial"/>
          <w:sz w:val="22"/>
          <w:szCs w:val="22"/>
        </w:rPr>
      </w:pPr>
    </w:p>
    <w:p w:rsidR="007459B2" w:rsidRPr="00DA1F72" w:rsidRDefault="007459B2" w:rsidP="00C840D0">
      <w:pPr>
        <w:ind w:left="630"/>
        <w:jc w:val="both"/>
        <w:rPr>
          <w:rFonts w:cs="Arial"/>
          <w:sz w:val="22"/>
          <w:szCs w:val="22"/>
        </w:rPr>
      </w:pPr>
      <w:r w:rsidRPr="00DA1F72">
        <w:rPr>
          <w:sz w:val="22"/>
          <w:szCs w:val="22"/>
        </w:rPr>
        <w:t>Para cumplir el mandato de la Resolución 9.14 de la Conferencia, el Subcomité deberá:</w:t>
      </w:r>
    </w:p>
    <w:p w:rsidR="007459B2" w:rsidRPr="00DA1F72" w:rsidRDefault="007459B2" w:rsidP="00292B9F">
      <w:pPr>
        <w:jc w:val="both"/>
        <w:rPr>
          <w:rFonts w:cs="Arial"/>
          <w:sz w:val="22"/>
          <w:szCs w:val="22"/>
        </w:rPr>
      </w:pPr>
    </w:p>
    <w:p w:rsidR="007459B2" w:rsidRPr="00DA1F72" w:rsidRDefault="007459B2" w:rsidP="00C840D0">
      <w:pPr>
        <w:widowControl/>
        <w:numPr>
          <w:ilvl w:val="2"/>
          <w:numId w:val="16"/>
        </w:numPr>
        <w:tabs>
          <w:tab w:val="clear" w:pos="2340"/>
        </w:tabs>
        <w:ind w:left="709" w:hanging="439"/>
        <w:jc w:val="both"/>
        <w:rPr>
          <w:rFonts w:cs="Arial"/>
          <w:sz w:val="22"/>
          <w:szCs w:val="22"/>
        </w:rPr>
      </w:pPr>
      <w:r w:rsidRPr="00DA1F72">
        <w:rPr>
          <w:sz w:val="22"/>
          <w:szCs w:val="22"/>
        </w:rPr>
        <w:t xml:space="preserve">Examinar en términos generales todos los aspectos de la financiación y </w:t>
      </w:r>
      <w:proofErr w:type="spellStart"/>
      <w:r w:rsidRPr="00DA1F72">
        <w:rPr>
          <w:sz w:val="22"/>
          <w:szCs w:val="22"/>
        </w:rPr>
        <w:t>presupuestación</w:t>
      </w:r>
      <w:proofErr w:type="spellEnd"/>
      <w:r w:rsidRPr="00DA1F72">
        <w:rPr>
          <w:sz w:val="22"/>
          <w:szCs w:val="22"/>
        </w:rPr>
        <w:t xml:space="preserve"> de la Convención y formular recomendaciones al Comité Permanente. El Subcomité deberá centrar su atención en mantener la Convención solvente, velando al mismo tiempo </w:t>
      </w:r>
      <w:proofErr w:type="spellStart"/>
      <w:r w:rsidRPr="00DA1F72">
        <w:rPr>
          <w:sz w:val="22"/>
          <w:szCs w:val="22"/>
        </w:rPr>
        <w:t>por que</w:t>
      </w:r>
      <w:proofErr w:type="spellEnd"/>
      <w:r w:rsidRPr="00DA1F72">
        <w:rPr>
          <w:sz w:val="22"/>
          <w:szCs w:val="22"/>
        </w:rPr>
        <w:t xml:space="preserve"> se presten los servicios de apoyo esenciales para el funcionamiento efectivo y eficiente de la Convención;</w:t>
      </w:r>
    </w:p>
    <w:p w:rsidR="007459B2" w:rsidRPr="00DA1F72" w:rsidRDefault="007459B2" w:rsidP="00C840D0">
      <w:pPr>
        <w:ind w:left="709" w:hanging="439"/>
        <w:jc w:val="both"/>
        <w:rPr>
          <w:rFonts w:cs="Arial"/>
          <w:sz w:val="22"/>
          <w:szCs w:val="22"/>
        </w:rPr>
      </w:pPr>
    </w:p>
    <w:p w:rsidR="007459B2" w:rsidRPr="00DA1F72" w:rsidRDefault="007459B2" w:rsidP="00C840D0">
      <w:pPr>
        <w:widowControl/>
        <w:numPr>
          <w:ilvl w:val="2"/>
          <w:numId w:val="16"/>
        </w:numPr>
        <w:tabs>
          <w:tab w:val="clear" w:pos="2340"/>
        </w:tabs>
        <w:ind w:left="709" w:hanging="439"/>
        <w:jc w:val="both"/>
        <w:rPr>
          <w:rFonts w:cs="Arial"/>
          <w:sz w:val="22"/>
          <w:szCs w:val="22"/>
        </w:rPr>
      </w:pPr>
      <w:r w:rsidRPr="00DA1F72">
        <w:rPr>
          <w:sz w:val="22"/>
          <w:szCs w:val="22"/>
        </w:rPr>
        <w:t>Evaluar el programa de trabajo de la Secretaría y otros documentos con posibles repercusiones presupuestarias relativas a:</w:t>
      </w:r>
    </w:p>
    <w:p w:rsidR="007459B2" w:rsidRPr="00DA1F72" w:rsidRDefault="007459B2" w:rsidP="00292B9F">
      <w:pPr>
        <w:widowControl/>
        <w:jc w:val="both"/>
        <w:rPr>
          <w:rFonts w:cs="Arial"/>
          <w:sz w:val="22"/>
          <w:szCs w:val="22"/>
        </w:rPr>
      </w:pPr>
    </w:p>
    <w:p w:rsidR="007459B2" w:rsidRPr="00DA1F72" w:rsidRDefault="007459B2" w:rsidP="00292B9F">
      <w:pPr>
        <w:numPr>
          <w:ilvl w:val="3"/>
          <w:numId w:val="17"/>
        </w:numPr>
        <w:ind w:left="1418" w:hanging="709"/>
        <w:jc w:val="both"/>
        <w:rPr>
          <w:rFonts w:cs="Arial"/>
          <w:sz w:val="22"/>
          <w:szCs w:val="22"/>
        </w:rPr>
      </w:pPr>
      <w:r w:rsidRPr="00DA1F72">
        <w:rPr>
          <w:sz w:val="22"/>
          <w:szCs w:val="22"/>
        </w:rPr>
        <w:t>Las funciones y responsabilidades de la Secretaría estipuladas en el texto de la Convención;</w:t>
      </w:r>
    </w:p>
    <w:p w:rsidR="007459B2" w:rsidRPr="00DA1F72" w:rsidRDefault="007459B2" w:rsidP="00292B9F">
      <w:pPr>
        <w:numPr>
          <w:ilvl w:val="3"/>
          <w:numId w:val="17"/>
        </w:numPr>
        <w:ind w:left="1418" w:hanging="709"/>
        <w:jc w:val="both"/>
        <w:rPr>
          <w:rFonts w:cs="Arial"/>
          <w:spacing w:val="-4"/>
          <w:sz w:val="22"/>
          <w:szCs w:val="22"/>
        </w:rPr>
      </w:pPr>
      <w:r w:rsidRPr="00DA1F72">
        <w:rPr>
          <w:spacing w:val="-4"/>
          <w:sz w:val="22"/>
          <w:szCs w:val="22"/>
        </w:rPr>
        <w:t>Asegurar que las actividades emprendidas por la Secretaría en el marco del presupuesto aprobado sean coherentes con las Resoluciones y Decisiones de la Conferencia de las Partes;</w:t>
      </w:r>
    </w:p>
    <w:p w:rsidR="007459B2" w:rsidRPr="00DA1F72" w:rsidRDefault="007459B2" w:rsidP="00292B9F">
      <w:pPr>
        <w:jc w:val="both"/>
        <w:rPr>
          <w:rFonts w:cs="Arial"/>
          <w:sz w:val="22"/>
          <w:szCs w:val="22"/>
        </w:rPr>
      </w:pPr>
    </w:p>
    <w:p w:rsidR="007459B2" w:rsidRPr="00DA1F72" w:rsidRDefault="007459B2" w:rsidP="00C840D0">
      <w:pPr>
        <w:widowControl/>
        <w:numPr>
          <w:ilvl w:val="2"/>
          <w:numId w:val="16"/>
        </w:numPr>
        <w:tabs>
          <w:tab w:val="clear" w:pos="2340"/>
        </w:tabs>
        <w:ind w:left="709" w:hanging="439"/>
        <w:jc w:val="both"/>
        <w:rPr>
          <w:rFonts w:cs="Arial"/>
          <w:sz w:val="22"/>
          <w:szCs w:val="22"/>
        </w:rPr>
      </w:pPr>
      <w:r w:rsidRPr="00DA1F72">
        <w:rPr>
          <w:sz w:val="22"/>
          <w:szCs w:val="22"/>
        </w:rPr>
        <w:t>Examinar los procedimientos administrativos y otros aspectos de la financiación y el presupuesto de la Convención, y formular recomendaciones para mejorar la eficiencia con que se gastan los fondos;</w:t>
      </w:r>
    </w:p>
    <w:p w:rsidR="007459B2" w:rsidRPr="00DA1F72" w:rsidRDefault="007459B2" w:rsidP="00C840D0">
      <w:pPr>
        <w:widowControl/>
        <w:ind w:left="709"/>
        <w:jc w:val="both"/>
        <w:rPr>
          <w:rFonts w:cs="Arial"/>
          <w:sz w:val="22"/>
          <w:szCs w:val="22"/>
        </w:rPr>
      </w:pPr>
    </w:p>
    <w:p w:rsidR="007459B2" w:rsidRPr="00DA1F72" w:rsidRDefault="007459B2" w:rsidP="00C840D0">
      <w:pPr>
        <w:widowControl/>
        <w:numPr>
          <w:ilvl w:val="2"/>
          <w:numId w:val="16"/>
        </w:numPr>
        <w:tabs>
          <w:tab w:val="clear" w:pos="2340"/>
        </w:tabs>
        <w:ind w:left="709" w:hanging="439"/>
        <w:jc w:val="both"/>
        <w:rPr>
          <w:rFonts w:cs="Arial"/>
          <w:sz w:val="22"/>
          <w:szCs w:val="22"/>
        </w:rPr>
      </w:pPr>
      <w:r w:rsidRPr="00DA1F72">
        <w:rPr>
          <w:sz w:val="22"/>
          <w:szCs w:val="22"/>
        </w:rPr>
        <w:t>Utilizar la información elaborada a través de los procesos descritos en los párrafos a)-c):</w:t>
      </w:r>
    </w:p>
    <w:p w:rsidR="007459B2" w:rsidRPr="00DA1F72" w:rsidRDefault="007459B2" w:rsidP="00C840D0">
      <w:pPr>
        <w:ind w:left="540" w:hanging="540"/>
        <w:jc w:val="both"/>
        <w:rPr>
          <w:rFonts w:cs="Arial"/>
          <w:sz w:val="22"/>
          <w:szCs w:val="22"/>
        </w:rPr>
      </w:pPr>
    </w:p>
    <w:p w:rsidR="007459B2" w:rsidRPr="00DA1F72" w:rsidRDefault="007459B2" w:rsidP="00C840D0">
      <w:pPr>
        <w:numPr>
          <w:ilvl w:val="0"/>
          <w:numId w:val="20"/>
        </w:numPr>
        <w:jc w:val="both"/>
        <w:rPr>
          <w:rFonts w:cs="Arial"/>
          <w:sz w:val="22"/>
          <w:szCs w:val="22"/>
        </w:rPr>
      </w:pPr>
      <w:r w:rsidRPr="00DA1F72">
        <w:rPr>
          <w:sz w:val="22"/>
          <w:szCs w:val="22"/>
        </w:rPr>
        <w:lastRenderedPageBreak/>
        <w:t>trabajar con la Secretaría para preparar todos los documentos financieros y presupuestarios para someterlos al examen del Comité Permanente;</w:t>
      </w:r>
    </w:p>
    <w:p w:rsidR="007459B2" w:rsidRPr="00DA1F72" w:rsidRDefault="007459B2" w:rsidP="00C840D0">
      <w:pPr>
        <w:numPr>
          <w:ilvl w:val="0"/>
          <w:numId w:val="20"/>
        </w:numPr>
        <w:jc w:val="both"/>
        <w:rPr>
          <w:rFonts w:cs="Arial"/>
          <w:sz w:val="22"/>
          <w:szCs w:val="22"/>
        </w:rPr>
      </w:pPr>
      <w:r w:rsidRPr="00DA1F72">
        <w:rPr>
          <w:sz w:val="22"/>
          <w:szCs w:val="22"/>
        </w:rPr>
        <w:t>seguir elaborando el modelo de informe para asegurar que los informes financieros sean fáciles de entender y transparentes, y permitan tomar decisiones documentadas en relación con el rendimiento financiero de la Convención;</w:t>
      </w:r>
    </w:p>
    <w:p w:rsidR="007459B2" w:rsidRPr="00DA1F72" w:rsidRDefault="007459B2" w:rsidP="00C840D0">
      <w:pPr>
        <w:numPr>
          <w:ilvl w:val="0"/>
          <w:numId w:val="20"/>
        </w:numPr>
        <w:jc w:val="both"/>
        <w:rPr>
          <w:rFonts w:cs="Arial"/>
          <w:sz w:val="22"/>
          <w:szCs w:val="22"/>
        </w:rPr>
      </w:pPr>
      <w:r w:rsidRPr="00DA1F72">
        <w:rPr>
          <w:sz w:val="22"/>
          <w:szCs w:val="22"/>
        </w:rPr>
        <w:t>formular recomendaciones al Comité Permanente sobre todos los documentos financieros y presupuestarios y las propuestas elaboradas a través de este proceso; y</w:t>
      </w:r>
    </w:p>
    <w:p w:rsidR="007459B2" w:rsidRPr="00DA1F72" w:rsidRDefault="007459B2" w:rsidP="00C840D0">
      <w:pPr>
        <w:numPr>
          <w:ilvl w:val="0"/>
          <w:numId w:val="20"/>
        </w:numPr>
        <w:jc w:val="both"/>
        <w:rPr>
          <w:rFonts w:cs="Arial"/>
          <w:sz w:val="22"/>
          <w:szCs w:val="22"/>
        </w:rPr>
      </w:pPr>
      <w:r w:rsidRPr="00DA1F72">
        <w:rPr>
          <w:sz w:val="22"/>
          <w:szCs w:val="22"/>
        </w:rPr>
        <w:t>prestar cualquier otro tipo de asistencia al Comité Permanente en la supervisión de asuntos financieros y presupuestarios, incluida la preparación de documentos para las reuniones de la Conferencia de las Partes;</w:t>
      </w:r>
    </w:p>
    <w:p w:rsidR="007459B2" w:rsidRPr="00DA1F72" w:rsidRDefault="007459B2" w:rsidP="00C840D0">
      <w:pPr>
        <w:ind w:left="540" w:hanging="540"/>
        <w:jc w:val="both"/>
        <w:rPr>
          <w:rFonts w:cs="Arial"/>
          <w:sz w:val="22"/>
          <w:szCs w:val="22"/>
        </w:rPr>
      </w:pPr>
    </w:p>
    <w:p w:rsidR="007459B2" w:rsidRPr="00DA1F72" w:rsidRDefault="007459B2" w:rsidP="00C840D0">
      <w:pPr>
        <w:widowControl/>
        <w:numPr>
          <w:ilvl w:val="2"/>
          <w:numId w:val="16"/>
        </w:numPr>
        <w:tabs>
          <w:tab w:val="clear" w:pos="2340"/>
        </w:tabs>
        <w:ind w:left="709" w:hanging="529"/>
        <w:rPr>
          <w:rFonts w:cs="Arial"/>
          <w:sz w:val="22"/>
          <w:szCs w:val="22"/>
        </w:rPr>
      </w:pPr>
      <w:r w:rsidRPr="00DA1F72">
        <w:rPr>
          <w:sz w:val="22"/>
          <w:szCs w:val="22"/>
        </w:rPr>
        <w:t xml:space="preserve">La Secretaría deberá proporcionar a todo el Comité Permanente un informe, </w:t>
      </w:r>
      <w:r w:rsidRPr="00DA1F72">
        <w:rPr>
          <w:sz w:val="22"/>
          <w:szCs w:val="22"/>
          <w:u w:val="single"/>
        </w:rPr>
        <w:t>cada seis meses,</w:t>
      </w:r>
      <w:r w:rsidRPr="00DA1F72">
        <w:rPr>
          <w:sz w:val="22"/>
          <w:szCs w:val="22"/>
        </w:rPr>
        <w:t xml:space="preserve"> que se enviará electrónicamente, y en el que se identificarán y explicarán cualesquiera gastos proyectados que difieran, en más del 20%, de los gastos del presupuesto aprobado para los gastos totales de personal o, </w:t>
      </w:r>
      <w:r w:rsidRPr="00DA1F72">
        <w:rPr>
          <w:sz w:val="22"/>
          <w:szCs w:val="22"/>
          <w:u w:val="single"/>
        </w:rPr>
        <w:t>en el caso de</w:t>
      </w:r>
      <w:r w:rsidRPr="00DA1F72">
        <w:rPr>
          <w:sz w:val="22"/>
          <w:szCs w:val="22"/>
        </w:rPr>
        <w:t xml:space="preserve"> otros gastos no relacionados con el personal, para cada actividad, junto con el enfoque propuesto relativo a la gestión de cualquiera de estos excesos de gastos proyectados.</w:t>
      </w:r>
    </w:p>
    <w:p w:rsidR="007459B2" w:rsidRPr="00DA1F72" w:rsidRDefault="007459B2" w:rsidP="00C840D0">
      <w:pPr>
        <w:widowControl/>
        <w:ind w:left="709"/>
        <w:rPr>
          <w:rFonts w:cs="Arial"/>
          <w:sz w:val="22"/>
          <w:szCs w:val="22"/>
        </w:rPr>
      </w:pPr>
    </w:p>
    <w:p w:rsidR="007459B2" w:rsidRPr="00DA1F72" w:rsidRDefault="007459B2" w:rsidP="00C840D0">
      <w:pPr>
        <w:widowControl/>
        <w:rPr>
          <w:rFonts w:cs="Arial"/>
          <w:sz w:val="22"/>
          <w:szCs w:val="22"/>
        </w:rPr>
        <w:sectPr w:rsidR="007459B2" w:rsidRPr="00DA1F72" w:rsidSect="00245E18">
          <w:headerReference w:type="even" r:id="rId27"/>
          <w:headerReference w:type="default" r:id="rId28"/>
          <w:headerReference w:type="first" r:id="rId29"/>
          <w:pgSz w:w="11906" w:h="16838" w:code="9"/>
          <w:pgMar w:top="1134" w:right="1418" w:bottom="1418" w:left="1418" w:header="510" w:footer="510" w:gutter="0"/>
          <w:cols w:space="720"/>
          <w:titlePg/>
          <w:docGrid w:linePitch="360"/>
        </w:sectPr>
      </w:pPr>
    </w:p>
    <w:p w:rsidR="007459B2" w:rsidRPr="00DA1F72" w:rsidRDefault="007459B2" w:rsidP="00C840D0">
      <w:pPr>
        <w:rPr>
          <w:rFonts w:cs="Arial"/>
          <w:b/>
          <w:color w:val="000000"/>
          <w:sz w:val="22"/>
          <w:szCs w:val="22"/>
        </w:rPr>
      </w:pPr>
    </w:p>
    <w:p w:rsidR="007459B2" w:rsidRPr="00DA1F72" w:rsidRDefault="007459B2" w:rsidP="00292B9F">
      <w:pPr>
        <w:widowControl/>
        <w:autoSpaceDE/>
        <w:adjustRightInd/>
        <w:jc w:val="right"/>
        <w:rPr>
          <w:rFonts w:cs="Arial"/>
          <w:b/>
          <w:bCs/>
          <w:caps/>
          <w:sz w:val="22"/>
          <w:szCs w:val="22"/>
        </w:rPr>
      </w:pPr>
      <w:r w:rsidRPr="00DA1F72">
        <w:rPr>
          <w:b/>
          <w:caps/>
          <w:sz w:val="22"/>
          <w:szCs w:val="22"/>
        </w:rPr>
        <w:t>Anexo 3 (D)</w:t>
      </w:r>
    </w:p>
    <w:p w:rsidR="007459B2" w:rsidRPr="00DA1F72" w:rsidRDefault="007459B2" w:rsidP="00292B9F">
      <w:pPr>
        <w:rPr>
          <w:rFonts w:cs="Arial"/>
          <w:sz w:val="22"/>
          <w:szCs w:val="22"/>
        </w:rPr>
      </w:pPr>
    </w:p>
    <w:p w:rsidR="007459B2" w:rsidRPr="00DA1F72" w:rsidRDefault="007459B2" w:rsidP="00292B9F">
      <w:pPr>
        <w:jc w:val="center"/>
        <w:rPr>
          <w:rFonts w:cs="Arial"/>
          <w:b/>
          <w:color w:val="000000"/>
          <w:sz w:val="22"/>
          <w:szCs w:val="22"/>
        </w:rPr>
      </w:pPr>
      <w:r w:rsidRPr="00DA1F72">
        <w:rPr>
          <w:b/>
          <w:color w:val="000000"/>
          <w:sz w:val="22"/>
          <w:szCs w:val="22"/>
        </w:rPr>
        <w:t>Proyecto de Términos de referencia para la administración del Fondo Fiduciario de la Convención sobre la Conservación de las Especies Migratorias de Animales Silvestres</w:t>
      </w:r>
    </w:p>
    <w:p w:rsidR="007459B2" w:rsidRPr="00DA1F72" w:rsidRDefault="007459B2" w:rsidP="00292B9F">
      <w:pPr>
        <w:jc w:val="center"/>
        <w:rPr>
          <w:sz w:val="22"/>
          <w:szCs w:val="22"/>
        </w:rPr>
      </w:pPr>
    </w:p>
    <w:p w:rsidR="007459B2" w:rsidRPr="00DA1F72" w:rsidRDefault="007459B2" w:rsidP="00C840D0">
      <w:pPr>
        <w:pStyle w:val="NoSpacing"/>
        <w:widowControl w:val="0"/>
        <w:ind w:left="450" w:hanging="450"/>
        <w:jc w:val="both"/>
        <w:rPr>
          <w:rFonts w:ascii="Arial" w:hAnsi="Arial" w:cs="Arial"/>
        </w:rPr>
      </w:pPr>
      <w:r w:rsidRPr="00DA1F72">
        <w:rPr>
          <w:rFonts w:ascii="Arial" w:hAnsi="Arial"/>
        </w:rPr>
        <w:t>1.</w:t>
      </w:r>
      <w:r w:rsidRPr="00DA1F72">
        <w:tab/>
      </w:r>
      <w:r w:rsidRPr="00DA1F72">
        <w:rPr>
          <w:rFonts w:ascii="Arial" w:hAnsi="Arial"/>
        </w:rPr>
        <w:t>El Fondo Fiduciario para la Convención sobre la Conservación de Especies Migratorias de Animales Silvestres (en lo sucesivo, el Fondo Fiduciario) se prorrogará por un período de tres años para proporcionar apoyo financiero para los objetivos de la Convención.</w:t>
      </w:r>
    </w:p>
    <w:p w:rsidR="007459B2" w:rsidRPr="00DA1F72" w:rsidRDefault="007459B2" w:rsidP="00C840D0">
      <w:pPr>
        <w:pStyle w:val="NoSpacing"/>
        <w:widowControl w:val="0"/>
        <w:ind w:left="450" w:hanging="450"/>
        <w:jc w:val="both"/>
        <w:rPr>
          <w:rFonts w:ascii="Arial" w:hAnsi="Arial" w:cs="Arial"/>
        </w:rPr>
      </w:pPr>
    </w:p>
    <w:p w:rsidR="007459B2" w:rsidRPr="00DA1F72" w:rsidRDefault="007459B2" w:rsidP="00C840D0">
      <w:pPr>
        <w:pStyle w:val="NoSpacing"/>
        <w:widowControl w:val="0"/>
        <w:ind w:left="450" w:hanging="450"/>
        <w:jc w:val="both"/>
        <w:rPr>
          <w:rFonts w:ascii="Arial" w:hAnsi="Arial" w:cs="Arial"/>
        </w:rPr>
      </w:pPr>
      <w:r w:rsidRPr="00DA1F72">
        <w:rPr>
          <w:rFonts w:ascii="Arial" w:hAnsi="Arial"/>
        </w:rPr>
        <w:t>2.</w:t>
      </w:r>
      <w:r w:rsidRPr="00DA1F72">
        <w:tab/>
      </w:r>
      <w:r w:rsidRPr="00DA1F72">
        <w:rPr>
          <w:rFonts w:ascii="Arial" w:hAnsi="Arial"/>
        </w:rPr>
        <w:t>El ejercicio económico será de tres años civiles comenzando el 1º de enero de 2018 y terminando el 31 de diciembre 2020, a reserva de su aprobación por la Asamblea de la ONU Medio Ambiente.</w:t>
      </w:r>
    </w:p>
    <w:p w:rsidR="007459B2" w:rsidRPr="00DA1F72" w:rsidRDefault="007459B2" w:rsidP="00C840D0">
      <w:pPr>
        <w:pStyle w:val="ListParagraph"/>
        <w:ind w:left="450" w:hanging="450"/>
        <w:rPr>
          <w:rFonts w:cs="Arial"/>
          <w:sz w:val="22"/>
          <w:szCs w:val="22"/>
        </w:rPr>
      </w:pPr>
    </w:p>
    <w:p w:rsidR="007459B2" w:rsidRPr="00DA1F72" w:rsidRDefault="007459B2" w:rsidP="00C840D0">
      <w:pPr>
        <w:pStyle w:val="NoSpacing"/>
        <w:widowControl w:val="0"/>
        <w:ind w:left="450" w:hanging="450"/>
        <w:jc w:val="both"/>
        <w:rPr>
          <w:rFonts w:ascii="Arial" w:hAnsi="Arial" w:cs="Arial"/>
        </w:rPr>
      </w:pPr>
      <w:r w:rsidRPr="00DA1F72">
        <w:rPr>
          <w:rFonts w:ascii="Arial" w:hAnsi="Arial"/>
        </w:rPr>
        <w:t>3.</w:t>
      </w:r>
      <w:r w:rsidRPr="00DA1F72">
        <w:tab/>
      </w:r>
      <w:r w:rsidRPr="00DA1F72">
        <w:rPr>
          <w:rFonts w:ascii="Arial" w:hAnsi="Arial"/>
        </w:rPr>
        <w:t>El Fondo Fiduciario seguirá siendo administrado por el Director Ejecutivo de la ONU Medio Ambiente.</w:t>
      </w:r>
    </w:p>
    <w:p w:rsidR="007459B2" w:rsidRPr="00DA1F72" w:rsidRDefault="007459B2" w:rsidP="00C840D0">
      <w:pPr>
        <w:pStyle w:val="ListParagraph"/>
        <w:ind w:left="450" w:hanging="450"/>
        <w:rPr>
          <w:rFonts w:cs="Arial"/>
          <w:sz w:val="22"/>
          <w:szCs w:val="22"/>
        </w:rPr>
      </w:pPr>
    </w:p>
    <w:p w:rsidR="007459B2" w:rsidRPr="00DA1F72" w:rsidRDefault="007459B2" w:rsidP="00C840D0">
      <w:pPr>
        <w:pStyle w:val="NoSpacing"/>
        <w:widowControl w:val="0"/>
        <w:ind w:left="450" w:hanging="450"/>
        <w:jc w:val="both"/>
        <w:rPr>
          <w:rFonts w:ascii="Arial" w:hAnsi="Arial" w:cs="Arial"/>
        </w:rPr>
      </w:pPr>
      <w:r w:rsidRPr="00DA1F72">
        <w:rPr>
          <w:rFonts w:ascii="Arial" w:hAnsi="Arial"/>
        </w:rPr>
        <w:t>4.</w:t>
      </w:r>
      <w:r w:rsidRPr="00DA1F72">
        <w:tab/>
      </w:r>
      <w:r w:rsidRPr="00DA1F72">
        <w:rPr>
          <w:rFonts w:ascii="Arial" w:hAnsi="Arial"/>
        </w:rPr>
        <w:t>La administración del Fondo Fiduciario se regirá por el Reglamento Financiero y la Reglamentación Financiera Detallada de las Naciones Unidas, el Estatuto y el Reglamento del Personal de las Naciones Unidas y otras políticas o procedimientos administrativos promulgados por el Secretario General de las Naciones Unidas.</w:t>
      </w:r>
    </w:p>
    <w:p w:rsidR="007459B2" w:rsidRPr="00DA1F72" w:rsidRDefault="007459B2" w:rsidP="00C840D0">
      <w:pPr>
        <w:pStyle w:val="ListParagraph"/>
        <w:ind w:left="450" w:hanging="450"/>
        <w:rPr>
          <w:rFonts w:cs="Arial"/>
          <w:sz w:val="22"/>
          <w:szCs w:val="22"/>
        </w:rPr>
      </w:pPr>
    </w:p>
    <w:p w:rsidR="007459B2" w:rsidRPr="00DA1F72" w:rsidRDefault="007459B2" w:rsidP="00C840D0">
      <w:pPr>
        <w:pStyle w:val="NoSpacing"/>
        <w:widowControl w:val="0"/>
        <w:ind w:left="450" w:hanging="450"/>
        <w:jc w:val="both"/>
        <w:rPr>
          <w:rFonts w:ascii="Arial" w:hAnsi="Arial" w:cs="Arial"/>
        </w:rPr>
      </w:pPr>
      <w:r w:rsidRPr="00DA1F72">
        <w:rPr>
          <w:rFonts w:ascii="Arial" w:hAnsi="Arial"/>
        </w:rPr>
        <w:t>5.</w:t>
      </w:r>
      <w:r w:rsidRPr="00DA1F72">
        <w:tab/>
      </w:r>
      <w:r w:rsidRPr="00DA1F72">
        <w:rPr>
          <w:rFonts w:ascii="Arial" w:hAnsi="Arial"/>
        </w:rPr>
        <w:t>De conformidad con las normas de las Naciones Unidas, la ONU Medio Ambiente deducirá de los gastos del Fondo Fiduciario una carga administrativa equivalente al 13% de los gastos imputados al Fondo Fiduciario en relación con las actividades financiadas con cargo al Fondo Fiduciario.</w:t>
      </w:r>
    </w:p>
    <w:p w:rsidR="007459B2" w:rsidRPr="00DA1F72" w:rsidRDefault="007459B2" w:rsidP="00C840D0">
      <w:pPr>
        <w:pStyle w:val="ListParagraph"/>
        <w:ind w:left="0"/>
        <w:rPr>
          <w:rFonts w:cs="Arial"/>
          <w:sz w:val="22"/>
          <w:szCs w:val="22"/>
        </w:rPr>
      </w:pPr>
    </w:p>
    <w:p w:rsidR="007459B2" w:rsidRPr="00DA1F72" w:rsidRDefault="007459B2" w:rsidP="00C840D0">
      <w:pPr>
        <w:pStyle w:val="NoSpacing"/>
        <w:widowControl w:val="0"/>
        <w:ind w:left="450" w:hanging="450"/>
        <w:jc w:val="both"/>
        <w:rPr>
          <w:rFonts w:ascii="Arial" w:hAnsi="Arial" w:cs="Arial"/>
        </w:rPr>
      </w:pPr>
      <w:r w:rsidRPr="00DA1F72">
        <w:rPr>
          <w:rFonts w:ascii="Arial" w:hAnsi="Arial"/>
        </w:rPr>
        <w:t>6.</w:t>
      </w:r>
      <w:r w:rsidRPr="00DA1F72">
        <w:tab/>
      </w:r>
      <w:r w:rsidRPr="00DA1F72">
        <w:rPr>
          <w:rFonts w:ascii="Arial" w:hAnsi="Arial"/>
        </w:rPr>
        <w:t>Los recursos financieros del Fondo Fiduciario para 2018-2020 se derivarán de:</w:t>
      </w:r>
    </w:p>
    <w:p w:rsidR="007459B2" w:rsidRPr="00DA1F72" w:rsidRDefault="007459B2" w:rsidP="00C840D0">
      <w:pPr>
        <w:pStyle w:val="ListParagraph"/>
        <w:ind w:left="0"/>
        <w:rPr>
          <w:rFonts w:cs="Arial"/>
          <w:sz w:val="22"/>
          <w:szCs w:val="22"/>
        </w:rPr>
      </w:pPr>
    </w:p>
    <w:p w:rsidR="007459B2" w:rsidRPr="00DA1F72" w:rsidRDefault="007459B2" w:rsidP="00C840D0">
      <w:pPr>
        <w:pStyle w:val="NoSpacing"/>
        <w:widowControl w:val="0"/>
        <w:ind w:left="709" w:hanging="529"/>
        <w:jc w:val="both"/>
        <w:rPr>
          <w:rFonts w:ascii="Arial" w:hAnsi="Arial" w:cs="Arial"/>
        </w:rPr>
      </w:pPr>
      <w:r w:rsidRPr="00DA1F72">
        <w:rPr>
          <w:rFonts w:ascii="Arial" w:hAnsi="Arial"/>
        </w:rPr>
        <w:t xml:space="preserve">a) </w:t>
      </w:r>
      <w:r w:rsidRPr="00DA1F72">
        <w:tab/>
      </w:r>
      <w:r w:rsidRPr="00DA1F72">
        <w:rPr>
          <w:rFonts w:ascii="Arial" w:hAnsi="Arial"/>
        </w:rPr>
        <w:t xml:space="preserve">Las cuotas de contribución abonadas por las Partes por referencia al Anexo </w:t>
      </w:r>
      <w:proofErr w:type="gramStart"/>
      <w:r w:rsidRPr="00DA1F72">
        <w:rPr>
          <w:rFonts w:ascii="Arial" w:hAnsi="Arial"/>
        </w:rPr>
        <w:t>[ ]</w:t>
      </w:r>
      <w:proofErr w:type="gramEnd"/>
      <w:r w:rsidRPr="00DA1F72">
        <w:rPr>
          <w:rFonts w:ascii="Arial" w:hAnsi="Arial"/>
        </w:rPr>
        <w:t>, incluidas las contribuciones que aporten las nuevas Partes; y</w:t>
      </w:r>
    </w:p>
    <w:p w:rsidR="007459B2" w:rsidRPr="00DA1F72" w:rsidRDefault="007459B2" w:rsidP="00C840D0">
      <w:pPr>
        <w:pStyle w:val="NoSpacing"/>
        <w:widowControl w:val="0"/>
        <w:ind w:left="709" w:hanging="529"/>
        <w:jc w:val="both"/>
        <w:rPr>
          <w:rFonts w:ascii="Arial" w:hAnsi="Arial" w:cs="Arial"/>
        </w:rPr>
      </w:pPr>
    </w:p>
    <w:p w:rsidR="007459B2" w:rsidRPr="00DA1F72" w:rsidRDefault="007459B2" w:rsidP="00C840D0">
      <w:pPr>
        <w:pStyle w:val="NoSpacing"/>
        <w:widowControl w:val="0"/>
        <w:ind w:left="709" w:hanging="529"/>
        <w:jc w:val="both"/>
        <w:rPr>
          <w:rFonts w:ascii="Arial" w:hAnsi="Arial" w:cs="Arial"/>
        </w:rPr>
      </w:pPr>
      <w:r w:rsidRPr="00DA1F72">
        <w:rPr>
          <w:rFonts w:ascii="Arial" w:hAnsi="Arial"/>
        </w:rPr>
        <w:t xml:space="preserve">b) </w:t>
      </w:r>
      <w:r w:rsidRPr="00DA1F72">
        <w:tab/>
      </w:r>
      <w:r w:rsidRPr="00DA1F72">
        <w:rPr>
          <w:rFonts w:ascii="Arial" w:hAnsi="Arial"/>
        </w:rPr>
        <w:t>Otras contribuciones de las Partes y las contribuciones de los Estados que no son Partes en la Convención, otras organizaciones gubernamentales, intergubernamentales y no gubernamentales y otras fuentes.</w:t>
      </w:r>
    </w:p>
    <w:p w:rsidR="007459B2" w:rsidRPr="00DA1F72" w:rsidRDefault="007459B2" w:rsidP="00C840D0">
      <w:pPr>
        <w:pStyle w:val="NoSpacing"/>
        <w:widowControl w:val="0"/>
        <w:ind w:left="450" w:hanging="450"/>
        <w:jc w:val="both"/>
        <w:rPr>
          <w:rFonts w:ascii="Arial" w:hAnsi="Arial" w:cs="Arial"/>
        </w:rPr>
      </w:pPr>
    </w:p>
    <w:p w:rsidR="007459B2" w:rsidRPr="00DA1F72" w:rsidRDefault="007459B2" w:rsidP="00C840D0">
      <w:pPr>
        <w:pStyle w:val="NoSpacing"/>
        <w:widowControl w:val="0"/>
        <w:ind w:left="450" w:hanging="450"/>
        <w:jc w:val="both"/>
        <w:rPr>
          <w:rFonts w:ascii="Arial" w:hAnsi="Arial" w:cs="Arial"/>
        </w:rPr>
      </w:pPr>
      <w:r w:rsidRPr="00DA1F72">
        <w:rPr>
          <w:rFonts w:ascii="Arial" w:hAnsi="Arial"/>
        </w:rPr>
        <w:t>7.</w:t>
      </w:r>
      <w:r w:rsidRPr="00DA1F72">
        <w:tab/>
      </w:r>
      <w:r w:rsidRPr="00DA1F72">
        <w:rPr>
          <w:rFonts w:ascii="Arial" w:hAnsi="Arial"/>
        </w:rPr>
        <w:t>Todas las contribuciones al Fondo Fiduciario se pagarán en euros. Por lo que respecta a las cuotas de los Estados que pasen a ser Partes después del comienzo del ejercicio económico, la cuota inicial (desde el primer día del tercer mes posterior a la fecha de depósito del instrumento de ratificación, aceptación o adhesión hasta el final del ejercicio económico) se determinará en forma prorrateada sobre la base de las cuotas de las demás Partes al mismo nivel que la escala de cuotas de las Naciones Unidas, tal como se aplica de tanto en tanto. No obstante, si la cuota de una nueva Parte determinada sobre esta base supera el 22% del presupuesto, la cuota de esa Parte será del 22% del presupuesto para el ejercicio económico del año en el que se adhiere (o en forma prorrateada para la parte correspondiente del año). La escala de cuotas para todas las Partes será revisada luego por la Secretaría el 1º de enero del año siguiente. Las cuotas se pagarán en plazos anuales. Las cuotas deberán abonarse el 1º de enero de 2018, 2019 y 2020.</w:t>
      </w:r>
    </w:p>
    <w:p w:rsidR="007459B2" w:rsidRPr="00DA1F72" w:rsidRDefault="007459B2" w:rsidP="00C840D0">
      <w:pPr>
        <w:pStyle w:val="NoSpacing"/>
        <w:widowControl w:val="0"/>
        <w:ind w:left="450" w:hanging="450"/>
        <w:jc w:val="both"/>
        <w:rPr>
          <w:rFonts w:ascii="Arial" w:hAnsi="Arial" w:cs="Arial"/>
        </w:rPr>
      </w:pPr>
    </w:p>
    <w:p w:rsidR="007459B2" w:rsidRPr="00DA1F72" w:rsidRDefault="007459B2" w:rsidP="00C840D0">
      <w:pPr>
        <w:pStyle w:val="NoSpacing"/>
        <w:widowControl w:val="0"/>
        <w:ind w:left="450" w:hanging="450"/>
        <w:jc w:val="both"/>
        <w:rPr>
          <w:rFonts w:ascii="Arial" w:hAnsi="Arial" w:cs="Arial"/>
        </w:rPr>
      </w:pPr>
      <w:r w:rsidRPr="00DA1F72">
        <w:rPr>
          <w:rFonts w:ascii="Arial" w:hAnsi="Arial"/>
        </w:rPr>
        <w:t>8.</w:t>
      </w:r>
      <w:r w:rsidRPr="00DA1F72">
        <w:tab/>
      </w:r>
      <w:r w:rsidRPr="00DA1F72">
        <w:rPr>
          <w:rFonts w:ascii="Arial" w:hAnsi="Arial"/>
        </w:rPr>
        <w:t xml:space="preserve">Las cuotas se abonarán a la cuenta bancaria de la Organización de las Naciones Unidas con arreglo a la factura que presente la ONU Medio Ambiente. </w:t>
      </w:r>
    </w:p>
    <w:p w:rsidR="007459B2" w:rsidRPr="00DA1F72" w:rsidRDefault="007459B2" w:rsidP="00C840D0">
      <w:pPr>
        <w:pStyle w:val="NoSpacing"/>
        <w:widowControl w:val="0"/>
        <w:ind w:left="450" w:hanging="450"/>
        <w:rPr>
          <w:rFonts w:ascii="Arial" w:hAnsi="Arial" w:cs="Arial"/>
        </w:rPr>
      </w:pPr>
    </w:p>
    <w:p w:rsidR="007459B2" w:rsidRPr="00DA1F72" w:rsidRDefault="007459B2" w:rsidP="00C840D0">
      <w:pPr>
        <w:pStyle w:val="NoSpacing"/>
        <w:widowControl w:val="0"/>
        <w:ind w:left="450" w:hanging="450"/>
        <w:jc w:val="both"/>
        <w:rPr>
          <w:rFonts w:ascii="Arial" w:hAnsi="Arial" w:cs="Arial"/>
        </w:rPr>
      </w:pPr>
      <w:r w:rsidRPr="00DA1F72">
        <w:rPr>
          <w:rFonts w:ascii="Arial" w:hAnsi="Arial"/>
        </w:rPr>
        <w:t>9.</w:t>
      </w:r>
      <w:r w:rsidRPr="00DA1F72">
        <w:tab/>
      </w:r>
      <w:r w:rsidRPr="00DA1F72">
        <w:rPr>
          <w:rFonts w:ascii="Arial" w:hAnsi="Arial"/>
        </w:rPr>
        <w:t>Para comodidad de las Partes, el Director Ejecutivo de la ONU Medio Ambiente notificará lo antes posible a las Partes en la Convención las cuotas asignadas correspondientes a cada uno de los años del ejercicio económico.</w:t>
      </w:r>
    </w:p>
    <w:p w:rsidR="007459B2" w:rsidRPr="00DA1F72" w:rsidRDefault="007459B2" w:rsidP="00C840D0">
      <w:pPr>
        <w:pStyle w:val="NoSpacing"/>
        <w:ind w:left="450" w:hanging="450"/>
        <w:jc w:val="both"/>
        <w:rPr>
          <w:rFonts w:ascii="Arial" w:hAnsi="Arial" w:cs="Arial"/>
        </w:rPr>
      </w:pPr>
    </w:p>
    <w:p w:rsidR="007459B2" w:rsidRPr="00DA1F72" w:rsidRDefault="007459B2" w:rsidP="00C840D0">
      <w:pPr>
        <w:pStyle w:val="NoSpacing"/>
        <w:ind w:left="450" w:hanging="450"/>
        <w:jc w:val="both"/>
        <w:rPr>
          <w:rFonts w:ascii="Arial" w:hAnsi="Arial" w:cs="Arial"/>
        </w:rPr>
      </w:pPr>
      <w:r w:rsidRPr="00DA1F72">
        <w:rPr>
          <w:rFonts w:ascii="Arial" w:hAnsi="Arial"/>
        </w:rPr>
        <w:lastRenderedPageBreak/>
        <w:t>10.</w:t>
      </w:r>
      <w:r w:rsidRPr="00DA1F72">
        <w:tab/>
      </w:r>
      <w:r w:rsidRPr="00DA1F72">
        <w:rPr>
          <w:rFonts w:ascii="Arial" w:hAnsi="Arial"/>
        </w:rPr>
        <w:t>Las cuotas que se reciban en el Fondo Fiduciario y no se necesiten inmediatamente para financiar actividades se invertirán a discreción de las Naciones Unidas, y los posibles ingresos se acreditarán al Fondo Fiduciario.</w:t>
      </w:r>
    </w:p>
    <w:p w:rsidR="007459B2" w:rsidRPr="00DA1F72" w:rsidRDefault="007459B2" w:rsidP="00C840D0">
      <w:pPr>
        <w:pStyle w:val="ListParagraph"/>
        <w:ind w:left="0"/>
        <w:rPr>
          <w:rFonts w:cs="Arial"/>
          <w:sz w:val="22"/>
          <w:szCs w:val="22"/>
        </w:rPr>
      </w:pPr>
    </w:p>
    <w:p w:rsidR="007459B2" w:rsidRPr="00DA1F72" w:rsidRDefault="007459B2" w:rsidP="00C840D0">
      <w:pPr>
        <w:pStyle w:val="NoSpacing"/>
        <w:ind w:left="360" w:hanging="360"/>
        <w:jc w:val="both"/>
        <w:rPr>
          <w:rFonts w:ascii="Arial" w:hAnsi="Arial" w:cs="Arial"/>
        </w:rPr>
      </w:pPr>
      <w:r w:rsidRPr="00DA1F72">
        <w:rPr>
          <w:rFonts w:ascii="Arial" w:hAnsi="Arial"/>
        </w:rPr>
        <w:t>11.</w:t>
      </w:r>
      <w:r w:rsidRPr="00DA1F72">
        <w:tab/>
      </w:r>
      <w:r w:rsidRPr="00DA1F72">
        <w:rPr>
          <w:rFonts w:ascii="Arial" w:hAnsi="Arial"/>
        </w:rPr>
        <w:t>El Fondo Fiduciario estará sujeto a auditoría de cuentas por la Junta de Auditores de las Naciones Unidas.</w:t>
      </w:r>
    </w:p>
    <w:p w:rsidR="007459B2" w:rsidRPr="00DA1F72" w:rsidRDefault="007459B2" w:rsidP="00C840D0">
      <w:pPr>
        <w:pStyle w:val="ListParagraph"/>
        <w:ind w:left="360" w:hanging="360"/>
        <w:rPr>
          <w:rFonts w:cs="Arial"/>
          <w:sz w:val="22"/>
          <w:szCs w:val="22"/>
        </w:rPr>
      </w:pPr>
    </w:p>
    <w:p w:rsidR="007459B2" w:rsidRPr="00DA1F72" w:rsidRDefault="007459B2" w:rsidP="00C840D0">
      <w:pPr>
        <w:pStyle w:val="NoSpacing"/>
        <w:ind w:left="360" w:hanging="360"/>
        <w:jc w:val="both"/>
        <w:rPr>
          <w:rFonts w:ascii="Arial" w:hAnsi="Arial" w:cs="Arial"/>
        </w:rPr>
      </w:pPr>
      <w:r w:rsidRPr="00DA1F72">
        <w:rPr>
          <w:rFonts w:ascii="Arial" w:hAnsi="Arial"/>
        </w:rPr>
        <w:t>12.</w:t>
      </w:r>
      <w:r w:rsidRPr="00DA1F72">
        <w:tab/>
      </w:r>
      <w:r w:rsidRPr="00DA1F72">
        <w:rPr>
          <w:rFonts w:ascii="Arial" w:hAnsi="Arial"/>
        </w:rPr>
        <w:t>Las estimaciones presupuestarias que cubren los ingresos y gastos para cada uno de los tres años naturales que constituyen el ejercicio económico, elaboradas en euros, se someterán a examen en la reunión de la Conferencia de las Partes en la Convención.</w:t>
      </w:r>
    </w:p>
    <w:p w:rsidR="007459B2" w:rsidRPr="00DA1F72" w:rsidRDefault="007459B2" w:rsidP="00C840D0">
      <w:pPr>
        <w:pStyle w:val="ListParagraph"/>
        <w:ind w:left="360" w:hanging="360"/>
        <w:rPr>
          <w:rFonts w:cs="Arial"/>
          <w:sz w:val="22"/>
          <w:szCs w:val="22"/>
        </w:rPr>
      </w:pPr>
    </w:p>
    <w:p w:rsidR="007459B2" w:rsidRPr="00DA1F72" w:rsidRDefault="007459B2" w:rsidP="000B4A25">
      <w:pPr>
        <w:pStyle w:val="NoSpacing"/>
        <w:ind w:left="360" w:hanging="360"/>
        <w:jc w:val="both"/>
        <w:rPr>
          <w:rFonts w:ascii="Arial" w:hAnsi="Arial" w:cs="Arial"/>
          <w:spacing w:val="-2"/>
        </w:rPr>
      </w:pPr>
      <w:r w:rsidRPr="00DA1F72">
        <w:rPr>
          <w:rFonts w:ascii="Arial" w:hAnsi="Arial"/>
          <w:spacing w:val="-2"/>
        </w:rPr>
        <w:t>13.</w:t>
      </w:r>
      <w:r w:rsidRPr="00DA1F72">
        <w:tab/>
      </w:r>
      <w:r w:rsidRPr="00DA1F72">
        <w:rPr>
          <w:rFonts w:ascii="Arial" w:hAnsi="Arial"/>
          <w:spacing w:val="-2"/>
        </w:rPr>
        <w:t>Las estimaciones para cada uno de los años naturales pertenecientes al ejercicio económico se dividirán en secciones y objetos de gasto, y se incluirán referencias a los programas de trabajo a los que se refieren, e irán acompañadas de la información que pueda ser requerida por los contribuyentes o en su nombre y cualquier otra información que el Director Ejecutivo de la ONU Medio Ambiente considere útil y aconsejable. En particular, se prepararán también estimaciones para cada programa de trabajo correspondiente a cada uno de los años naturales, con la descripción detallada de los gastos relativos a cada programa, de manera que correspondan a las secciones y objetos de gastos descritos en la primera frase del presente párrafo.</w:t>
      </w:r>
    </w:p>
    <w:p w:rsidR="007459B2" w:rsidRPr="00DA1F72" w:rsidRDefault="007459B2" w:rsidP="00C840D0">
      <w:pPr>
        <w:pStyle w:val="ListParagraph"/>
        <w:ind w:left="360" w:hanging="360"/>
        <w:rPr>
          <w:rFonts w:cs="Arial"/>
          <w:sz w:val="22"/>
          <w:szCs w:val="22"/>
        </w:rPr>
      </w:pPr>
    </w:p>
    <w:p w:rsidR="007459B2" w:rsidRPr="00DA1F72" w:rsidRDefault="007459B2" w:rsidP="00C840D0">
      <w:pPr>
        <w:pStyle w:val="NoSpacing"/>
        <w:widowControl w:val="0"/>
        <w:ind w:left="360" w:hanging="360"/>
        <w:jc w:val="both"/>
        <w:rPr>
          <w:rFonts w:ascii="Arial" w:hAnsi="Arial" w:cs="Arial"/>
        </w:rPr>
      </w:pPr>
      <w:r w:rsidRPr="00DA1F72">
        <w:rPr>
          <w:rFonts w:ascii="Arial" w:hAnsi="Arial"/>
        </w:rPr>
        <w:t>14.</w:t>
      </w:r>
      <w:r w:rsidRPr="00DA1F72">
        <w:tab/>
      </w:r>
      <w:r w:rsidRPr="00DA1F72">
        <w:rPr>
          <w:rFonts w:ascii="Arial" w:hAnsi="Arial"/>
        </w:rPr>
        <w:t>El presupuesto propuesto, junto con toda la información necesaria, será remitido por la Secretaría a todas las Partes al menos 90 días antes de la fecha fijada para la apertura de la reunión ordinaria de la Conferencia de las Partes en la que deberán examinarse.</w:t>
      </w:r>
    </w:p>
    <w:p w:rsidR="007459B2" w:rsidRPr="00DA1F72" w:rsidRDefault="007459B2" w:rsidP="00C840D0">
      <w:pPr>
        <w:pStyle w:val="ListParagraph"/>
        <w:ind w:left="360" w:hanging="360"/>
        <w:rPr>
          <w:rFonts w:cs="Arial"/>
          <w:sz w:val="22"/>
          <w:szCs w:val="22"/>
        </w:rPr>
      </w:pPr>
    </w:p>
    <w:p w:rsidR="007459B2" w:rsidRPr="00DA1F72" w:rsidRDefault="007459B2" w:rsidP="00C840D0">
      <w:pPr>
        <w:pStyle w:val="NoSpacing"/>
        <w:ind w:left="360" w:hanging="360"/>
        <w:jc w:val="both"/>
        <w:rPr>
          <w:rFonts w:ascii="Arial" w:hAnsi="Arial" w:cs="Arial"/>
        </w:rPr>
      </w:pPr>
      <w:r w:rsidRPr="00DA1F72">
        <w:rPr>
          <w:rFonts w:ascii="Arial" w:hAnsi="Arial"/>
        </w:rPr>
        <w:t>15.</w:t>
      </w:r>
      <w:r w:rsidRPr="00DA1F72">
        <w:tab/>
      </w:r>
      <w:r w:rsidRPr="00DA1F72">
        <w:rPr>
          <w:rFonts w:ascii="Arial" w:hAnsi="Arial"/>
        </w:rPr>
        <w:t>El presupuesto se adoptará por voto unánime de las Partes presentes y votantes en esa Conferencia de las Partes.</w:t>
      </w:r>
    </w:p>
    <w:p w:rsidR="007459B2" w:rsidRPr="00DA1F72" w:rsidRDefault="007459B2" w:rsidP="00C840D0">
      <w:pPr>
        <w:pStyle w:val="ListParagraph"/>
        <w:ind w:left="360" w:hanging="360"/>
        <w:rPr>
          <w:rFonts w:cs="Arial"/>
          <w:sz w:val="22"/>
          <w:szCs w:val="22"/>
        </w:rPr>
      </w:pPr>
    </w:p>
    <w:p w:rsidR="007459B2" w:rsidRPr="00DA1F72" w:rsidRDefault="007459B2" w:rsidP="00C840D0">
      <w:pPr>
        <w:pStyle w:val="NoSpacing"/>
        <w:ind w:left="360" w:hanging="360"/>
        <w:jc w:val="both"/>
        <w:rPr>
          <w:rFonts w:ascii="Arial" w:hAnsi="Arial" w:cs="Arial"/>
        </w:rPr>
      </w:pPr>
      <w:r w:rsidRPr="00DA1F72">
        <w:rPr>
          <w:rFonts w:ascii="Arial" w:hAnsi="Arial"/>
        </w:rPr>
        <w:t>16.</w:t>
      </w:r>
      <w:r w:rsidRPr="00DA1F72">
        <w:tab/>
      </w:r>
      <w:r w:rsidRPr="00DA1F72">
        <w:rPr>
          <w:rFonts w:ascii="Arial" w:hAnsi="Arial"/>
        </w:rPr>
        <w:t>En el caso de que el Director Ejecutivo de la ONU Medio Ambiente prevea que puede haber un déficit de recursos en el ejercicio económico en su conjunto, el Director Ejecutivo deberá consultar con la Secretaría, que recabará el asesoramiento del Comité Permanente respecto a sus prioridades de gastos.</w:t>
      </w:r>
    </w:p>
    <w:p w:rsidR="007459B2" w:rsidRPr="00DA1F72" w:rsidRDefault="007459B2" w:rsidP="00C840D0">
      <w:pPr>
        <w:pStyle w:val="ListParagraph"/>
        <w:ind w:left="360" w:hanging="360"/>
        <w:rPr>
          <w:rFonts w:cs="Arial"/>
          <w:sz w:val="22"/>
          <w:szCs w:val="22"/>
        </w:rPr>
      </w:pPr>
    </w:p>
    <w:p w:rsidR="007459B2" w:rsidRPr="00DA1F72" w:rsidRDefault="007459B2" w:rsidP="00C840D0">
      <w:pPr>
        <w:pStyle w:val="NoSpacing"/>
        <w:ind w:left="360" w:hanging="360"/>
        <w:jc w:val="both"/>
        <w:rPr>
          <w:rFonts w:ascii="Arial" w:hAnsi="Arial" w:cs="Arial"/>
        </w:rPr>
      </w:pPr>
      <w:r w:rsidRPr="00DA1F72">
        <w:rPr>
          <w:rFonts w:ascii="Arial" w:hAnsi="Arial"/>
        </w:rPr>
        <w:t>17.</w:t>
      </w:r>
      <w:r w:rsidRPr="00DA1F72">
        <w:tab/>
      </w:r>
      <w:r w:rsidRPr="00DA1F72">
        <w:rPr>
          <w:rFonts w:ascii="Arial" w:hAnsi="Arial"/>
        </w:rPr>
        <w:t>Se asumirán compromisos con cargo a los recursos del Fondo Fiduciario solo si están cubiertos por los ingresos necesarios de la Convención.</w:t>
      </w:r>
    </w:p>
    <w:p w:rsidR="007459B2" w:rsidRPr="00DA1F72" w:rsidRDefault="007459B2" w:rsidP="00C840D0">
      <w:pPr>
        <w:pStyle w:val="ListParagraph"/>
        <w:ind w:left="360" w:hanging="360"/>
        <w:rPr>
          <w:rFonts w:cs="Arial"/>
          <w:sz w:val="22"/>
          <w:szCs w:val="22"/>
        </w:rPr>
      </w:pPr>
    </w:p>
    <w:p w:rsidR="007459B2" w:rsidRPr="00DA1F72" w:rsidRDefault="007459B2" w:rsidP="00C840D0">
      <w:pPr>
        <w:pStyle w:val="NoSpacing"/>
        <w:ind w:left="360" w:hanging="360"/>
        <w:jc w:val="both"/>
        <w:rPr>
          <w:rFonts w:ascii="Arial" w:hAnsi="Arial" w:cs="Arial"/>
        </w:rPr>
      </w:pPr>
      <w:r w:rsidRPr="00DA1F72">
        <w:rPr>
          <w:rFonts w:ascii="Arial" w:hAnsi="Arial"/>
        </w:rPr>
        <w:t>18.</w:t>
      </w:r>
      <w:r w:rsidRPr="00DA1F72">
        <w:tab/>
      </w:r>
      <w:r w:rsidRPr="00DA1F72">
        <w:rPr>
          <w:rFonts w:ascii="Arial" w:hAnsi="Arial"/>
        </w:rPr>
        <w:t>A petición de la Secretaría de la Convención, tras solicitar el asesoramiento del Comité Permanente, el Director Ejecutivo de la ONU Medio Ambiente deberá, en la medida que sea compatible con el Reglamento Financiero y la Reglamentación Financiera Detallada de las Naciones Unidas, efectuar transferencias de una partida presupuestaria a otra. Al final del primer año natural del ejercicio económico, el Director Ejecutivo de la ONU Medio Ambiente podrá proceder a transferir cualquier saldo no utilizado de las consignaciones al segundo año natural, a condición de que no se supere el presupuesto total aprobado por las Partes, salvo que sea autorizado expresamente por escrito por el Comité Permanente.</w:t>
      </w:r>
    </w:p>
    <w:p w:rsidR="007459B2" w:rsidRPr="00DA1F72" w:rsidRDefault="007459B2" w:rsidP="00C840D0">
      <w:pPr>
        <w:pStyle w:val="ListParagraph"/>
        <w:ind w:left="360" w:hanging="360"/>
        <w:rPr>
          <w:rFonts w:cs="Arial"/>
          <w:sz w:val="22"/>
          <w:szCs w:val="22"/>
        </w:rPr>
      </w:pPr>
    </w:p>
    <w:p w:rsidR="007459B2" w:rsidRPr="00DA1F72" w:rsidRDefault="007459B2" w:rsidP="00C840D0">
      <w:pPr>
        <w:pStyle w:val="NoSpacing"/>
        <w:ind w:left="360" w:hanging="360"/>
        <w:jc w:val="both"/>
        <w:rPr>
          <w:rFonts w:ascii="Arial" w:hAnsi="Arial" w:cs="Arial"/>
        </w:rPr>
      </w:pPr>
      <w:r w:rsidRPr="00DA1F72">
        <w:rPr>
          <w:rFonts w:ascii="Arial" w:hAnsi="Arial"/>
        </w:rPr>
        <w:t>19.</w:t>
      </w:r>
      <w:r w:rsidRPr="00DA1F72">
        <w:tab/>
      </w:r>
      <w:r w:rsidRPr="00DA1F72">
        <w:rPr>
          <w:rFonts w:ascii="Arial" w:hAnsi="Arial"/>
        </w:rPr>
        <w:t>Al final de cada año natural del ejercicio económico</w:t>
      </w:r>
      <w:r w:rsidRPr="00DA1F72">
        <w:rPr>
          <w:rStyle w:val="FootnoteReference"/>
          <w:rFonts w:ascii="Arial" w:hAnsi="Arial"/>
          <w:vertAlign w:val="superscript"/>
        </w:rPr>
        <w:footnoteReference w:id="1"/>
      </w:r>
      <w:r w:rsidRPr="00DA1F72">
        <w:rPr>
          <w:rFonts w:ascii="Arial" w:hAnsi="Arial"/>
        </w:rPr>
        <w:t xml:space="preserve"> el Director Ejecutivo de la ONU Medio Ambiente presentará a las Partes, a través de la Secretaría de la CMS, las cuentas de fin de año. El Director Ejecutivo presentará también, tan pronto como sea factible, las cuentas auditadas correspondientes al ejercicio económico. Esas cuentas deberán incluir los detalles relativos a los gastos efectivos en comparación con las consignaciones originales para cada objeto de gastos. </w:t>
      </w:r>
    </w:p>
    <w:p w:rsidR="007459B2" w:rsidRPr="00DA1F72" w:rsidRDefault="007459B2" w:rsidP="00C840D0">
      <w:pPr>
        <w:pStyle w:val="NoSpacing"/>
        <w:ind w:left="360" w:hanging="360"/>
        <w:jc w:val="both"/>
        <w:rPr>
          <w:rFonts w:ascii="Arial" w:hAnsi="Arial" w:cs="Arial"/>
        </w:rPr>
      </w:pPr>
    </w:p>
    <w:p w:rsidR="007459B2" w:rsidRPr="00DA1F72" w:rsidRDefault="007459B2" w:rsidP="00C840D0">
      <w:pPr>
        <w:pStyle w:val="NoSpacing"/>
        <w:ind w:left="360" w:hanging="360"/>
        <w:jc w:val="both"/>
        <w:rPr>
          <w:rFonts w:ascii="Arial" w:hAnsi="Arial" w:cs="Arial"/>
        </w:rPr>
      </w:pPr>
      <w:r w:rsidRPr="00DA1F72">
        <w:rPr>
          <w:rFonts w:ascii="Arial" w:hAnsi="Arial"/>
        </w:rPr>
        <w:t>20.</w:t>
      </w:r>
      <w:r w:rsidRPr="00DA1F72">
        <w:tab/>
      </w:r>
      <w:r w:rsidRPr="00DA1F72">
        <w:rPr>
          <w:rFonts w:ascii="Arial" w:hAnsi="Arial"/>
        </w:rPr>
        <w:t>Aquellos informes financieros que deberán ser presentados por el Director Ejecutivo de la ONU Medio Ambiente serán transmitidos simultáneamente por la Secretaría de la Convención a los miembros del Comité Permanente.</w:t>
      </w:r>
    </w:p>
    <w:p w:rsidR="007459B2" w:rsidRPr="00DA1F72" w:rsidRDefault="007459B2" w:rsidP="00C840D0">
      <w:pPr>
        <w:pStyle w:val="ListParagraph"/>
        <w:ind w:left="360" w:hanging="360"/>
        <w:rPr>
          <w:rFonts w:cs="Arial"/>
          <w:sz w:val="22"/>
          <w:szCs w:val="22"/>
        </w:rPr>
      </w:pPr>
    </w:p>
    <w:p w:rsidR="007459B2" w:rsidRPr="00DA1F72" w:rsidRDefault="007459B2" w:rsidP="00C840D0">
      <w:pPr>
        <w:pStyle w:val="NoSpacing"/>
        <w:ind w:left="360" w:hanging="360"/>
        <w:jc w:val="both"/>
        <w:rPr>
          <w:rFonts w:ascii="Arial" w:hAnsi="Arial" w:cs="Arial"/>
        </w:rPr>
      </w:pPr>
      <w:r w:rsidRPr="00DA1F72">
        <w:rPr>
          <w:rFonts w:ascii="Arial" w:hAnsi="Arial"/>
        </w:rPr>
        <w:t>21.</w:t>
      </w:r>
      <w:r w:rsidRPr="00DA1F72">
        <w:tab/>
      </w:r>
      <w:r w:rsidRPr="00DA1F72">
        <w:rPr>
          <w:rFonts w:ascii="Arial" w:hAnsi="Arial"/>
        </w:rPr>
        <w:t>La Secretaría de la Convención proporcionará al Comité Permanente una estimación de los gastos propuestos para el siguiente año, simultáneamente, o tan pronto como sea posible después de la distribución de las cuentas y los informes previstos en los párrafos anteriores.</w:t>
      </w:r>
    </w:p>
    <w:p w:rsidR="007459B2" w:rsidRPr="00DA1F72" w:rsidRDefault="007459B2" w:rsidP="00C840D0">
      <w:pPr>
        <w:pStyle w:val="ListParagraph"/>
        <w:ind w:left="360" w:hanging="360"/>
        <w:rPr>
          <w:rFonts w:cs="Arial"/>
          <w:sz w:val="22"/>
          <w:szCs w:val="22"/>
        </w:rPr>
      </w:pPr>
    </w:p>
    <w:p w:rsidR="007459B2" w:rsidRPr="00DA1F72" w:rsidRDefault="007459B2" w:rsidP="00C840D0">
      <w:pPr>
        <w:pStyle w:val="NoSpacing"/>
        <w:ind w:left="360" w:hanging="360"/>
        <w:jc w:val="both"/>
        <w:rPr>
          <w:rFonts w:ascii="Arial" w:hAnsi="Arial" w:cs="Arial"/>
          <w:spacing w:val="-6"/>
        </w:rPr>
      </w:pPr>
      <w:r w:rsidRPr="00DA1F72">
        <w:rPr>
          <w:rFonts w:ascii="Arial" w:hAnsi="Arial"/>
          <w:spacing w:val="-6"/>
        </w:rPr>
        <w:t>22.</w:t>
      </w:r>
      <w:r w:rsidRPr="00DA1F72">
        <w:tab/>
      </w:r>
      <w:r w:rsidRPr="00DA1F72">
        <w:rPr>
          <w:rFonts w:ascii="Arial" w:hAnsi="Arial"/>
          <w:spacing w:val="-6"/>
        </w:rPr>
        <w:t xml:space="preserve">El presente mandato estará en vigor desde el 1º de enero de 2018 hasta el </w:t>
      </w:r>
      <w:proofErr w:type="spellStart"/>
      <w:r w:rsidRPr="00DA1F72">
        <w:rPr>
          <w:rFonts w:ascii="Arial" w:hAnsi="Arial"/>
          <w:spacing w:val="-6"/>
        </w:rPr>
        <w:t>el</w:t>
      </w:r>
      <w:proofErr w:type="spellEnd"/>
      <w:r w:rsidRPr="00DA1F72">
        <w:rPr>
          <w:rFonts w:ascii="Arial" w:hAnsi="Arial"/>
          <w:spacing w:val="-6"/>
        </w:rPr>
        <w:t xml:space="preserve"> 31 de diciembre de 2020.</w:t>
      </w:r>
    </w:p>
    <w:p w:rsidR="007459B2" w:rsidRPr="00DA1F72" w:rsidRDefault="007459B2" w:rsidP="00292B9F">
      <w:pPr>
        <w:jc w:val="center"/>
        <w:rPr>
          <w:sz w:val="22"/>
          <w:szCs w:val="22"/>
        </w:rPr>
        <w:sectPr w:rsidR="007459B2" w:rsidRPr="00DA1F72" w:rsidSect="00620809">
          <w:headerReference w:type="even" r:id="rId30"/>
          <w:headerReference w:type="default" r:id="rId31"/>
          <w:headerReference w:type="first" r:id="rId32"/>
          <w:endnotePr>
            <w:numFmt w:val="decimal"/>
          </w:endnotePr>
          <w:pgSz w:w="11905" w:h="16837" w:code="9"/>
          <w:pgMar w:top="1008" w:right="1411" w:bottom="1152" w:left="1411" w:header="432" w:footer="432" w:gutter="0"/>
          <w:cols w:space="720"/>
          <w:noEndnote/>
          <w:titlePg/>
          <w:docGrid w:linePitch="272"/>
        </w:sectPr>
      </w:pPr>
    </w:p>
    <w:p w:rsidR="007459B2" w:rsidRPr="00DA1F72" w:rsidRDefault="007459B2" w:rsidP="00DA28FC">
      <w:pPr>
        <w:widowControl/>
        <w:autoSpaceDE/>
        <w:adjustRightInd/>
        <w:jc w:val="right"/>
        <w:rPr>
          <w:rFonts w:cs="Arial"/>
          <w:b/>
          <w:bCs/>
          <w:caps/>
          <w:sz w:val="22"/>
          <w:szCs w:val="22"/>
        </w:rPr>
      </w:pPr>
      <w:r w:rsidRPr="00DA1F72">
        <w:rPr>
          <w:b/>
          <w:caps/>
          <w:sz w:val="22"/>
          <w:szCs w:val="22"/>
        </w:rPr>
        <w:lastRenderedPageBreak/>
        <w:t>Anexo 3 (E)</w:t>
      </w:r>
    </w:p>
    <w:p w:rsidR="007459B2" w:rsidRPr="00DA1F72" w:rsidRDefault="007459B2" w:rsidP="00DA28FC">
      <w:pPr>
        <w:rPr>
          <w:rFonts w:cs="Arial"/>
          <w:sz w:val="22"/>
          <w:szCs w:val="22"/>
        </w:rPr>
      </w:pPr>
    </w:p>
    <w:p w:rsidR="007459B2" w:rsidRPr="00DA1F72" w:rsidRDefault="007459B2" w:rsidP="00DA28FC">
      <w:pPr>
        <w:jc w:val="center"/>
        <w:rPr>
          <w:rFonts w:cs="Arial"/>
          <w:b/>
          <w:color w:val="000000"/>
          <w:sz w:val="22"/>
          <w:szCs w:val="22"/>
        </w:rPr>
      </w:pPr>
      <w:r w:rsidRPr="00DA1F72">
        <w:rPr>
          <w:b/>
          <w:color w:val="000000"/>
          <w:sz w:val="22"/>
          <w:szCs w:val="22"/>
        </w:rPr>
        <w:t>Programa de trabajo para 2018-2020</w:t>
      </w:r>
    </w:p>
    <w:p w:rsidR="007459B2" w:rsidRPr="00DA1F72" w:rsidRDefault="007459B2" w:rsidP="00DA28FC">
      <w:pPr>
        <w:rPr>
          <w:rFonts w:cs="Arial"/>
          <w:bCs/>
          <w:sz w:val="22"/>
          <w:szCs w:val="22"/>
        </w:rPr>
      </w:pPr>
    </w:p>
    <w:p w:rsidR="007459B2" w:rsidRPr="00DA1F72" w:rsidRDefault="007459B2" w:rsidP="00DA28FC">
      <w:pPr>
        <w:rPr>
          <w:rFonts w:cs="Arial"/>
          <w:bCs/>
          <w:sz w:val="22"/>
          <w:szCs w:val="22"/>
        </w:rPr>
      </w:pPr>
      <w:r w:rsidRPr="00DA1F72">
        <w:rPr>
          <w:sz w:val="22"/>
          <w:szCs w:val="22"/>
        </w:rPr>
        <w:t>[Se completará después de la adopción del presupuesto]</w:t>
      </w:r>
    </w:p>
    <w:p w:rsidR="007459B2" w:rsidRDefault="007459B2" w:rsidP="00DA28FC"/>
    <w:p w:rsidR="007459B2" w:rsidRPr="009878EA" w:rsidRDefault="007459B2" w:rsidP="009878EA"/>
    <w:p w:rsidR="007459B2" w:rsidRPr="009878EA" w:rsidRDefault="007459B2" w:rsidP="009878EA"/>
    <w:p w:rsidR="007459B2" w:rsidRPr="009878EA" w:rsidRDefault="007459B2" w:rsidP="009878EA"/>
    <w:p w:rsidR="007459B2" w:rsidRPr="009878EA" w:rsidRDefault="007459B2" w:rsidP="009878EA"/>
    <w:p w:rsidR="007459B2" w:rsidRPr="009878EA" w:rsidRDefault="007459B2" w:rsidP="009878EA"/>
    <w:p w:rsidR="007459B2" w:rsidRPr="009878EA" w:rsidRDefault="007459B2" w:rsidP="009878EA"/>
    <w:p w:rsidR="007459B2" w:rsidRPr="009878EA" w:rsidRDefault="007459B2" w:rsidP="009878EA"/>
    <w:p w:rsidR="007459B2" w:rsidRPr="009878EA" w:rsidRDefault="007459B2" w:rsidP="009878EA"/>
    <w:p w:rsidR="007459B2" w:rsidRPr="009878EA" w:rsidRDefault="007459B2" w:rsidP="009878EA"/>
    <w:p w:rsidR="007459B2" w:rsidRPr="009878EA" w:rsidRDefault="007459B2" w:rsidP="009878EA"/>
    <w:p w:rsidR="007459B2" w:rsidRPr="009878EA" w:rsidRDefault="007459B2" w:rsidP="009878EA"/>
    <w:p w:rsidR="007459B2" w:rsidRPr="009878EA" w:rsidRDefault="007459B2" w:rsidP="009878EA"/>
    <w:p w:rsidR="007459B2" w:rsidRPr="009878EA" w:rsidRDefault="007459B2" w:rsidP="009878EA"/>
    <w:p w:rsidR="007459B2" w:rsidRPr="009878EA" w:rsidRDefault="007459B2" w:rsidP="009878EA"/>
    <w:p w:rsidR="007459B2" w:rsidRPr="009878EA" w:rsidRDefault="007459B2" w:rsidP="009878EA"/>
    <w:p w:rsidR="007459B2" w:rsidRPr="009878EA" w:rsidRDefault="007459B2" w:rsidP="009878EA"/>
    <w:p w:rsidR="007459B2" w:rsidRPr="009878EA" w:rsidRDefault="007459B2" w:rsidP="009878EA"/>
    <w:p w:rsidR="00110065" w:rsidRDefault="00110065" w:rsidP="009878EA">
      <w:pPr>
        <w:sectPr w:rsidR="00110065" w:rsidSect="00620809">
          <w:headerReference w:type="first" r:id="rId33"/>
          <w:endnotePr>
            <w:numFmt w:val="decimal"/>
          </w:endnotePr>
          <w:pgSz w:w="11905" w:h="16837" w:code="9"/>
          <w:pgMar w:top="1008" w:right="1411" w:bottom="1152" w:left="1411" w:header="432" w:footer="432" w:gutter="0"/>
          <w:cols w:space="720"/>
          <w:noEndnote/>
          <w:titlePg/>
          <w:docGrid w:linePitch="272"/>
        </w:sectPr>
      </w:pPr>
    </w:p>
    <w:p w:rsidR="00110065" w:rsidRPr="00DA1F72" w:rsidRDefault="00110065" w:rsidP="00110065">
      <w:pPr>
        <w:widowControl/>
        <w:autoSpaceDE/>
        <w:adjustRightInd/>
        <w:jc w:val="right"/>
        <w:rPr>
          <w:rFonts w:cs="Arial"/>
          <w:b/>
          <w:bCs/>
          <w:caps/>
          <w:sz w:val="22"/>
          <w:szCs w:val="22"/>
        </w:rPr>
      </w:pPr>
      <w:r>
        <w:rPr>
          <w:b/>
          <w:caps/>
          <w:sz w:val="22"/>
          <w:szCs w:val="22"/>
        </w:rPr>
        <w:lastRenderedPageBreak/>
        <w:t>Anexo 4</w:t>
      </w:r>
    </w:p>
    <w:p w:rsidR="00110065" w:rsidRPr="00DA1F72" w:rsidRDefault="00110065" w:rsidP="00110065">
      <w:pPr>
        <w:rPr>
          <w:rFonts w:cs="Arial"/>
          <w:sz w:val="22"/>
          <w:szCs w:val="22"/>
        </w:rPr>
      </w:pPr>
    </w:p>
    <w:p w:rsidR="00110065" w:rsidRPr="007B06AB" w:rsidRDefault="007B06AB" w:rsidP="007B06AB">
      <w:pPr>
        <w:jc w:val="center"/>
        <w:rPr>
          <w:b/>
          <w:color w:val="000000"/>
          <w:sz w:val="22"/>
          <w:szCs w:val="22"/>
        </w:rPr>
      </w:pPr>
      <w:bookmarkStart w:id="0" w:name="_GoBack"/>
      <w:r w:rsidRPr="007B06AB">
        <w:rPr>
          <w:b/>
          <w:color w:val="000000"/>
          <w:sz w:val="22"/>
          <w:szCs w:val="22"/>
        </w:rPr>
        <w:t>Programa de trabajo propuesto para 2018-2020</w:t>
      </w:r>
    </w:p>
    <w:p w:rsidR="007B06AB" w:rsidRPr="007B06AB" w:rsidRDefault="007B06AB" w:rsidP="007B06AB">
      <w:pPr>
        <w:jc w:val="center"/>
        <w:rPr>
          <w:b/>
          <w:color w:val="000000"/>
          <w:sz w:val="22"/>
          <w:szCs w:val="22"/>
        </w:rPr>
      </w:pPr>
    </w:p>
    <w:bookmarkEnd w:id="0"/>
    <w:p w:rsidR="00110065" w:rsidRPr="00DA1F72" w:rsidRDefault="00110065" w:rsidP="00110065">
      <w:pPr>
        <w:rPr>
          <w:rFonts w:cs="Arial"/>
          <w:bCs/>
          <w:sz w:val="22"/>
          <w:szCs w:val="22"/>
        </w:rPr>
      </w:pPr>
      <w:r w:rsidRPr="00DA1F72">
        <w:rPr>
          <w:sz w:val="22"/>
          <w:szCs w:val="22"/>
        </w:rPr>
        <w:t>[</w:t>
      </w:r>
      <w:r w:rsidR="005E2A1D">
        <w:rPr>
          <w:sz w:val="22"/>
          <w:szCs w:val="22"/>
        </w:rPr>
        <w:t>Seguirá en breve</w:t>
      </w:r>
      <w:r w:rsidRPr="00DA1F72">
        <w:rPr>
          <w:sz w:val="22"/>
          <w:szCs w:val="22"/>
        </w:rPr>
        <w:t>]</w:t>
      </w:r>
    </w:p>
    <w:p w:rsidR="00110065" w:rsidRDefault="00110065" w:rsidP="00110065"/>
    <w:p w:rsidR="007459B2" w:rsidRDefault="007459B2" w:rsidP="009878EA"/>
    <w:p w:rsidR="007459B2" w:rsidRDefault="007459B2" w:rsidP="009878EA"/>
    <w:p w:rsidR="005E2A1D" w:rsidRDefault="005E2A1D" w:rsidP="009878EA">
      <w:pPr>
        <w:tabs>
          <w:tab w:val="left" w:pos="2995"/>
        </w:tabs>
        <w:sectPr w:rsidR="005E2A1D" w:rsidSect="00620809">
          <w:headerReference w:type="first" r:id="rId34"/>
          <w:endnotePr>
            <w:numFmt w:val="decimal"/>
          </w:endnotePr>
          <w:pgSz w:w="11905" w:h="16837" w:code="9"/>
          <w:pgMar w:top="1008" w:right="1411" w:bottom="1152" w:left="1411" w:header="432" w:footer="432" w:gutter="0"/>
          <w:cols w:space="720"/>
          <w:noEndnote/>
          <w:titlePg/>
          <w:docGrid w:linePitch="272"/>
        </w:sectPr>
      </w:pPr>
    </w:p>
    <w:p w:rsidR="005E2A1D" w:rsidRPr="00DA1F72" w:rsidRDefault="005E2A1D" w:rsidP="005E2A1D">
      <w:pPr>
        <w:widowControl/>
        <w:autoSpaceDE/>
        <w:adjustRightInd/>
        <w:jc w:val="right"/>
        <w:rPr>
          <w:rFonts w:cs="Arial"/>
          <w:b/>
          <w:bCs/>
          <w:caps/>
          <w:sz w:val="22"/>
          <w:szCs w:val="22"/>
        </w:rPr>
      </w:pPr>
      <w:r>
        <w:rPr>
          <w:b/>
          <w:caps/>
          <w:sz w:val="22"/>
          <w:szCs w:val="22"/>
        </w:rPr>
        <w:lastRenderedPageBreak/>
        <w:t>Anexo 5</w:t>
      </w:r>
    </w:p>
    <w:p w:rsidR="005E2A1D" w:rsidRPr="00DA1F72" w:rsidRDefault="005E2A1D" w:rsidP="005E2A1D">
      <w:pPr>
        <w:rPr>
          <w:rFonts w:cs="Arial"/>
          <w:sz w:val="22"/>
          <w:szCs w:val="22"/>
        </w:rPr>
      </w:pPr>
    </w:p>
    <w:p w:rsidR="005E2A1D" w:rsidRPr="00DA1F72" w:rsidRDefault="007109FA" w:rsidP="005E2A1D">
      <w:pPr>
        <w:jc w:val="center"/>
        <w:rPr>
          <w:rFonts w:cs="Arial"/>
          <w:b/>
          <w:color w:val="000000"/>
          <w:sz w:val="22"/>
          <w:szCs w:val="22"/>
        </w:rPr>
      </w:pPr>
      <w:r w:rsidRPr="007109FA">
        <w:rPr>
          <w:b/>
          <w:color w:val="000000"/>
          <w:sz w:val="22"/>
          <w:szCs w:val="22"/>
        </w:rPr>
        <w:t>Informe sobre la clasificación de los puestos de la Secretaría</w:t>
      </w:r>
    </w:p>
    <w:p w:rsidR="005E2A1D" w:rsidRPr="00DA1F72" w:rsidRDefault="005E2A1D" w:rsidP="005E2A1D">
      <w:pPr>
        <w:rPr>
          <w:rFonts w:cs="Arial"/>
          <w:bCs/>
          <w:sz w:val="22"/>
          <w:szCs w:val="22"/>
        </w:rPr>
      </w:pPr>
    </w:p>
    <w:p w:rsidR="005E2A1D" w:rsidRPr="00DA1F72" w:rsidRDefault="005E2A1D" w:rsidP="005E2A1D">
      <w:pPr>
        <w:rPr>
          <w:rFonts w:cs="Arial"/>
          <w:bCs/>
          <w:sz w:val="22"/>
          <w:szCs w:val="22"/>
        </w:rPr>
      </w:pPr>
      <w:r w:rsidRPr="00DA1F72">
        <w:rPr>
          <w:sz w:val="22"/>
          <w:szCs w:val="22"/>
        </w:rPr>
        <w:t>[</w:t>
      </w:r>
      <w:r>
        <w:rPr>
          <w:sz w:val="22"/>
          <w:szCs w:val="22"/>
        </w:rPr>
        <w:t>Seguirá en breve</w:t>
      </w:r>
      <w:r w:rsidRPr="00DA1F72">
        <w:rPr>
          <w:sz w:val="22"/>
          <w:szCs w:val="22"/>
        </w:rPr>
        <w:t>]</w:t>
      </w:r>
    </w:p>
    <w:p w:rsidR="005E2A1D" w:rsidRDefault="005E2A1D" w:rsidP="005E2A1D"/>
    <w:p w:rsidR="007459B2" w:rsidRPr="009878EA" w:rsidRDefault="007459B2" w:rsidP="009878EA">
      <w:pPr>
        <w:tabs>
          <w:tab w:val="left" w:pos="2995"/>
        </w:tabs>
      </w:pPr>
    </w:p>
    <w:sectPr w:rsidR="007459B2" w:rsidRPr="009878EA" w:rsidSect="00620809">
      <w:headerReference w:type="first" r:id="rId35"/>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40A" w:rsidRDefault="00A2540A">
      <w:r>
        <w:separator/>
      </w:r>
    </w:p>
  </w:endnote>
  <w:endnote w:type="continuationSeparator" w:id="0">
    <w:p w:rsidR="00A2540A" w:rsidRDefault="00A2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0A" w:rsidRPr="00922791" w:rsidRDefault="00A2540A"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7B06AB">
      <w:rPr>
        <w:rFonts w:cs="Arial"/>
        <w:noProof/>
        <w:szCs w:val="18"/>
      </w:rPr>
      <w:t>24</w:t>
    </w:r>
    <w:r w:rsidRPr="00922791">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0A" w:rsidRPr="000D59F2" w:rsidRDefault="00A2540A" w:rsidP="00056DC1">
    <w:pPr>
      <w:pStyle w:val="Footer"/>
      <w:ind w:right="-367"/>
      <w:jc w:val="center"/>
      <w:rPr>
        <w:rFonts w:cs="Arial"/>
        <w:szCs w:val="18"/>
      </w:rPr>
    </w:pPr>
    <w:r w:rsidRPr="000D59F2">
      <w:rPr>
        <w:rFonts w:cs="Arial"/>
        <w:szCs w:val="18"/>
      </w:rPr>
      <w:fldChar w:fldCharType="begin"/>
    </w:r>
    <w:r w:rsidRPr="000D59F2">
      <w:rPr>
        <w:rFonts w:cs="Arial"/>
        <w:szCs w:val="18"/>
      </w:rPr>
      <w:instrText xml:space="preserve"> PAGE   \* MERGEFORMAT </w:instrText>
    </w:r>
    <w:r w:rsidRPr="000D59F2">
      <w:rPr>
        <w:rFonts w:cs="Arial"/>
        <w:szCs w:val="18"/>
      </w:rPr>
      <w:fldChar w:fldCharType="separate"/>
    </w:r>
    <w:r w:rsidR="007B06AB">
      <w:rPr>
        <w:rFonts w:cs="Arial"/>
        <w:noProof/>
        <w:szCs w:val="18"/>
      </w:rPr>
      <w:t>25</w:t>
    </w:r>
    <w:r w:rsidRPr="000D59F2">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0A" w:rsidRPr="00CD7355" w:rsidRDefault="00A2540A"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0A" w:rsidRPr="00DA553C" w:rsidRDefault="00A2540A" w:rsidP="00015E07">
    <w:pPr>
      <w:pStyle w:val="Footer"/>
      <w:tabs>
        <w:tab w:val="clear" w:pos="8640"/>
        <w:tab w:val="right" w:pos="9083"/>
      </w:tabs>
      <w:jc w:val="center"/>
      <w:rPr>
        <w:rFonts w:cs="Arial"/>
        <w:szCs w:val="18"/>
      </w:rPr>
    </w:pPr>
    <w:r>
      <w:tab/>
    </w:r>
    <w:r w:rsidRPr="00DA553C">
      <w:rPr>
        <w:rFonts w:cs="Arial"/>
        <w:szCs w:val="18"/>
      </w:rPr>
      <w:fldChar w:fldCharType="begin"/>
    </w:r>
    <w:r w:rsidRPr="00DA553C">
      <w:rPr>
        <w:rFonts w:cs="Arial"/>
        <w:szCs w:val="18"/>
      </w:rPr>
      <w:instrText xml:space="preserve"> PAGE   \* MERGEFORMAT </w:instrText>
    </w:r>
    <w:r w:rsidRPr="00DA553C">
      <w:rPr>
        <w:rFonts w:cs="Arial"/>
        <w:szCs w:val="18"/>
      </w:rPr>
      <w:fldChar w:fldCharType="separate"/>
    </w:r>
    <w:r w:rsidR="007B06AB">
      <w:rPr>
        <w:rFonts w:cs="Arial"/>
        <w:noProof/>
        <w:szCs w:val="18"/>
      </w:rPr>
      <w:t>26</w:t>
    </w:r>
    <w:r w:rsidRPr="00DA553C">
      <w:rPr>
        <w:rFonts w:cs="Arial"/>
        <w:szCs w:val="18"/>
      </w:rPr>
      <w:fldChar w:fldCharType="end"/>
    </w:r>
    <w:r w:rsidRPr="00DA553C">
      <w:rPr>
        <w:szCs w:val="18"/>
      </w:rPr>
      <w:tab/>
    </w:r>
  </w:p>
  <w:p w:rsidR="00A2540A" w:rsidRPr="00D605A4" w:rsidRDefault="00A2540A"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40A" w:rsidRDefault="00A2540A">
      <w:r>
        <w:separator/>
      </w:r>
    </w:p>
  </w:footnote>
  <w:footnote w:type="continuationSeparator" w:id="0">
    <w:p w:rsidR="00A2540A" w:rsidRDefault="00A2540A">
      <w:r>
        <w:continuationSeparator/>
      </w:r>
    </w:p>
  </w:footnote>
  <w:footnote w:id="1">
    <w:p w:rsidR="00A2540A" w:rsidRDefault="00A2540A" w:rsidP="00C840D0">
      <w:pPr>
        <w:tabs>
          <w:tab w:val="left" w:pos="284"/>
        </w:tabs>
        <w:ind w:left="284" w:hanging="284"/>
        <w:jc w:val="both"/>
      </w:pPr>
      <w:r>
        <w:rPr>
          <w:rStyle w:val="FootnoteReference"/>
          <w:sz w:val="16"/>
          <w:vertAlign w:val="superscript"/>
        </w:rPr>
        <w:footnoteRef/>
      </w:r>
      <w:r>
        <w:rPr>
          <w:sz w:val="16"/>
        </w:rPr>
        <w:t xml:space="preserve"> </w:t>
      </w:r>
      <w:r>
        <w:tab/>
      </w:r>
      <w:r>
        <w:rPr>
          <w:sz w:val="16"/>
        </w:rPr>
        <w:t>El año natural desde el 1º de enero hasta el 31 de diciembre es el año de contabilidad y ejercicio económico, pero la fecha de cierre oficial de la contabilidad es el 31 de marzo del año siguiente. En consecuencia, el 31 de marzo deben cerrarse las cuentas del año anterior, y solo entonces el Director Ejecutivo podrá presentar las cuentas del año natural anterior.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0A" w:rsidRPr="000E4A8D" w:rsidRDefault="00A2540A" w:rsidP="00922791">
    <w:pPr>
      <w:pStyle w:val="Heading1"/>
      <w:keepNext w:val="0"/>
      <w:pBdr>
        <w:bottom w:val="single" w:sz="4" w:space="1" w:color="auto"/>
      </w:pBdr>
      <w:tabs>
        <w:tab w:val="clear" w:pos="-720"/>
      </w:tabs>
      <w:ind w:left="261" w:right="-277" w:hanging="261"/>
      <w:rPr>
        <w:rFonts w:cs="Arial"/>
        <w:b w:val="0"/>
        <w:i/>
        <w:sz w:val="18"/>
        <w:szCs w:val="18"/>
        <w:lang w:val="fr-FR"/>
      </w:rPr>
    </w:pPr>
    <w:r w:rsidRPr="000E4A8D">
      <w:rPr>
        <w:b w:val="0"/>
        <w:i/>
        <w:sz w:val="18"/>
        <w:lang w:val="fr-FR"/>
      </w:rPr>
      <w:t>U</w:t>
    </w:r>
    <w:r w:rsidR="000D59F2">
      <w:rPr>
        <w:b w:val="0"/>
        <w:i/>
        <w:sz w:val="18"/>
        <w:lang w:val="fr-FR"/>
      </w:rPr>
      <w:t>NEP/CMS/COP12/Doc.4.2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0A" w:rsidRPr="00D605A4" w:rsidRDefault="00A2540A" w:rsidP="00DA553C">
    <w:pPr>
      <w:pStyle w:val="Header"/>
      <w:pBdr>
        <w:bottom w:val="single" w:sz="4" w:space="1" w:color="auto"/>
      </w:pBdr>
      <w:rPr>
        <w:rFonts w:cs="Arial"/>
        <w:i/>
        <w:szCs w:val="18"/>
      </w:rPr>
    </w:pPr>
    <w:r>
      <w:rPr>
        <w:i/>
      </w:rPr>
      <w:t>UNEP/CMS/COP12/Doc.14.2/Anexo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6DC" w:rsidRPr="000E4A8D" w:rsidRDefault="005F26DC" w:rsidP="00922791">
    <w:pPr>
      <w:pStyle w:val="Heading1"/>
      <w:keepNext w:val="0"/>
      <w:pBdr>
        <w:bottom w:val="single" w:sz="4" w:space="1" w:color="auto"/>
      </w:pBdr>
      <w:tabs>
        <w:tab w:val="clear" w:pos="-720"/>
      </w:tabs>
      <w:ind w:left="261" w:right="-277" w:hanging="261"/>
      <w:rPr>
        <w:rFonts w:cs="Arial"/>
        <w:b w:val="0"/>
        <w:i/>
        <w:sz w:val="18"/>
        <w:szCs w:val="18"/>
        <w:lang w:val="fr-FR"/>
      </w:rPr>
    </w:pPr>
    <w:r w:rsidRPr="000E4A8D">
      <w:rPr>
        <w:b w:val="0"/>
        <w:i/>
        <w:sz w:val="18"/>
        <w:lang w:val="fr-FR"/>
      </w:rPr>
      <w:t>U</w:t>
    </w:r>
    <w:r>
      <w:rPr>
        <w:b w:val="0"/>
        <w:i/>
        <w:sz w:val="18"/>
        <w:lang w:val="fr-FR"/>
      </w:rPr>
      <w:t>NEP/CMS/COP12/Doc.4.2/</w:t>
    </w:r>
    <w:proofErr w:type="spellStart"/>
    <w:r>
      <w:rPr>
        <w:b w:val="0"/>
        <w:i/>
        <w:sz w:val="18"/>
        <w:lang w:val="fr-FR"/>
      </w:rPr>
      <w:t>Anexo</w:t>
    </w:r>
    <w:proofErr w:type="spellEnd"/>
    <w:r>
      <w:rPr>
        <w:b w:val="0"/>
        <w:i/>
        <w:sz w:val="18"/>
        <w:lang w:val="fr-FR"/>
      </w:rPr>
      <w:t xml:space="preserve">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871" w:rsidRPr="00497E66" w:rsidRDefault="00011871" w:rsidP="00922791">
    <w:pPr>
      <w:pStyle w:val="Heading1"/>
      <w:keepNext w:val="0"/>
      <w:pBdr>
        <w:bottom w:val="single" w:sz="4" w:space="1" w:color="auto"/>
      </w:pBdr>
      <w:tabs>
        <w:tab w:val="clear" w:pos="-720"/>
      </w:tabs>
      <w:ind w:left="261" w:right="-277" w:hanging="261"/>
      <w:jc w:val="right"/>
      <w:rPr>
        <w:rFonts w:cs="Arial"/>
        <w:b w:val="0"/>
        <w:i/>
        <w:sz w:val="18"/>
        <w:szCs w:val="18"/>
      </w:rPr>
    </w:pPr>
    <w:r>
      <w:rPr>
        <w:b w:val="0"/>
        <w:i/>
        <w:sz w:val="18"/>
      </w:rPr>
      <w:t>UNEP/CMS/COP12/Doc.14.2/Anexo 3</w:t>
    </w:r>
  </w:p>
  <w:p w:rsidR="00011871" w:rsidRPr="00497E66" w:rsidRDefault="00011871" w:rsidP="00A27BE3">
    <w:pPr>
      <w:jc w:val="right"/>
      <w:rPr>
        <w:i/>
        <w:szCs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0A" w:rsidRPr="00D605A4" w:rsidRDefault="00A2540A" w:rsidP="005F26DC">
    <w:pPr>
      <w:pStyle w:val="Header"/>
      <w:pBdr>
        <w:bottom w:val="single" w:sz="4" w:space="1" w:color="auto"/>
      </w:pBdr>
      <w:rPr>
        <w:rFonts w:cs="Arial"/>
        <w:i/>
        <w:szCs w:val="18"/>
      </w:rPr>
    </w:pPr>
    <w:r>
      <w:rPr>
        <w:i/>
      </w:rPr>
      <w:t>UNEP/CMS/COP12/Doc.14.2/Anexo 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871" w:rsidRPr="00011871" w:rsidRDefault="00011871" w:rsidP="00011871">
    <w:pPr>
      <w:pStyle w:val="Header"/>
      <w:pBdr>
        <w:bottom w:val="single" w:sz="4" w:space="1" w:color="auto"/>
      </w:pBdr>
      <w:jc w:val="right"/>
      <w:rPr>
        <w:rFonts w:cs="Arial"/>
        <w:i/>
        <w:szCs w:val="18"/>
        <w:lang w:val="en-US"/>
      </w:rPr>
    </w:pPr>
    <w:r w:rsidRPr="00011871">
      <w:rPr>
        <w:i/>
        <w:lang w:val="en-US"/>
      </w:rPr>
      <w:t>UNEP/CMS/COP12/Doc.14.2/</w:t>
    </w:r>
    <w:proofErr w:type="spellStart"/>
    <w:r w:rsidRPr="00011871">
      <w:rPr>
        <w:i/>
        <w:lang w:val="en-US"/>
      </w:rPr>
      <w:t>Anexo</w:t>
    </w:r>
    <w:proofErr w:type="spellEnd"/>
    <w:r w:rsidRPr="00011871">
      <w:rPr>
        <w:i/>
        <w:lang w:val="en-US"/>
      </w:rPr>
      <w:t xml:space="preserve"> 3 (A)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11" w:rsidRPr="00CB7511" w:rsidRDefault="00CB7511" w:rsidP="005F26DC">
    <w:pPr>
      <w:pStyle w:val="Header"/>
      <w:pBdr>
        <w:bottom w:val="single" w:sz="4" w:space="1" w:color="auto"/>
      </w:pBdr>
      <w:rPr>
        <w:rFonts w:cs="Arial"/>
        <w:i/>
        <w:szCs w:val="18"/>
        <w:lang w:val="en-US"/>
      </w:rPr>
    </w:pPr>
    <w:r w:rsidRPr="00CB7511">
      <w:rPr>
        <w:i/>
        <w:lang w:val="en-US"/>
      </w:rPr>
      <w:t>UNEP/CMS/COP12/Doc.14.2/</w:t>
    </w:r>
    <w:proofErr w:type="spellStart"/>
    <w:r w:rsidRPr="00CB7511">
      <w:rPr>
        <w:i/>
        <w:lang w:val="en-US"/>
      </w:rPr>
      <w:t>Anexo</w:t>
    </w:r>
    <w:proofErr w:type="spellEnd"/>
    <w:r w:rsidRPr="00CB7511">
      <w:rPr>
        <w:i/>
        <w:lang w:val="en-US"/>
      </w:rPr>
      <w:t xml:space="preserve"> 3 (B)</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0A" w:rsidRPr="00531FA0" w:rsidRDefault="00A2540A" w:rsidP="008274F7">
    <w:pPr>
      <w:pStyle w:val="Heading1"/>
      <w:keepNext w:val="0"/>
      <w:pBdr>
        <w:bottom w:val="single" w:sz="4" w:space="1" w:color="auto"/>
      </w:pBdr>
      <w:tabs>
        <w:tab w:val="clear" w:pos="-720"/>
      </w:tabs>
      <w:ind w:left="261" w:right="-2" w:hanging="261"/>
      <w:rPr>
        <w:b w:val="0"/>
        <w:i/>
        <w:sz w:val="20"/>
        <w:szCs w:val="20"/>
      </w:rPr>
    </w:pPr>
    <w:r>
      <w:rPr>
        <w:b w:val="0"/>
        <w:i/>
        <w:sz w:val="20"/>
      </w:rPr>
      <w:t>U</w:t>
    </w:r>
    <w:r w:rsidR="007911D5">
      <w:rPr>
        <w:b w:val="0"/>
        <w:i/>
        <w:sz w:val="20"/>
      </w:rPr>
      <w:t>NEP/CMS/COP11/Doc.14.2/</w:t>
    </w:r>
    <w:proofErr w:type="spellStart"/>
    <w:r w:rsidR="007911D5">
      <w:rPr>
        <w:b w:val="0"/>
        <w:i/>
        <w:sz w:val="20"/>
      </w:rPr>
      <w:t>Annex</w:t>
    </w:r>
    <w:proofErr w:type="spellEnd"/>
    <w:r w:rsidR="007911D5">
      <w:rPr>
        <w:b w:val="0"/>
        <w:i/>
        <w:sz w:val="20"/>
      </w:rPr>
      <w:t xml:space="preserve"> 3</w:t>
    </w:r>
    <w:r>
      <w:rPr>
        <w:b w:val="0"/>
        <w:i/>
        <w:sz w:val="20"/>
      </w:rPr>
      <w:t xml:space="preserve"> (C)</w:t>
    </w:r>
  </w:p>
  <w:p w:rsidR="00A2540A" w:rsidRPr="00531FA0" w:rsidRDefault="00A2540A" w:rsidP="008274F7">
    <w:pPr>
      <w:rPr>
        <w:i/>
        <w:szCs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0A" w:rsidRPr="00A329EC" w:rsidRDefault="00A2540A" w:rsidP="00245E18">
    <w:pPr>
      <w:pStyle w:val="Heading1"/>
      <w:keepNext w:val="0"/>
      <w:pBdr>
        <w:bottom w:val="single" w:sz="4" w:space="1" w:color="auto"/>
      </w:pBdr>
      <w:tabs>
        <w:tab w:val="clear" w:pos="-720"/>
      </w:tabs>
      <w:ind w:left="261" w:right="-2" w:hanging="261"/>
      <w:rPr>
        <w:b w:val="0"/>
        <w:i/>
        <w:sz w:val="20"/>
        <w:szCs w:val="20"/>
      </w:rPr>
    </w:pPr>
    <w:r>
      <w:rPr>
        <w:b w:val="0"/>
        <w:i/>
        <w:sz w:val="20"/>
      </w:rPr>
      <w:t>UNEP/CMS/COP12/Doc.14.2</w:t>
    </w:r>
  </w:p>
  <w:p w:rsidR="00A2540A" w:rsidRPr="00DD1886" w:rsidRDefault="00A2540A" w:rsidP="00A27BE3">
    <w:pPr>
      <w:jc w:val="right"/>
      <w:rPr>
        <w:i/>
        <w:szCs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11" w:rsidRPr="00CB7511" w:rsidRDefault="00CB7511" w:rsidP="00CB7511">
    <w:pPr>
      <w:pStyle w:val="Header"/>
      <w:pBdr>
        <w:bottom w:val="single" w:sz="4" w:space="1" w:color="auto"/>
      </w:pBdr>
      <w:jc w:val="right"/>
      <w:rPr>
        <w:rFonts w:cs="Arial"/>
        <w:i/>
        <w:szCs w:val="18"/>
        <w:lang w:val="en-US"/>
      </w:rPr>
    </w:pPr>
    <w:r w:rsidRPr="00CB7511">
      <w:rPr>
        <w:i/>
        <w:lang w:val="en-US"/>
      </w:rPr>
      <w:t>UNEP/CMS/COP12/Doc.14.2/</w:t>
    </w:r>
    <w:proofErr w:type="spellStart"/>
    <w:r w:rsidRPr="00CB7511">
      <w:rPr>
        <w:i/>
        <w:lang w:val="en-US"/>
      </w:rPr>
      <w:t>Anexo</w:t>
    </w:r>
    <w:proofErr w:type="spellEnd"/>
    <w:r w:rsidRPr="00CB7511">
      <w:rPr>
        <w:i/>
        <w:lang w:val="en-US"/>
      </w:rPr>
      <w:t xml:space="preserve"> 3</w:t>
    </w:r>
    <w:r>
      <w:rPr>
        <w:i/>
        <w:lang w:val="en-US"/>
      </w:rPr>
      <w:t xml:space="preserve"> (C</w:t>
    </w:r>
    <w:r w:rsidRPr="00CB7511">
      <w:rPr>
        <w:i/>
        <w:lang w:val="en-US"/>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65" w:rsidRPr="00110065" w:rsidRDefault="00110065" w:rsidP="008274F7">
    <w:pPr>
      <w:pStyle w:val="Heading1"/>
      <w:keepNext w:val="0"/>
      <w:pBdr>
        <w:bottom w:val="single" w:sz="4" w:space="1" w:color="auto"/>
      </w:pBdr>
      <w:tabs>
        <w:tab w:val="clear" w:pos="-720"/>
      </w:tabs>
      <w:ind w:left="261" w:right="-2" w:hanging="261"/>
      <w:rPr>
        <w:b w:val="0"/>
        <w:i/>
        <w:sz w:val="18"/>
        <w:szCs w:val="18"/>
      </w:rPr>
    </w:pPr>
    <w:r w:rsidRPr="00110065">
      <w:rPr>
        <w:b w:val="0"/>
        <w:i/>
        <w:sz w:val="18"/>
        <w:szCs w:val="18"/>
      </w:rPr>
      <w:t>UNEP/CMS/COP11/Doc.14.2</w:t>
    </w:r>
    <w:r>
      <w:rPr>
        <w:b w:val="0"/>
        <w:i/>
        <w:sz w:val="18"/>
        <w:szCs w:val="18"/>
      </w:rPr>
      <w:t>/Anexo</w:t>
    </w:r>
    <w:r w:rsidRPr="00110065">
      <w:rPr>
        <w:b w:val="0"/>
        <w:i/>
        <w:sz w:val="18"/>
        <w:szCs w:val="18"/>
      </w:rPr>
      <w:t xml:space="preserve"> 3 (D)</w:t>
    </w:r>
  </w:p>
  <w:p w:rsidR="00110065" w:rsidRPr="00531FA0" w:rsidRDefault="00110065" w:rsidP="008274F7">
    <w:pPr>
      <w:rPr>
        <w:i/>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0A" w:rsidRPr="00497E66" w:rsidRDefault="00A2540A" w:rsidP="00922791">
    <w:pPr>
      <w:pStyle w:val="Heading1"/>
      <w:keepNext w:val="0"/>
      <w:pBdr>
        <w:bottom w:val="single" w:sz="4" w:space="1" w:color="auto"/>
      </w:pBdr>
      <w:tabs>
        <w:tab w:val="clear" w:pos="-720"/>
      </w:tabs>
      <w:ind w:left="261" w:right="-277" w:hanging="261"/>
      <w:jc w:val="right"/>
      <w:rPr>
        <w:rFonts w:cs="Arial"/>
        <w:b w:val="0"/>
        <w:i/>
        <w:sz w:val="18"/>
        <w:szCs w:val="18"/>
      </w:rPr>
    </w:pPr>
    <w:r>
      <w:rPr>
        <w:b w:val="0"/>
        <w:i/>
        <w:sz w:val="18"/>
      </w:rPr>
      <w:t>UNEP/CMS/COP12/Doc.14.2</w:t>
    </w:r>
  </w:p>
  <w:p w:rsidR="00A2540A" w:rsidRPr="00497E66" w:rsidRDefault="00A2540A" w:rsidP="00A27BE3">
    <w:pPr>
      <w:jc w:val="right"/>
      <w:rPr>
        <w:i/>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65" w:rsidRPr="00110065" w:rsidRDefault="00110065" w:rsidP="00110065">
    <w:pPr>
      <w:pStyle w:val="Heading1"/>
      <w:keepNext w:val="0"/>
      <w:pBdr>
        <w:bottom w:val="single" w:sz="4" w:space="1" w:color="auto"/>
      </w:pBdr>
      <w:tabs>
        <w:tab w:val="clear" w:pos="-720"/>
      </w:tabs>
      <w:ind w:left="261" w:right="-2" w:hanging="261"/>
      <w:jc w:val="right"/>
      <w:rPr>
        <w:b w:val="0"/>
        <w:i/>
        <w:sz w:val="18"/>
        <w:szCs w:val="18"/>
      </w:rPr>
    </w:pPr>
    <w:r w:rsidRPr="00110065">
      <w:rPr>
        <w:b w:val="0"/>
        <w:i/>
        <w:sz w:val="18"/>
        <w:szCs w:val="18"/>
      </w:rPr>
      <w:t>UNEP/CMS/COP12/Doc.14.2/</w:t>
    </w:r>
    <w:r>
      <w:rPr>
        <w:b w:val="0"/>
        <w:i/>
        <w:sz w:val="18"/>
        <w:szCs w:val="18"/>
      </w:rPr>
      <w:t>An</w:t>
    </w:r>
    <w:r w:rsidRPr="00110065">
      <w:rPr>
        <w:b w:val="0"/>
        <w:i/>
        <w:sz w:val="18"/>
        <w:szCs w:val="18"/>
      </w:rPr>
      <w:t>ex</w:t>
    </w:r>
    <w:r>
      <w:rPr>
        <w:b w:val="0"/>
        <w:i/>
        <w:sz w:val="18"/>
        <w:szCs w:val="18"/>
      </w:rPr>
      <w:t>o</w:t>
    </w:r>
    <w:r w:rsidR="00A81BD3">
      <w:rPr>
        <w:b w:val="0"/>
        <w:i/>
        <w:sz w:val="18"/>
        <w:szCs w:val="18"/>
      </w:rPr>
      <w:t xml:space="preserve"> 3</w:t>
    </w:r>
    <w:r w:rsidRPr="00110065">
      <w:rPr>
        <w:b w:val="0"/>
        <w:i/>
        <w:sz w:val="18"/>
        <w:szCs w:val="18"/>
      </w:rPr>
      <w:t xml:space="preserve"> (D)</w:t>
    </w:r>
  </w:p>
  <w:p w:rsidR="00110065" w:rsidRPr="00DD1886" w:rsidRDefault="00110065" w:rsidP="00A27BE3">
    <w:pPr>
      <w:jc w:val="right"/>
      <w:rPr>
        <w:i/>
        <w:szCs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D5" w:rsidRPr="00CB7511" w:rsidRDefault="007911D5" w:rsidP="00CB7511">
    <w:pPr>
      <w:pStyle w:val="Header"/>
      <w:pBdr>
        <w:bottom w:val="single" w:sz="4" w:space="1" w:color="auto"/>
      </w:pBdr>
      <w:jc w:val="right"/>
      <w:rPr>
        <w:rFonts w:cs="Arial"/>
        <w:i/>
        <w:szCs w:val="18"/>
        <w:lang w:val="en-US"/>
      </w:rPr>
    </w:pPr>
    <w:r w:rsidRPr="00CB7511">
      <w:rPr>
        <w:i/>
        <w:lang w:val="en-US"/>
      </w:rPr>
      <w:t>UNEP/CMS/COP12/Doc.14.2/</w:t>
    </w:r>
    <w:proofErr w:type="spellStart"/>
    <w:r w:rsidRPr="00CB7511">
      <w:rPr>
        <w:i/>
        <w:lang w:val="en-US"/>
      </w:rPr>
      <w:t>Anexo</w:t>
    </w:r>
    <w:proofErr w:type="spellEnd"/>
    <w:r w:rsidRPr="00CB7511">
      <w:rPr>
        <w:i/>
        <w:lang w:val="en-US"/>
      </w:rPr>
      <w:t xml:space="preserve"> 3</w:t>
    </w:r>
    <w:r>
      <w:rPr>
        <w:i/>
        <w:lang w:val="en-US"/>
      </w:rPr>
      <w:t xml:space="preserve"> (D</w:t>
    </w:r>
    <w:r w:rsidRPr="00CB7511">
      <w:rPr>
        <w:i/>
        <w:lang w:val="en-US"/>
      </w:rP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65" w:rsidRPr="00110065" w:rsidRDefault="00110065" w:rsidP="00CB7511">
    <w:pPr>
      <w:pStyle w:val="Header"/>
      <w:pBdr>
        <w:bottom w:val="single" w:sz="4" w:space="1" w:color="auto"/>
      </w:pBdr>
      <w:jc w:val="right"/>
      <w:rPr>
        <w:rFonts w:cs="Arial"/>
        <w:i/>
        <w:szCs w:val="18"/>
      </w:rPr>
    </w:pPr>
    <w:r w:rsidRPr="00110065">
      <w:rPr>
        <w:i/>
      </w:rPr>
      <w:t>UNEP/CMS/COP12/Doc.14.2/Anexo 3 (E)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65" w:rsidRPr="00110065" w:rsidRDefault="00110065" w:rsidP="00CB7511">
    <w:pPr>
      <w:pStyle w:val="Header"/>
      <w:pBdr>
        <w:bottom w:val="single" w:sz="4" w:space="1" w:color="auto"/>
      </w:pBdr>
      <w:jc w:val="right"/>
      <w:rPr>
        <w:rFonts w:cs="Arial"/>
        <w:i/>
        <w:szCs w:val="18"/>
      </w:rPr>
    </w:pPr>
    <w:r w:rsidRPr="00110065">
      <w:rPr>
        <w:i/>
      </w:rPr>
      <w:t>U</w:t>
    </w:r>
    <w:r>
      <w:rPr>
        <w:i/>
      </w:rPr>
      <w:t>NEP/CMS/COP12/Doc.14.2/Anexo 4</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A1D" w:rsidRPr="00110065" w:rsidRDefault="005E2A1D" w:rsidP="005E2A1D">
    <w:pPr>
      <w:pStyle w:val="Header"/>
      <w:pBdr>
        <w:bottom w:val="single" w:sz="4" w:space="1" w:color="auto"/>
      </w:pBdr>
      <w:rPr>
        <w:rFonts w:cs="Arial"/>
        <w:i/>
        <w:szCs w:val="18"/>
      </w:rPr>
    </w:pPr>
    <w:r w:rsidRPr="00110065">
      <w:rPr>
        <w:i/>
      </w:rPr>
      <w:t>U</w:t>
    </w:r>
    <w:r>
      <w:rPr>
        <w:i/>
      </w:rPr>
      <w:t>NEP/CMS/COP12/Doc.14.2/Anexo 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0A" w:rsidRDefault="00A73A58" w:rsidP="00894D19">
    <w:pPr>
      <w:pStyle w:val="Header"/>
    </w:pPr>
    <w:r>
      <w:rPr>
        <w:noProof/>
        <w:lang w:val="en-US" w:eastAsia="en-US"/>
      </w:rPr>
      <w:drawing>
        <wp:anchor distT="0" distB="0" distL="114300" distR="114300" simplePos="0" relativeHeight="251658240" behindDoc="1" locked="0" layoutInCell="1" allowOverlap="1">
          <wp:simplePos x="0" y="0"/>
          <wp:positionH relativeFrom="column">
            <wp:posOffset>-175260</wp:posOffset>
          </wp:positionH>
          <wp:positionV relativeFrom="paragraph">
            <wp:posOffset>-64770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1" locked="0" layoutInCell="1" allowOverlap="1">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p>
  <w:p w:rsidR="00A2540A" w:rsidRDefault="00A254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0A" w:rsidRPr="00D605A4" w:rsidRDefault="00A2540A" w:rsidP="00C81FEF">
    <w:pPr>
      <w:pStyle w:val="Header"/>
      <w:pBdr>
        <w:bottom w:val="single" w:sz="4" w:space="1" w:color="auto"/>
      </w:pBdr>
      <w:rPr>
        <w:rFonts w:cs="Arial"/>
        <w:i/>
        <w:szCs w:val="18"/>
      </w:rPr>
    </w:pPr>
    <w:r>
      <w:rPr>
        <w:i/>
      </w:rPr>
      <w:t>UNEP/CMS/COP12/Doc.14.2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0A" w:rsidRPr="000D59F2" w:rsidRDefault="00A2540A" w:rsidP="002A0A1C">
    <w:pPr>
      <w:pStyle w:val="Header"/>
      <w:pBdr>
        <w:bottom w:val="single" w:sz="4" w:space="1" w:color="auto"/>
      </w:pBdr>
      <w:jc w:val="right"/>
      <w:rPr>
        <w:rFonts w:cs="Arial"/>
        <w:i/>
        <w:szCs w:val="18"/>
        <w:lang w:val="en-US"/>
      </w:rPr>
    </w:pPr>
    <w:r w:rsidRPr="000D59F2">
      <w:rPr>
        <w:i/>
        <w:lang w:val="en-US"/>
      </w:rPr>
      <w:t>UNEP/CMS/COP12/Doc.14.2/</w:t>
    </w:r>
    <w:proofErr w:type="spellStart"/>
    <w:r w:rsidRPr="000D59F2">
      <w:rPr>
        <w:i/>
        <w:lang w:val="en-US"/>
      </w:rPr>
      <w:t>Anexo</w:t>
    </w:r>
    <w:proofErr w:type="spellEnd"/>
    <w:r w:rsidRPr="000D59F2">
      <w:rPr>
        <w:i/>
        <w:lang w:val="en-US"/>
      </w:rPr>
      <w:t xml:space="preserve"> 1</w:t>
    </w:r>
    <w:r w:rsidR="000D59F2" w:rsidRPr="000D59F2">
      <w:rPr>
        <w:i/>
        <w:lang w:val="en-US"/>
      </w:rPr>
      <w:t xml:space="preserve">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0A" w:rsidRPr="000D59F2" w:rsidRDefault="00A2540A" w:rsidP="002A0A1C">
    <w:pPr>
      <w:pStyle w:val="Header"/>
      <w:pBdr>
        <w:bottom w:val="single" w:sz="4" w:space="1" w:color="auto"/>
      </w:pBdr>
      <w:jc w:val="right"/>
      <w:rPr>
        <w:rFonts w:cs="Arial"/>
        <w:i/>
        <w:szCs w:val="18"/>
        <w:lang w:val="en-US"/>
      </w:rPr>
    </w:pPr>
    <w:r w:rsidRPr="000D59F2">
      <w:rPr>
        <w:i/>
        <w:lang w:val="en-US"/>
      </w:rPr>
      <w:t>UNEP/CMS/COP12/Doc.14.2/</w:t>
    </w:r>
    <w:proofErr w:type="spellStart"/>
    <w:r w:rsidRPr="000D59F2">
      <w:rPr>
        <w:i/>
        <w:lang w:val="en-US"/>
      </w:rPr>
      <w:t>Anexo</w:t>
    </w:r>
    <w:proofErr w:type="spellEnd"/>
    <w:r w:rsidRPr="000D59F2">
      <w:rPr>
        <w:i/>
        <w:lang w:val="en-US"/>
      </w:rPr>
      <w:t xml:space="preserve"> 1</w:t>
    </w:r>
    <w:r w:rsidR="000D59F2" w:rsidRPr="000D59F2">
      <w:rPr>
        <w:i/>
        <w:lang w:val="en-US"/>
      </w:rPr>
      <w:t xml:space="preserve"> (B)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0A" w:rsidRPr="00D605A4" w:rsidRDefault="00A2540A" w:rsidP="002A0A1C">
    <w:pPr>
      <w:pStyle w:val="Header"/>
      <w:pBdr>
        <w:bottom w:val="single" w:sz="4" w:space="1" w:color="auto"/>
      </w:pBdr>
      <w:jc w:val="right"/>
      <w:rPr>
        <w:rFonts w:cs="Arial"/>
        <w:i/>
        <w:szCs w:val="18"/>
      </w:rPr>
    </w:pPr>
    <w:r>
      <w:rPr>
        <w:i/>
      </w:rPr>
      <w:t>UNEP/CMS/COP12/Doc.14.2/Anexo 1</w:t>
    </w:r>
    <w:r w:rsidR="000D59F2">
      <w:rPr>
        <w:i/>
      </w:rPr>
      <w:t xml:space="preserve"> (C)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53C" w:rsidRPr="000E4A8D" w:rsidRDefault="00DA553C" w:rsidP="00922791">
    <w:pPr>
      <w:pStyle w:val="Heading1"/>
      <w:keepNext w:val="0"/>
      <w:pBdr>
        <w:bottom w:val="single" w:sz="4" w:space="1" w:color="auto"/>
      </w:pBdr>
      <w:tabs>
        <w:tab w:val="clear" w:pos="-720"/>
      </w:tabs>
      <w:ind w:left="261" w:right="-277" w:hanging="261"/>
      <w:rPr>
        <w:rFonts w:cs="Arial"/>
        <w:b w:val="0"/>
        <w:i/>
        <w:sz w:val="18"/>
        <w:szCs w:val="18"/>
        <w:lang w:val="fr-FR"/>
      </w:rPr>
    </w:pPr>
    <w:r w:rsidRPr="000E4A8D">
      <w:rPr>
        <w:b w:val="0"/>
        <w:i/>
        <w:sz w:val="18"/>
        <w:lang w:val="fr-FR"/>
      </w:rPr>
      <w:t>U</w:t>
    </w:r>
    <w:r>
      <w:rPr>
        <w:b w:val="0"/>
        <w:i/>
        <w:sz w:val="18"/>
        <w:lang w:val="fr-FR"/>
      </w:rPr>
      <w:t>NEP/CMS/COP12/Doc.4.2</w:t>
    </w:r>
    <w:r w:rsidR="005F26DC">
      <w:rPr>
        <w:b w:val="0"/>
        <w:i/>
        <w:sz w:val="18"/>
        <w:lang w:val="fr-FR"/>
      </w:rPr>
      <w:t>/</w:t>
    </w:r>
    <w:proofErr w:type="spellStart"/>
    <w:r w:rsidR="005F26DC">
      <w:rPr>
        <w:b w:val="0"/>
        <w:i/>
        <w:sz w:val="18"/>
        <w:lang w:val="fr-FR"/>
      </w:rPr>
      <w:t>Anexo</w:t>
    </w:r>
    <w:proofErr w:type="spellEnd"/>
    <w:r w:rsidR="005F26DC">
      <w:rPr>
        <w:b w:val="0"/>
        <w:i/>
        <w:sz w:val="18"/>
        <w:lang w:val="fr-FR"/>
      </w:rPr>
      <w:t xml:space="preserv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40A" w:rsidRPr="00497E66" w:rsidRDefault="00A2540A" w:rsidP="00922791">
    <w:pPr>
      <w:pStyle w:val="Heading1"/>
      <w:keepNext w:val="0"/>
      <w:pBdr>
        <w:bottom w:val="single" w:sz="4" w:space="1" w:color="auto"/>
      </w:pBdr>
      <w:tabs>
        <w:tab w:val="clear" w:pos="-720"/>
      </w:tabs>
      <w:ind w:left="261" w:right="-277" w:hanging="261"/>
      <w:jc w:val="right"/>
      <w:rPr>
        <w:rFonts w:cs="Arial"/>
        <w:b w:val="0"/>
        <w:i/>
        <w:sz w:val="18"/>
        <w:szCs w:val="18"/>
      </w:rPr>
    </w:pPr>
    <w:r>
      <w:rPr>
        <w:b w:val="0"/>
        <w:i/>
        <w:sz w:val="18"/>
      </w:rPr>
      <w:t>UNEP/CMS/COP12/Doc.14.2/Anexo 2</w:t>
    </w:r>
  </w:p>
  <w:p w:rsidR="00A2540A" w:rsidRPr="00497E66" w:rsidRDefault="00A2540A" w:rsidP="00A27BE3">
    <w:pPr>
      <w:jc w:val="right"/>
      <w:rPr>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7742C9F"/>
    <w:multiLevelType w:val="hybridMultilevel"/>
    <w:tmpl w:val="FB184B80"/>
    <w:lvl w:ilvl="0" w:tplc="EFB0B254">
      <w:start w:val="1"/>
      <w:numFmt w:val="bullet"/>
      <w:lvlText w:val="•"/>
      <w:lvlJc w:val="left"/>
      <w:pPr>
        <w:tabs>
          <w:tab w:val="num" w:pos="720"/>
        </w:tabs>
        <w:ind w:left="720" w:hanging="360"/>
      </w:pPr>
      <w:rPr>
        <w:rFonts w:ascii="Times New Roman" w:hAnsi="Times New Roman" w:hint="default"/>
      </w:rPr>
    </w:lvl>
    <w:lvl w:ilvl="1" w:tplc="C3007CF4" w:tentative="1">
      <w:start w:val="1"/>
      <w:numFmt w:val="bullet"/>
      <w:lvlText w:val="•"/>
      <w:lvlJc w:val="left"/>
      <w:pPr>
        <w:tabs>
          <w:tab w:val="num" w:pos="1440"/>
        </w:tabs>
        <w:ind w:left="1440" w:hanging="360"/>
      </w:pPr>
      <w:rPr>
        <w:rFonts w:ascii="Times New Roman" w:hAnsi="Times New Roman" w:hint="default"/>
      </w:rPr>
    </w:lvl>
    <w:lvl w:ilvl="2" w:tplc="22904096" w:tentative="1">
      <w:start w:val="1"/>
      <w:numFmt w:val="bullet"/>
      <w:lvlText w:val="•"/>
      <w:lvlJc w:val="left"/>
      <w:pPr>
        <w:tabs>
          <w:tab w:val="num" w:pos="2160"/>
        </w:tabs>
        <w:ind w:left="2160" w:hanging="360"/>
      </w:pPr>
      <w:rPr>
        <w:rFonts w:ascii="Times New Roman" w:hAnsi="Times New Roman" w:hint="default"/>
      </w:rPr>
    </w:lvl>
    <w:lvl w:ilvl="3" w:tplc="4F54C602" w:tentative="1">
      <w:start w:val="1"/>
      <w:numFmt w:val="bullet"/>
      <w:lvlText w:val="•"/>
      <w:lvlJc w:val="left"/>
      <w:pPr>
        <w:tabs>
          <w:tab w:val="num" w:pos="2880"/>
        </w:tabs>
        <w:ind w:left="2880" w:hanging="360"/>
      </w:pPr>
      <w:rPr>
        <w:rFonts w:ascii="Times New Roman" w:hAnsi="Times New Roman" w:hint="default"/>
      </w:rPr>
    </w:lvl>
    <w:lvl w:ilvl="4" w:tplc="C5FC05BA" w:tentative="1">
      <w:start w:val="1"/>
      <w:numFmt w:val="bullet"/>
      <w:lvlText w:val="•"/>
      <w:lvlJc w:val="left"/>
      <w:pPr>
        <w:tabs>
          <w:tab w:val="num" w:pos="3600"/>
        </w:tabs>
        <w:ind w:left="3600" w:hanging="360"/>
      </w:pPr>
      <w:rPr>
        <w:rFonts w:ascii="Times New Roman" w:hAnsi="Times New Roman" w:hint="default"/>
      </w:rPr>
    </w:lvl>
    <w:lvl w:ilvl="5" w:tplc="1FD6CDB6" w:tentative="1">
      <w:start w:val="1"/>
      <w:numFmt w:val="bullet"/>
      <w:lvlText w:val="•"/>
      <w:lvlJc w:val="left"/>
      <w:pPr>
        <w:tabs>
          <w:tab w:val="num" w:pos="4320"/>
        </w:tabs>
        <w:ind w:left="4320" w:hanging="360"/>
      </w:pPr>
      <w:rPr>
        <w:rFonts w:ascii="Times New Roman" w:hAnsi="Times New Roman" w:hint="default"/>
      </w:rPr>
    </w:lvl>
    <w:lvl w:ilvl="6" w:tplc="42006DFA" w:tentative="1">
      <w:start w:val="1"/>
      <w:numFmt w:val="bullet"/>
      <w:lvlText w:val="•"/>
      <w:lvlJc w:val="left"/>
      <w:pPr>
        <w:tabs>
          <w:tab w:val="num" w:pos="5040"/>
        </w:tabs>
        <w:ind w:left="5040" w:hanging="360"/>
      </w:pPr>
      <w:rPr>
        <w:rFonts w:ascii="Times New Roman" w:hAnsi="Times New Roman" w:hint="default"/>
      </w:rPr>
    </w:lvl>
    <w:lvl w:ilvl="7" w:tplc="6D58661A" w:tentative="1">
      <w:start w:val="1"/>
      <w:numFmt w:val="bullet"/>
      <w:lvlText w:val="•"/>
      <w:lvlJc w:val="left"/>
      <w:pPr>
        <w:tabs>
          <w:tab w:val="num" w:pos="5760"/>
        </w:tabs>
        <w:ind w:left="5760" w:hanging="360"/>
      </w:pPr>
      <w:rPr>
        <w:rFonts w:ascii="Times New Roman" w:hAnsi="Times New Roman" w:hint="default"/>
      </w:rPr>
    </w:lvl>
    <w:lvl w:ilvl="8" w:tplc="79ECB90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09FB0B68"/>
    <w:multiLevelType w:val="hybridMultilevel"/>
    <w:tmpl w:val="5568F8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B06581"/>
    <w:multiLevelType w:val="hybridMultilevel"/>
    <w:tmpl w:val="CDCCBE4E"/>
    <w:lvl w:ilvl="0" w:tplc="9B98B5E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D1A4039"/>
    <w:multiLevelType w:val="hybridMultilevel"/>
    <w:tmpl w:val="0F8E0730"/>
    <w:lvl w:ilvl="0" w:tplc="0FE63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E3C66"/>
    <w:multiLevelType w:val="hybridMultilevel"/>
    <w:tmpl w:val="A85099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F364F6"/>
    <w:multiLevelType w:val="hybridMultilevel"/>
    <w:tmpl w:val="BC4E7ABE"/>
    <w:lvl w:ilvl="0" w:tplc="1918EF58">
      <w:start w:val="1"/>
      <w:numFmt w:val="decimal"/>
      <w:lvlText w:val="%1."/>
      <w:lvlJc w:val="left"/>
      <w:pPr>
        <w:ind w:left="1068" w:hanging="708"/>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D8E7743"/>
    <w:multiLevelType w:val="hybridMultilevel"/>
    <w:tmpl w:val="DC924B64"/>
    <w:lvl w:ilvl="0" w:tplc="5DE0DFC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0EC24B6"/>
    <w:multiLevelType w:val="hybridMultilevel"/>
    <w:tmpl w:val="006CAA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F54D7"/>
    <w:multiLevelType w:val="hybridMultilevel"/>
    <w:tmpl w:val="14846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26759F"/>
    <w:multiLevelType w:val="hybridMultilevel"/>
    <w:tmpl w:val="534CF7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261A7B17"/>
    <w:multiLevelType w:val="hybridMultilevel"/>
    <w:tmpl w:val="057CA4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508A1"/>
    <w:multiLevelType w:val="hybridMultilevel"/>
    <w:tmpl w:val="6D90C6A6"/>
    <w:lvl w:ilvl="0" w:tplc="B06EE33A">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7D50A0"/>
    <w:multiLevelType w:val="hybridMultilevel"/>
    <w:tmpl w:val="E5FA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B1140"/>
    <w:multiLevelType w:val="hybridMultilevel"/>
    <w:tmpl w:val="E932EAE6"/>
    <w:lvl w:ilvl="0" w:tplc="22E292B2">
      <w:start w:val="1"/>
      <w:numFmt w:val="lowerLetter"/>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6" w15:restartNumberingAfterBreak="0">
    <w:nsid w:val="342B1693"/>
    <w:multiLevelType w:val="hybridMultilevel"/>
    <w:tmpl w:val="4484F3CE"/>
    <w:lvl w:ilvl="0" w:tplc="DCFAF0E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D8005F"/>
    <w:multiLevelType w:val="hybridMultilevel"/>
    <w:tmpl w:val="46DA800A"/>
    <w:lvl w:ilvl="0" w:tplc="693A5174">
      <w:start w:val="1"/>
      <w:numFmt w:val="decimal"/>
      <w:pStyle w:val="Normalnumber"/>
      <w:lvlText w:val="%1."/>
      <w:lvlJc w:val="left"/>
      <w:pPr>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7A0372A"/>
    <w:multiLevelType w:val="multilevel"/>
    <w:tmpl w:val="D9926594"/>
    <w:lvl w:ilvl="0">
      <w:start w:val="1"/>
      <w:numFmt w:val="decimal"/>
      <w:lvlText w:val="%1."/>
      <w:lvlJc w:val="left"/>
      <w:pPr>
        <w:ind w:left="360" w:hanging="360"/>
      </w:pPr>
      <w:rPr>
        <w:rFonts w:cs="Times New Roman"/>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9" w15:restartNumberingAfterBreak="0">
    <w:nsid w:val="39814C97"/>
    <w:multiLevelType w:val="hybridMultilevel"/>
    <w:tmpl w:val="86804250"/>
    <w:lvl w:ilvl="0" w:tplc="53A2BD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205A92"/>
    <w:multiLevelType w:val="hybridMultilevel"/>
    <w:tmpl w:val="A8FAE8F4"/>
    <w:lvl w:ilvl="0" w:tplc="66E03A5E">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943C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E200771"/>
    <w:multiLevelType w:val="hybridMultilevel"/>
    <w:tmpl w:val="D97261F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15:restartNumberingAfterBreak="0">
    <w:nsid w:val="423520E6"/>
    <w:multiLevelType w:val="hybridMultilevel"/>
    <w:tmpl w:val="FBF6CD04"/>
    <w:lvl w:ilvl="0" w:tplc="46CC6668">
      <w:start w:val="1"/>
      <w:numFmt w:val="lowerLetter"/>
      <w:lvlText w:val="%1)"/>
      <w:lvlJc w:val="left"/>
      <w:pPr>
        <w:ind w:left="1065" w:hanging="7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7BB1525"/>
    <w:multiLevelType w:val="hybridMultilevel"/>
    <w:tmpl w:val="D828185A"/>
    <w:lvl w:ilvl="0" w:tplc="88E8A85E">
      <w:start w:val="1"/>
      <w:numFmt w:val="bullet"/>
      <w:lvlText w:val="•"/>
      <w:lvlJc w:val="left"/>
      <w:pPr>
        <w:tabs>
          <w:tab w:val="num" w:pos="720"/>
        </w:tabs>
        <w:ind w:left="720" w:hanging="360"/>
      </w:pPr>
      <w:rPr>
        <w:rFonts w:ascii="Times New Roman" w:hAnsi="Times New Roman" w:hint="default"/>
      </w:rPr>
    </w:lvl>
    <w:lvl w:ilvl="1" w:tplc="CB589F40" w:tentative="1">
      <w:start w:val="1"/>
      <w:numFmt w:val="bullet"/>
      <w:lvlText w:val="•"/>
      <w:lvlJc w:val="left"/>
      <w:pPr>
        <w:tabs>
          <w:tab w:val="num" w:pos="1440"/>
        </w:tabs>
        <w:ind w:left="1440" w:hanging="360"/>
      </w:pPr>
      <w:rPr>
        <w:rFonts w:ascii="Times New Roman" w:hAnsi="Times New Roman" w:hint="default"/>
      </w:rPr>
    </w:lvl>
    <w:lvl w:ilvl="2" w:tplc="E04207F6" w:tentative="1">
      <w:start w:val="1"/>
      <w:numFmt w:val="bullet"/>
      <w:lvlText w:val="•"/>
      <w:lvlJc w:val="left"/>
      <w:pPr>
        <w:tabs>
          <w:tab w:val="num" w:pos="2160"/>
        </w:tabs>
        <w:ind w:left="2160" w:hanging="360"/>
      </w:pPr>
      <w:rPr>
        <w:rFonts w:ascii="Times New Roman" w:hAnsi="Times New Roman" w:hint="default"/>
      </w:rPr>
    </w:lvl>
    <w:lvl w:ilvl="3" w:tplc="E6A62F8C" w:tentative="1">
      <w:start w:val="1"/>
      <w:numFmt w:val="bullet"/>
      <w:lvlText w:val="•"/>
      <w:lvlJc w:val="left"/>
      <w:pPr>
        <w:tabs>
          <w:tab w:val="num" w:pos="2880"/>
        </w:tabs>
        <w:ind w:left="2880" w:hanging="360"/>
      </w:pPr>
      <w:rPr>
        <w:rFonts w:ascii="Times New Roman" w:hAnsi="Times New Roman" w:hint="default"/>
      </w:rPr>
    </w:lvl>
    <w:lvl w:ilvl="4" w:tplc="6B3EA2FE" w:tentative="1">
      <w:start w:val="1"/>
      <w:numFmt w:val="bullet"/>
      <w:lvlText w:val="•"/>
      <w:lvlJc w:val="left"/>
      <w:pPr>
        <w:tabs>
          <w:tab w:val="num" w:pos="3600"/>
        </w:tabs>
        <w:ind w:left="3600" w:hanging="360"/>
      </w:pPr>
      <w:rPr>
        <w:rFonts w:ascii="Times New Roman" w:hAnsi="Times New Roman" w:hint="default"/>
      </w:rPr>
    </w:lvl>
    <w:lvl w:ilvl="5" w:tplc="5D34F8EC" w:tentative="1">
      <w:start w:val="1"/>
      <w:numFmt w:val="bullet"/>
      <w:lvlText w:val="•"/>
      <w:lvlJc w:val="left"/>
      <w:pPr>
        <w:tabs>
          <w:tab w:val="num" w:pos="4320"/>
        </w:tabs>
        <w:ind w:left="4320" w:hanging="360"/>
      </w:pPr>
      <w:rPr>
        <w:rFonts w:ascii="Times New Roman" w:hAnsi="Times New Roman" w:hint="default"/>
      </w:rPr>
    </w:lvl>
    <w:lvl w:ilvl="6" w:tplc="2ED4FCD8" w:tentative="1">
      <w:start w:val="1"/>
      <w:numFmt w:val="bullet"/>
      <w:lvlText w:val="•"/>
      <w:lvlJc w:val="left"/>
      <w:pPr>
        <w:tabs>
          <w:tab w:val="num" w:pos="5040"/>
        </w:tabs>
        <w:ind w:left="5040" w:hanging="360"/>
      </w:pPr>
      <w:rPr>
        <w:rFonts w:ascii="Times New Roman" w:hAnsi="Times New Roman" w:hint="default"/>
      </w:rPr>
    </w:lvl>
    <w:lvl w:ilvl="7" w:tplc="9EDA7CF4" w:tentative="1">
      <w:start w:val="1"/>
      <w:numFmt w:val="bullet"/>
      <w:lvlText w:val="•"/>
      <w:lvlJc w:val="left"/>
      <w:pPr>
        <w:tabs>
          <w:tab w:val="num" w:pos="5760"/>
        </w:tabs>
        <w:ind w:left="5760" w:hanging="360"/>
      </w:pPr>
      <w:rPr>
        <w:rFonts w:ascii="Times New Roman" w:hAnsi="Times New Roman" w:hint="default"/>
      </w:rPr>
    </w:lvl>
    <w:lvl w:ilvl="8" w:tplc="22C4FCD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9AF0AA2"/>
    <w:multiLevelType w:val="hybridMultilevel"/>
    <w:tmpl w:val="AED81518"/>
    <w:lvl w:ilvl="0" w:tplc="213ED04C">
      <w:start w:val="1"/>
      <w:numFmt w:val="upperRoman"/>
      <w:lvlText w:val="%1."/>
      <w:lvlJc w:val="left"/>
      <w:pPr>
        <w:ind w:left="720" w:hanging="720"/>
      </w:pPr>
      <w:rPr>
        <w:rFonts w:cs="Times New Roman" w:hint="default"/>
      </w:rPr>
    </w:lvl>
    <w:lvl w:ilvl="1" w:tplc="0409000F">
      <w:start w:val="1"/>
      <w:numFmt w:val="decimal"/>
      <w:lvlText w:val="%2."/>
      <w:lvlJc w:val="left"/>
      <w:pPr>
        <w:ind w:left="1080" w:hanging="360"/>
      </w:pPr>
      <w:rPr>
        <w:rFonts w:cs="Times New Roman"/>
      </w:rPr>
    </w:lvl>
    <w:lvl w:ilvl="2" w:tplc="22E292B2">
      <w:start w:val="1"/>
      <w:numFmt w:val="lowerLetter"/>
      <w:lvlText w:val="(%3)"/>
      <w:lvlJc w:val="left"/>
      <w:pPr>
        <w:ind w:left="1800" w:hanging="180"/>
      </w:pPr>
      <w:rPr>
        <w:rFonts w:cs="Times New Roman" w:hint="default"/>
      </w:rPr>
    </w:lvl>
    <w:lvl w:ilvl="3" w:tplc="0F242C34">
      <w:start w:val="1"/>
      <w:numFmt w:val="lowerRoman"/>
      <w:lvlText w:val="%4)"/>
      <w:lvlJc w:val="left"/>
      <w:pPr>
        <w:ind w:left="2880" w:hanging="720"/>
      </w:pPr>
      <w:rPr>
        <w:rFonts w:cs="Times New Roman" w:hint="default"/>
      </w:rPr>
    </w:lvl>
    <w:lvl w:ilvl="4" w:tplc="B378BADA">
      <w:start w:val="66"/>
      <w:numFmt w:val="decimal"/>
      <w:lvlText w:val="%5"/>
      <w:lvlJc w:val="left"/>
      <w:pPr>
        <w:ind w:left="3240" w:hanging="360"/>
      </w:pPr>
      <w:rPr>
        <w:rFonts w:cs="Times New Roman" w:hint="default"/>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4D8E7DA8"/>
    <w:multiLevelType w:val="hybridMultilevel"/>
    <w:tmpl w:val="F0D2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F1D1C"/>
    <w:multiLevelType w:val="hybridMultilevel"/>
    <w:tmpl w:val="6B86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C66B8"/>
    <w:multiLevelType w:val="hybridMultilevel"/>
    <w:tmpl w:val="3514A81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15:restartNumberingAfterBreak="0">
    <w:nsid w:val="55A154FD"/>
    <w:multiLevelType w:val="hybridMultilevel"/>
    <w:tmpl w:val="28D61EFA"/>
    <w:lvl w:ilvl="0" w:tplc="0409000F">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73E28BB"/>
    <w:multiLevelType w:val="hybridMultilevel"/>
    <w:tmpl w:val="AB9C14DC"/>
    <w:lvl w:ilvl="0" w:tplc="53A2BD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A07D63"/>
    <w:multiLevelType w:val="hybridMultilevel"/>
    <w:tmpl w:val="234EB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DA342E"/>
    <w:multiLevelType w:val="hybridMultilevel"/>
    <w:tmpl w:val="A8C40F76"/>
    <w:lvl w:ilvl="0" w:tplc="B61E1D4E">
      <w:start w:val="2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6A10986"/>
    <w:multiLevelType w:val="hybridMultilevel"/>
    <w:tmpl w:val="28C21982"/>
    <w:lvl w:ilvl="0" w:tplc="D6DC51AE">
      <w:start w:val="1"/>
      <w:numFmt w:val="decimal"/>
      <w:lvlText w:val="%1."/>
      <w:lvlJc w:val="left"/>
      <w:pPr>
        <w:tabs>
          <w:tab w:val="num" w:pos="2495"/>
        </w:tabs>
        <w:ind w:left="1247" w:firstLine="624"/>
      </w:pPr>
      <w:rPr>
        <w:rFonts w:cs="Times New Roman" w:hint="default"/>
      </w:rPr>
    </w:lvl>
    <w:lvl w:ilvl="1" w:tplc="74BA6BA6">
      <w:start w:val="1"/>
      <w:numFmt w:val="lowerRoman"/>
      <w:lvlText w:val="(%2)"/>
      <w:lvlJc w:val="left"/>
      <w:pPr>
        <w:tabs>
          <w:tab w:val="num" w:pos="3742"/>
        </w:tabs>
        <w:ind w:left="3119"/>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903B67"/>
    <w:multiLevelType w:val="hybridMultilevel"/>
    <w:tmpl w:val="1BDAF9B6"/>
    <w:lvl w:ilvl="0" w:tplc="70E2F8DC">
      <w:start w:val="1"/>
      <w:numFmt w:val="lowerLetter"/>
      <w:lvlText w:val="(%1)"/>
      <w:lvlJc w:val="left"/>
      <w:pPr>
        <w:tabs>
          <w:tab w:val="num" w:pos="1065"/>
        </w:tabs>
        <w:ind w:left="1065" w:hanging="705"/>
      </w:pPr>
      <w:rPr>
        <w:rFonts w:cs="Times New Roman" w:hint="default"/>
      </w:rPr>
    </w:lvl>
    <w:lvl w:ilvl="1" w:tplc="9FA874C2">
      <w:start w:val="1"/>
      <w:numFmt w:val="lowerRoman"/>
      <w:lvlText w:val="%2)"/>
      <w:lvlJc w:val="left"/>
      <w:pPr>
        <w:tabs>
          <w:tab w:val="num" w:pos="1800"/>
        </w:tabs>
        <w:ind w:left="1800" w:hanging="720"/>
      </w:pPr>
      <w:rPr>
        <w:rFonts w:cs="Times New Roman" w:hint="default"/>
      </w:rPr>
    </w:lvl>
    <w:lvl w:ilvl="2" w:tplc="3AAE734A">
      <w:start w:val="1"/>
      <w:numFmt w:val="lowerLetter"/>
      <w:lvlText w:val="%3)"/>
      <w:lvlJc w:val="left"/>
      <w:pPr>
        <w:tabs>
          <w:tab w:val="num" w:pos="2340"/>
        </w:tabs>
        <w:ind w:left="2340" w:hanging="360"/>
      </w:pPr>
      <w:rPr>
        <w:rFonts w:cs="Times New Roman" w:hint="default"/>
      </w:rPr>
    </w:lvl>
    <w:lvl w:ilvl="3" w:tplc="69B84244">
      <w:start w:val="1"/>
      <w:numFmt w:val="decimal"/>
      <w:lvlText w:val="%4."/>
      <w:lvlJc w:val="left"/>
      <w:pPr>
        <w:ind w:left="3240" w:hanging="720"/>
      </w:pPr>
      <w:rPr>
        <w:rFonts w:cs="Times New Roman"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9A23F83"/>
    <w:multiLevelType w:val="hybridMultilevel"/>
    <w:tmpl w:val="A6DA6EC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6" w15:restartNumberingAfterBreak="0">
    <w:nsid w:val="6AAF7842"/>
    <w:multiLevelType w:val="hybridMultilevel"/>
    <w:tmpl w:val="C1323E3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7" w15:restartNumberingAfterBreak="0">
    <w:nsid w:val="6E865523"/>
    <w:multiLevelType w:val="hybridMultilevel"/>
    <w:tmpl w:val="D4C2A12A"/>
    <w:lvl w:ilvl="0" w:tplc="B9BC0456">
      <w:start w:val="1"/>
      <w:numFmt w:val="lowerRoman"/>
      <w:lvlText w:val="%1)"/>
      <w:lvlJc w:val="left"/>
      <w:pPr>
        <w:ind w:left="1344" w:hanging="720"/>
      </w:pPr>
      <w:rPr>
        <w:rFonts w:cs="Times New Roman" w:hint="default"/>
      </w:rPr>
    </w:lvl>
    <w:lvl w:ilvl="1" w:tplc="04090019" w:tentative="1">
      <w:start w:val="1"/>
      <w:numFmt w:val="lowerLetter"/>
      <w:lvlText w:val="%2."/>
      <w:lvlJc w:val="left"/>
      <w:pPr>
        <w:ind w:left="1704" w:hanging="360"/>
      </w:pPr>
      <w:rPr>
        <w:rFonts w:cs="Times New Roman"/>
      </w:rPr>
    </w:lvl>
    <w:lvl w:ilvl="2" w:tplc="0409001B" w:tentative="1">
      <w:start w:val="1"/>
      <w:numFmt w:val="lowerRoman"/>
      <w:lvlText w:val="%3."/>
      <w:lvlJc w:val="right"/>
      <w:pPr>
        <w:ind w:left="2424" w:hanging="180"/>
      </w:pPr>
      <w:rPr>
        <w:rFonts w:cs="Times New Roman"/>
      </w:rPr>
    </w:lvl>
    <w:lvl w:ilvl="3" w:tplc="0409000F" w:tentative="1">
      <w:start w:val="1"/>
      <w:numFmt w:val="decimal"/>
      <w:lvlText w:val="%4."/>
      <w:lvlJc w:val="left"/>
      <w:pPr>
        <w:ind w:left="3144" w:hanging="360"/>
      </w:pPr>
      <w:rPr>
        <w:rFonts w:cs="Times New Roman"/>
      </w:rPr>
    </w:lvl>
    <w:lvl w:ilvl="4" w:tplc="04090019" w:tentative="1">
      <w:start w:val="1"/>
      <w:numFmt w:val="lowerLetter"/>
      <w:lvlText w:val="%5."/>
      <w:lvlJc w:val="left"/>
      <w:pPr>
        <w:ind w:left="3864" w:hanging="360"/>
      </w:pPr>
      <w:rPr>
        <w:rFonts w:cs="Times New Roman"/>
      </w:rPr>
    </w:lvl>
    <w:lvl w:ilvl="5" w:tplc="0409001B" w:tentative="1">
      <w:start w:val="1"/>
      <w:numFmt w:val="lowerRoman"/>
      <w:lvlText w:val="%6."/>
      <w:lvlJc w:val="right"/>
      <w:pPr>
        <w:ind w:left="4584" w:hanging="180"/>
      </w:pPr>
      <w:rPr>
        <w:rFonts w:cs="Times New Roman"/>
      </w:rPr>
    </w:lvl>
    <w:lvl w:ilvl="6" w:tplc="0409000F" w:tentative="1">
      <w:start w:val="1"/>
      <w:numFmt w:val="decimal"/>
      <w:lvlText w:val="%7."/>
      <w:lvlJc w:val="left"/>
      <w:pPr>
        <w:ind w:left="5304" w:hanging="360"/>
      </w:pPr>
      <w:rPr>
        <w:rFonts w:cs="Times New Roman"/>
      </w:rPr>
    </w:lvl>
    <w:lvl w:ilvl="7" w:tplc="04090019" w:tentative="1">
      <w:start w:val="1"/>
      <w:numFmt w:val="lowerLetter"/>
      <w:lvlText w:val="%8."/>
      <w:lvlJc w:val="left"/>
      <w:pPr>
        <w:ind w:left="6024" w:hanging="360"/>
      </w:pPr>
      <w:rPr>
        <w:rFonts w:cs="Times New Roman"/>
      </w:rPr>
    </w:lvl>
    <w:lvl w:ilvl="8" w:tplc="0409001B" w:tentative="1">
      <w:start w:val="1"/>
      <w:numFmt w:val="lowerRoman"/>
      <w:lvlText w:val="%9."/>
      <w:lvlJc w:val="right"/>
      <w:pPr>
        <w:ind w:left="6744" w:hanging="180"/>
      </w:pPr>
      <w:rPr>
        <w:rFonts w:cs="Times New Roman"/>
      </w:rPr>
    </w:lvl>
  </w:abstractNum>
  <w:abstractNum w:abstractNumId="38" w15:restartNumberingAfterBreak="0">
    <w:nsid w:val="6E8C2E16"/>
    <w:multiLevelType w:val="hybridMultilevel"/>
    <w:tmpl w:val="5D40E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F4D84"/>
    <w:multiLevelType w:val="hybridMultilevel"/>
    <w:tmpl w:val="246EF864"/>
    <w:lvl w:ilvl="0" w:tplc="3DE259DE">
      <w:start w:val="1"/>
      <w:numFmt w:val="lowerLetter"/>
      <w:lvlText w:val="%1)"/>
      <w:lvlJc w:val="left"/>
      <w:pPr>
        <w:ind w:left="705" w:hanging="70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72D950F4"/>
    <w:multiLevelType w:val="hybridMultilevel"/>
    <w:tmpl w:val="CE08B468"/>
    <w:lvl w:ilvl="0" w:tplc="0FE63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360EF"/>
    <w:multiLevelType w:val="hybridMultilevel"/>
    <w:tmpl w:val="7C8EC210"/>
    <w:lvl w:ilvl="0" w:tplc="9E26C080">
      <w:start w:val="7"/>
      <w:numFmt w:val="decimal"/>
      <w:lvlText w:val="%1"/>
      <w:lvlJc w:val="left"/>
      <w:pPr>
        <w:ind w:left="504" w:hanging="14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43325CD"/>
    <w:multiLevelType w:val="hybridMultilevel"/>
    <w:tmpl w:val="D530303C"/>
    <w:lvl w:ilvl="0" w:tplc="53A2BD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A72ACE"/>
    <w:multiLevelType w:val="hybridMultilevel"/>
    <w:tmpl w:val="CBE0C6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7BB12B3"/>
    <w:multiLevelType w:val="hybridMultilevel"/>
    <w:tmpl w:val="C6740224"/>
    <w:lvl w:ilvl="0" w:tplc="B06EE33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A75B1"/>
    <w:multiLevelType w:val="hybridMultilevel"/>
    <w:tmpl w:val="D1BE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36076D"/>
    <w:multiLevelType w:val="hybridMultilevel"/>
    <w:tmpl w:val="3AA2A316"/>
    <w:lvl w:ilvl="0" w:tplc="7C3A19F6">
      <w:start w:val="1"/>
      <w:numFmt w:val="lowerLetter"/>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7" w15:restartNumberingAfterBreak="0">
    <w:nsid w:val="7E3048CE"/>
    <w:multiLevelType w:val="hybridMultilevel"/>
    <w:tmpl w:val="89C27324"/>
    <w:lvl w:ilvl="0" w:tplc="B61E1D4E">
      <w:start w:val="2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EAB30AC"/>
    <w:multiLevelType w:val="hybridMultilevel"/>
    <w:tmpl w:val="CA584E76"/>
    <w:lvl w:ilvl="0" w:tplc="ECF05164">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43"/>
  </w:num>
  <w:num w:numId="12">
    <w:abstractNumId w:val="27"/>
  </w:num>
  <w:num w:numId="13">
    <w:abstractNumId w:val="13"/>
  </w:num>
  <w:num w:numId="14">
    <w:abstractNumId w:val="40"/>
  </w:num>
  <w:num w:numId="15">
    <w:abstractNumId w:val="29"/>
  </w:num>
  <w:num w:numId="16">
    <w:abstractNumId w:val="34"/>
  </w:num>
  <w:num w:numId="17">
    <w:abstractNumId w:val="41"/>
  </w:num>
  <w:num w:numId="18">
    <w:abstractNumId w:val="39"/>
  </w:num>
  <w:num w:numId="19">
    <w:abstractNumId w:val="23"/>
  </w:num>
  <w:num w:numId="20">
    <w:abstractNumId w:val="37"/>
  </w:num>
  <w:num w:numId="21">
    <w:abstractNumId w:val="25"/>
  </w:num>
  <w:num w:numId="22">
    <w:abstractNumId w:val="15"/>
  </w:num>
  <w:num w:numId="23">
    <w:abstractNumId w:val="19"/>
  </w:num>
  <w:num w:numId="24">
    <w:abstractNumId w:val="42"/>
  </w:num>
  <w:num w:numId="25">
    <w:abstractNumId w:val="30"/>
  </w:num>
  <w:num w:numId="26">
    <w:abstractNumId w:val="33"/>
  </w:num>
  <w:num w:numId="27">
    <w:abstractNumId w:val="32"/>
  </w:num>
  <w:num w:numId="28">
    <w:abstractNumId w:val="48"/>
  </w:num>
  <w:num w:numId="29">
    <w:abstractNumId w:val="47"/>
  </w:num>
  <w:num w:numId="30">
    <w:abstractNumId w:val="16"/>
  </w:num>
  <w:num w:numId="31">
    <w:abstractNumId w:val="7"/>
  </w:num>
  <w:num w:numId="32">
    <w:abstractNumId w:val="26"/>
  </w:num>
  <w:num w:numId="33">
    <w:abstractNumId w:val="24"/>
  </w:num>
  <w:num w:numId="34">
    <w:abstractNumId w:val="21"/>
  </w:num>
  <w:num w:numId="35">
    <w:abstractNumId w:val="20"/>
  </w:num>
  <w:num w:numId="36">
    <w:abstractNumId w:val="45"/>
  </w:num>
  <w:num w:numId="37">
    <w:abstractNumId w:val="3"/>
  </w:num>
  <w:num w:numId="38">
    <w:abstractNumId w:val="12"/>
  </w:num>
  <w:num w:numId="39">
    <w:abstractNumId w:val="44"/>
  </w:num>
  <w:num w:numId="40">
    <w:abstractNumId w:val="1"/>
  </w:num>
  <w:num w:numId="41">
    <w:abstractNumId w:val="17"/>
  </w:num>
  <w:num w:numId="42">
    <w:abstractNumId w:val="14"/>
  </w:num>
  <w:num w:numId="43">
    <w:abstractNumId w:val="31"/>
  </w:num>
  <w:num w:numId="44">
    <w:abstractNumId w:val="9"/>
  </w:num>
  <w:num w:numId="45">
    <w:abstractNumId w:val="6"/>
  </w:num>
  <w:num w:numId="46">
    <w:abstractNumId w:val="10"/>
  </w:num>
  <w:num w:numId="47">
    <w:abstractNumId w:val="4"/>
  </w:num>
  <w:num w:numId="48">
    <w:abstractNumId w:val="8"/>
  </w:num>
  <w:num w:numId="49">
    <w:abstractNumId w:val="2"/>
  </w:num>
  <w:num w:numId="5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1871"/>
    <w:rsid w:val="00015E07"/>
    <w:rsid w:val="000254DF"/>
    <w:rsid w:val="00031A88"/>
    <w:rsid w:val="0003449E"/>
    <w:rsid w:val="00036C53"/>
    <w:rsid w:val="00047EF3"/>
    <w:rsid w:val="000518C2"/>
    <w:rsid w:val="00056DC1"/>
    <w:rsid w:val="000572E8"/>
    <w:rsid w:val="00060156"/>
    <w:rsid w:val="00070BBC"/>
    <w:rsid w:val="00073C92"/>
    <w:rsid w:val="00080F03"/>
    <w:rsid w:val="0008223A"/>
    <w:rsid w:val="00084C8D"/>
    <w:rsid w:val="000900E1"/>
    <w:rsid w:val="0009076A"/>
    <w:rsid w:val="000B16A8"/>
    <w:rsid w:val="000B4138"/>
    <w:rsid w:val="000B4A25"/>
    <w:rsid w:val="000B6220"/>
    <w:rsid w:val="000C21B1"/>
    <w:rsid w:val="000C3C87"/>
    <w:rsid w:val="000C7460"/>
    <w:rsid w:val="000D59F2"/>
    <w:rsid w:val="000E01C1"/>
    <w:rsid w:val="000E4A8D"/>
    <w:rsid w:val="000F0B93"/>
    <w:rsid w:val="000F1156"/>
    <w:rsid w:val="000F52BA"/>
    <w:rsid w:val="00110065"/>
    <w:rsid w:val="001111A9"/>
    <w:rsid w:val="001151A3"/>
    <w:rsid w:val="001245DF"/>
    <w:rsid w:val="00130BFD"/>
    <w:rsid w:val="001419C7"/>
    <w:rsid w:val="00150AC4"/>
    <w:rsid w:val="00162D88"/>
    <w:rsid w:val="00166ABA"/>
    <w:rsid w:val="001743FD"/>
    <w:rsid w:val="001764E6"/>
    <w:rsid w:val="001808F1"/>
    <w:rsid w:val="001A33B6"/>
    <w:rsid w:val="001C069F"/>
    <w:rsid w:val="001C6038"/>
    <w:rsid w:val="001E0D2C"/>
    <w:rsid w:val="001F60A1"/>
    <w:rsid w:val="00200759"/>
    <w:rsid w:val="00200A67"/>
    <w:rsid w:val="00201F88"/>
    <w:rsid w:val="00202332"/>
    <w:rsid w:val="0021034C"/>
    <w:rsid w:val="002210F4"/>
    <w:rsid w:val="002244F9"/>
    <w:rsid w:val="00224DAD"/>
    <w:rsid w:val="00232C88"/>
    <w:rsid w:val="0024082A"/>
    <w:rsid w:val="00245E18"/>
    <w:rsid w:val="00254721"/>
    <w:rsid w:val="00257709"/>
    <w:rsid w:val="00263159"/>
    <w:rsid w:val="00265960"/>
    <w:rsid w:val="002779F7"/>
    <w:rsid w:val="00287939"/>
    <w:rsid w:val="00292B9F"/>
    <w:rsid w:val="002A0A1C"/>
    <w:rsid w:val="002A211E"/>
    <w:rsid w:val="002A380C"/>
    <w:rsid w:val="002C187A"/>
    <w:rsid w:val="002C20F1"/>
    <w:rsid w:val="002D2863"/>
    <w:rsid w:val="002D5EC0"/>
    <w:rsid w:val="002D63C6"/>
    <w:rsid w:val="002E3DEA"/>
    <w:rsid w:val="002E498D"/>
    <w:rsid w:val="002E7CC2"/>
    <w:rsid w:val="002F50FF"/>
    <w:rsid w:val="002F6F9B"/>
    <w:rsid w:val="003029A7"/>
    <w:rsid w:val="00304DF6"/>
    <w:rsid w:val="00323938"/>
    <w:rsid w:val="0033299A"/>
    <w:rsid w:val="003331C6"/>
    <w:rsid w:val="00345044"/>
    <w:rsid w:val="00351095"/>
    <w:rsid w:val="00354A9C"/>
    <w:rsid w:val="00364973"/>
    <w:rsid w:val="00364C8C"/>
    <w:rsid w:val="00372347"/>
    <w:rsid w:val="003779D4"/>
    <w:rsid w:val="00382398"/>
    <w:rsid w:val="003909E4"/>
    <w:rsid w:val="003A3E30"/>
    <w:rsid w:val="003A70FE"/>
    <w:rsid w:val="003B0C35"/>
    <w:rsid w:val="003B219E"/>
    <w:rsid w:val="003B50CD"/>
    <w:rsid w:val="003B5DB4"/>
    <w:rsid w:val="003E21B3"/>
    <w:rsid w:val="00411E65"/>
    <w:rsid w:val="00412DE9"/>
    <w:rsid w:val="00414E42"/>
    <w:rsid w:val="00420040"/>
    <w:rsid w:val="00423388"/>
    <w:rsid w:val="00426D73"/>
    <w:rsid w:val="0044105F"/>
    <w:rsid w:val="00454913"/>
    <w:rsid w:val="00457441"/>
    <w:rsid w:val="004579F6"/>
    <w:rsid w:val="00463516"/>
    <w:rsid w:val="004656D0"/>
    <w:rsid w:val="00465B53"/>
    <w:rsid w:val="00473ABD"/>
    <w:rsid w:val="004816AE"/>
    <w:rsid w:val="00482DCA"/>
    <w:rsid w:val="004941D3"/>
    <w:rsid w:val="00497E66"/>
    <w:rsid w:val="004B6CFD"/>
    <w:rsid w:val="004C204D"/>
    <w:rsid w:val="004D0436"/>
    <w:rsid w:val="004D0936"/>
    <w:rsid w:val="004E0206"/>
    <w:rsid w:val="004E7ED7"/>
    <w:rsid w:val="004F243D"/>
    <w:rsid w:val="004F3D8D"/>
    <w:rsid w:val="00502DE0"/>
    <w:rsid w:val="005076F1"/>
    <w:rsid w:val="00512B91"/>
    <w:rsid w:val="005158EB"/>
    <w:rsid w:val="0052082F"/>
    <w:rsid w:val="00531FA0"/>
    <w:rsid w:val="00542FCC"/>
    <w:rsid w:val="0055762E"/>
    <w:rsid w:val="00565445"/>
    <w:rsid w:val="00575334"/>
    <w:rsid w:val="00593736"/>
    <w:rsid w:val="00597F6A"/>
    <w:rsid w:val="005A3181"/>
    <w:rsid w:val="005B0F06"/>
    <w:rsid w:val="005B6141"/>
    <w:rsid w:val="005C3F15"/>
    <w:rsid w:val="005E2A1D"/>
    <w:rsid w:val="005F26DC"/>
    <w:rsid w:val="005F3989"/>
    <w:rsid w:val="005F4303"/>
    <w:rsid w:val="005F7B20"/>
    <w:rsid w:val="00601B52"/>
    <w:rsid w:val="0060280B"/>
    <w:rsid w:val="00604422"/>
    <w:rsid w:val="00620809"/>
    <w:rsid w:val="00623F5D"/>
    <w:rsid w:val="00624DCF"/>
    <w:rsid w:val="00651341"/>
    <w:rsid w:val="00666F8B"/>
    <w:rsid w:val="006815B2"/>
    <w:rsid w:val="006826E0"/>
    <w:rsid w:val="00682B31"/>
    <w:rsid w:val="006864E1"/>
    <w:rsid w:val="00691001"/>
    <w:rsid w:val="006B1037"/>
    <w:rsid w:val="006E56AD"/>
    <w:rsid w:val="006E5763"/>
    <w:rsid w:val="007101BB"/>
    <w:rsid w:val="007109FA"/>
    <w:rsid w:val="00713308"/>
    <w:rsid w:val="00725A91"/>
    <w:rsid w:val="00727E01"/>
    <w:rsid w:val="00745222"/>
    <w:rsid w:val="007459B2"/>
    <w:rsid w:val="00752E19"/>
    <w:rsid w:val="00757614"/>
    <w:rsid w:val="00762DCF"/>
    <w:rsid w:val="007728B4"/>
    <w:rsid w:val="0077622E"/>
    <w:rsid w:val="00777FE4"/>
    <w:rsid w:val="00784ACA"/>
    <w:rsid w:val="0079075D"/>
    <w:rsid w:val="007910DD"/>
    <w:rsid w:val="007911D5"/>
    <w:rsid w:val="00794C7C"/>
    <w:rsid w:val="007B06AB"/>
    <w:rsid w:val="007B3BDE"/>
    <w:rsid w:val="007C1468"/>
    <w:rsid w:val="007C41D7"/>
    <w:rsid w:val="007F16FB"/>
    <w:rsid w:val="007F1BBA"/>
    <w:rsid w:val="0081600F"/>
    <w:rsid w:val="0082722D"/>
    <w:rsid w:val="008272AF"/>
    <w:rsid w:val="008274F7"/>
    <w:rsid w:val="00840C78"/>
    <w:rsid w:val="008441F9"/>
    <w:rsid w:val="00846A99"/>
    <w:rsid w:val="008641D1"/>
    <w:rsid w:val="00870FB9"/>
    <w:rsid w:val="00872F67"/>
    <w:rsid w:val="008879C1"/>
    <w:rsid w:val="008879E9"/>
    <w:rsid w:val="00893346"/>
    <w:rsid w:val="00894D19"/>
    <w:rsid w:val="008A0D8D"/>
    <w:rsid w:val="008A2911"/>
    <w:rsid w:val="008B1A69"/>
    <w:rsid w:val="008C1A39"/>
    <w:rsid w:val="008D1B43"/>
    <w:rsid w:val="008E5183"/>
    <w:rsid w:val="008E7DFB"/>
    <w:rsid w:val="008F58F6"/>
    <w:rsid w:val="008F7327"/>
    <w:rsid w:val="0090059C"/>
    <w:rsid w:val="00903B7F"/>
    <w:rsid w:val="009076C8"/>
    <w:rsid w:val="00915BBE"/>
    <w:rsid w:val="00921D62"/>
    <w:rsid w:val="00922791"/>
    <w:rsid w:val="00927CD6"/>
    <w:rsid w:val="00933572"/>
    <w:rsid w:val="009363C7"/>
    <w:rsid w:val="00943230"/>
    <w:rsid w:val="00972D36"/>
    <w:rsid w:val="00973BFB"/>
    <w:rsid w:val="00980406"/>
    <w:rsid w:val="009878EA"/>
    <w:rsid w:val="00994621"/>
    <w:rsid w:val="00996D85"/>
    <w:rsid w:val="009A2C8F"/>
    <w:rsid w:val="009A7B65"/>
    <w:rsid w:val="009D2AD6"/>
    <w:rsid w:val="009D3A07"/>
    <w:rsid w:val="009D4711"/>
    <w:rsid w:val="009D5DA6"/>
    <w:rsid w:val="009E3A84"/>
    <w:rsid w:val="009E72D7"/>
    <w:rsid w:val="009E7ACC"/>
    <w:rsid w:val="009F450E"/>
    <w:rsid w:val="009F4A8E"/>
    <w:rsid w:val="009F54DA"/>
    <w:rsid w:val="00A04629"/>
    <w:rsid w:val="00A06984"/>
    <w:rsid w:val="00A1324E"/>
    <w:rsid w:val="00A14313"/>
    <w:rsid w:val="00A15B6E"/>
    <w:rsid w:val="00A24D10"/>
    <w:rsid w:val="00A2540A"/>
    <w:rsid w:val="00A27BE3"/>
    <w:rsid w:val="00A31802"/>
    <w:rsid w:val="00A329EC"/>
    <w:rsid w:val="00A339B9"/>
    <w:rsid w:val="00A40EDF"/>
    <w:rsid w:val="00A568DF"/>
    <w:rsid w:val="00A6744B"/>
    <w:rsid w:val="00A73A58"/>
    <w:rsid w:val="00A73A79"/>
    <w:rsid w:val="00A81BD3"/>
    <w:rsid w:val="00A91EF1"/>
    <w:rsid w:val="00A93C52"/>
    <w:rsid w:val="00AA7368"/>
    <w:rsid w:val="00AB4FF9"/>
    <w:rsid w:val="00AD0FE5"/>
    <w:rsid w:val="00AE7B21"/>
    <w:rsid w:val="00AF1980"/>
    <w:rsid w:val="00AF2021"/>
    <w:rsid w:val="00B016F8"/>
    <w:rsid w:val="00B025B7"/>
    <w:rsid w:val="00B0532A"/>
    <w:rsid w:val="00B26BEF"/>
    <w:rsid w:val="00B471BD"/>
    <w:rsid w:val="00B50C2D"/>
    <w:rsid w:val="00B63B8C"/>
    <w:rsid w:val="00B64904"/>
    <w:rsid w:val="00B721C9"/>
    <w:rsid w:val="00B8489E"/>
    <w:rsid w:val="00BA5709"/>
    <w:rsid w:val="00BA60CE"/>
    <w:rsid w:val="00BB5243"/>
    <w:rsid w:val="00BB7AB8"/>
    <w:rsid w:val="00BC5607"/>
    <w:rsid w:val="00BE0D1D"/>
    <w:rsid w:val="00BE2448"/>
    <w:rsid w:val="00BE24D4"/>
    <w:rsid w:val="00BF2BE7"/>
    <w:rsid w:val="00BF4512"/>
    <w:rsid w:val="00C05102"/>
    <w:rsid w:val="00C13FA6"/>
    <w:rsid w:val="00C169ED"/>
    <w:rsid w:val="00C44645"/>
    <w:rsid w:val="00C5484D"/>
    <w:rsid w:val="00C618F2"/>
    <w:rsid w:val="00C73207"/>
    <w:rsid w:val="00C7602A"/>
    <w:rsid w:val="00C81FEF"/>
    <w:rsid w:val="00C82160"/>
    <w:rsid w:val="00C82ED9"/>
    <w:rsid w:val="00C840D0"/>
    <w:rsid w:val="00C87D68"/>
    <w:rsid w:val="00C9281B"/>
    <w:rsid w:val="00C95F3E"/>
    <w:rsid w:val="00CA367A"/>
    <w:rsid w:val="00CB1D26"/>
    <w:rsid w:val="00CB7511"/>
    <w:rsid w:val="00CC4C21"/>
    <w:rsid w:val="00CC57AD"/>
    <w:rsid w:val="00CD0FE9"/>
    <w:rsid w:val="00CD7355"/>
    <w:rsid w:val="00CE5B83"/>
    <w:rsid w:val="00CF6EDD"/>
    <w:rsid w:val="00D03D59"/>
    <w:rsid w:val="00D05922"/>
    <w:rsid w:val="00D107A3"/>
    <w:rsid w:val="00D137F2"/>
    <w:rsid w:val="00D147EA"/>
    <w:rsid w:val="00D21383"/>
    <w:rsid w:val="00D42AE1"/>
    <w:rsid w:val="00D46C91"/>
    <w:rsid w:val="00D52FC4"/>
    <w:rsid w:val="00D605A4"/>
    <w:rsid w:val="00D61B13"/>
    <w:rsid w:val="00D7746A"/>
    <w:rsid w:val="00D838FE"/>
    <w:rsid w:val="00D8406F"/>
    <w:rsid w:val="00D859C7"/>
    <w:rsid w:val="00D9021F"/>
    <w:rsid w:val="00DA1080"/>
    <w:rsid w:val="00DA12C2"/>
    <w:rsid w:val="00DA1F72"/>
    <w:rsid w:val="00DA28FC"/>
    <w:rsid w:val="00DA553C"/>
    <w:rsid w:val="00DB30A6"/>
    <w:rsid w:val="00DD1886"/>
    <w:rsid w:val="00DD6A9E"/>
    <w:rsid w:val="00DF5AF6"/>
    <w:rsid w:val="00DF6B58"/>
    <w:rsid w:val="00E0707E"/>
    <w:rsid w:val="00E23367"/>
    <w:rsid w:val="00E31569"/>
    <w:rsid w:val="00E31B92"/>
    <w:rsid w:val="00E475D4"/>
    <w:rsid w:val="00E63237"/>
    <w:rsid w:val="00E74D1C"/>
    <w:rsid w:val="00E8776E"/>
    <w:rsid w:val="00E9237A"/>
    <w:rsid w:val="00EA0B88"/>
    <w:rsid w:val="00EB2285"/>
    <w:rsid w:val="00EB2527"/>
    <w:rsid w:val="00EB6574"/>
    <w:rsid w:val="00EC4294"/>
    <w:rsid w:val="00EC681E"/>
    <w:rsid w:val="00ED02D3"/>
    <w:rsid w:val="00ED477B"/>
    <w:rsid w:val="00ED5E31"/>
    <w:rsid w:val="00EE4815"/>
    <w:rsid w:val="00EE64C1"/>
    <w:rsid w:val="00F05AA0"/>
    <w:rsid w:val="00F061CB"/>
    <w:rsid w:val="00F11793"/>
    <w:rsid w:val="00F24050"/>
    <w:rsid w:val="00F248AA"/>
    <w:rsid w:val="00F31539"/>
    <w:rsid w:val="00F444EC"/>
    <w:rsid w:val="00F45FE3"/>
    <w:rsid w:val="00F54D03"/>
    <w:rsid w:val="00F632C8"/>
    <w:rsid w:val="00F6347A"/>
    <w:rsid w:val="00F74711"/>
    <w:rsid w:val="00F7503A"/>
    <w:rsid w:val="00F81FEF"/>
    <w:rsid w:val="00F978B9"/>
    <w:rsid w:val="00FA61AF"/>
    <w:rsid w:val="00FA750B"/>
    <w:rsid w:val="00FB2C17"/>
    <w:rsid w:val="00FB2E22"/>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2A5CEE7"/>
  <w14:defaultImageDpi w14:val="0"/>
  <w15:docId w15:val="{F3CAE5D5-D2BB-4632-B80A-BC1D6FC2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it-IT" w:eastAsia="it-IT"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 w:val="18"/>
      <w:szCs w:val="24"/>
      <w:lang w:val="es-ES" w:eastAsia="es-ES"/>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s-ES" w:eastAsia="es-ES"/>
    </w:rPr>
  </w:style>
  <w:style w:type="character" w:customStyle="1" w:styleId="Heading2Char">
    <w:name w:val="Heading 2 Char"/>
    <w:basedOn w:val="DefaultParagraphFont"/>
    <w:link w:val="Heading2"/>
    <w:uiPriority w:val="99"/>
    <w:locked/>
    <w:rPr>
      <w:rFonts w:ascii="Cambria" w:hAnsi="Cambria"/>
      <w:b/>
      <w:i/>
      <w:sz w:val="28"/>
      <w:lang w:val="es-ES" w:eastAsia="es-ES"/>
    </w:rPr>
  </w:style>
  <w:style w:type="character" w:customStyle="1" w:styleId="Heading3Char">
    <w:name w:val="Heading 3 Char"/>
    <w:basedOn w:val="DefaultParagraphFont"/>
    <w:link w:val="Heading3"/>
    <w:uiPriority w:val="99"/>
    <w:locked/>
    <w:rPr>
      <w:rFonts w:ascii="Cambria" w:hAnsi="Cambria"/>
      <w:b/>
      <w:sz w:val="26"/>
      <w:lang w:val="es-ES" w:eastAsia="es-ES"/>
    </w:rPr>
  </w:style>
  <w:style w:type="character" w:customStyle="1" w:styleId="Heading4Char">
    <w:name w:val="Heading 4 Char"/>
    <w:basedOn w:val="DefaultParagraphFont"/>
    <w:link w:val="Heading4"/>
    <w:uiPriority w:val="99"/>
    <w:semiHidden/>
    <w:locked/>
    <w:rPr>
      <w:rFonts w:ascii="Calibri" w:hAnsi="Calibri"/>
      <w:b/>
      <w:sz w:val="28"/>
      <w:lang w:val="es-ES" w:eastAsia="es-ES"/>
    </w:rPr>
  </w:style>
  <w:style w:type="character" w:customStyle="1" w:styleId="Heading5Char">
    <w:name w:val="Heading 5 Char"/>
    <w:basedOn w:val="DefaultParagraphFont"/>
    <w:link w:val="Heading5"/>
    <w:uiPriority w:val="99"/>
    <w:semiHidden/>
    <w:locked/>
    <w:rPr>
      <w:rFonts w:ascii="Calibri" w:hAnsi="Calibri"/>
      <w:b/>
      <w:i/>
      <w:sz w:val="26"/>
      <w:lang w:val="es-ES" w:eastAsia="es-ES"/>
    </w:rPr>
  </w:style>
  <w:style w:type="character" w:customStyle="1" w:styleId="Heading6Char">
    <w:name w:val="Heading 6 Char"/>
    <w:basedOn w:val="DefaultParagraphFont"/>
    <w:link w:val="Heading6"/>
    <w:uiPriority w:val="99"/>
    <w:semiHidden/>
    <w:locked/>
    <w:rPr>
      <w:rFonts w:ascii="Calibri" w:hAnsi="Calibri"/>
      <w:b/>
      <w:lang w:val="es-ES" w:eastAsia="es-ES"/>
    </w:rPr>
  </w:style>
  <w:style w:type="character" w:customStyle="1" w:styleId="Heading7Char">
    <w:name w:val="Heading 7 Char"/>
    <w:basedOn w:val="DefaultParagraphFont"/>
    <w:link w:val="Heading7"/>
    <w:uiPriority w:val="99"/>
    <w:semiHidden/>
    <w:locked/>
    <w:rPr>
      <w:rFonts w:ascii="Calibri" w:hAnsi="Calibri"/>
      <w:sz w:val="24"/>
      <w:lang w:val="es-ES" w:eastAsia="es-ES"/>
    </w:rPr>
  </w:style>
  <w:style w:type="character" w:customStyle="1" w:styleId="Heading8Char">
    <w:name w:val="Heading 8 Char"/>
    <w:basedOn w:val="DefaultParagraphFont"/>
    <w:link w:val="Heading8"/>
    <w:uiPriority w:val="99"/>
    <w:semiHidden/>
    <w:locked/>
    <w:rPr>
      <w:rFonts w:ascii="Calibri" w:hAnsi="Calibri"/>
      <w:i/>
      <w:sz w:val="24"/>
      <w:lang w:val="es-ES" w:eastAsia="es-ES"/>
    </w:rPr>
  </w:style>
  <w:style w:type="character" w:customStyle="1" w:styleId="Heading9Char">
    <w:name w:val="Heading 9 Char"/>
    <w:basedOn w:val="DefaultParagraphFont"/>
    <w:link w:val="Heading9"/>
    <w:uiPriority w:val="99"/>
    <w:semiHidden/>
    <w:locked/>
    <w:rPr>
      <w:rFonts w:ascii="Cambria" w:hAnsi="Cambria"/>
      <w:lang w:val="es-ES" w:eastAsia="es-ES"/>
    </w:rPr>
  </w:style>
  <w:style w:type="character" w:styleId="FootnoteReference">
    <w:name w:val="footnote reference"/>
    <w:basedOn w:val="DefaultParagraphFont"/>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18"/>
      <w:szCs w:val="24"/>
      <w:lang w:val="es-ES" w:eastAsia="es-ES"/>
    </w:rPr>
  </w:style>
  <w:style w:type="paragraph" w:customStyle="1" w:styleId="footnotetex">
    <w:name w:val="footnote tex"/>
    <w:uiPriority w:val="99"/>
    <w:rsid w:val="002779F7"/>
    <w:pPr>
      <w:widowControl w:val="0"/>
      <w:autoSpaceDE w:val="0"/>
      <w:autoSpaceDN w:val="0"/>
      <w:adjustRightInd w:val="0"/>
      <w:jc w:val="both"/>
    </w:pPr>
    <w:rPr>
      <w:sz w:val="18"/>
      <w:szCs w:val="24"/>
      <w:lang w:val="es-ES" w:eastAsia="es-ES"/>
    </w:rPr>
  </w:style>
  <w:style w:type="character" w:styleId="PageNumber">
    <w:name w:val="page number"/>
    <w:basedOn w:val="DefaultParagraphFont"/>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basedOn w:val="DefaultParagraphFont"/>
    <w:link w:val="Header"/>
    <w:uiPriority w:val="99"/>
    <w:locked/>
    <w:rsid w:val="003B0C35"/>
    <w:rPr>
      <w:lang w:val="es-ES" w:eastAsia="es-E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basedOn w:val="DefaultParagraphFont"/>
    <w:link w:val="Footer"/>
    <w:uiPriority w:val="99"/>
    <w:locked/>
    <w:rPr>
      <w:sz w:val="24"/>
      <w:lang w:val="es-ES" w:eastAsia="es-E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basedOn w:val="DefaultParagraphFont"/>
    <w:link w:val="BodyTextIndent"/>
    <w:uiPriority w:val="99"/>
    <w:semiHidden/>
    <w:locked/>
    <w:rPr>
      <w:sz w:val="24"/>
      <w:lang w:val="es-ES" w:eastAsia="es-ES"/>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basedOn w:val="DefaultParagraphFont"/>
    <w:link w:val="BodyText"/>
    <w:uiPriority w:val="99"/>
    <w:semiHidden/>
    <w:locked/>
    <w:rPr>
      <w:sz w:val="24"/>
      <w:lang w:val="es-ES" w:eastAsia="es-ES"/>
    </w:rPr>
  </w:style>
  <w:style w:type="character" w:styleId="Hyperlink">
    <w:name w:val="Hyperlink"/>
    <w:basedOn w:val="DefaultParagraphFont"/>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basedOn w:val="DefaultParagraphFont"/>
    <w:link w:val="FootnoteText"/>
    <w:uiPriority w:val="99"/>
    <w:semiHidden/>
    <w:locked/>
    <w:rPr>
      <w:sz w:val="20"/>
      <w:lang w:val="es-ES" w:eastAsia="es-ES"/>
    </w:rPr>
  </w:style>
  <w:style w:type="paragraph" w:styleId="BodyText2">
    <w:name w:val="Body Text 2"/>
    <w:basedOn w:val="Normal"/>
    <w:link w:val="BodyText2Char"/>
    <w:uiPriority w:val="99"/>
    <w:rsid w:val="002779F7"/>
    <w:rPr>
      <w:sz w:val="22"/>
    </w:rPr>
  </w:style>
  <w:style w:type="character" w:customStyle="1" w:styleId="BodyText2Char">
    <w:name w:val="Body Text 2 Char"/>
    <w:basedOn w:val="DefaultParagraphFont"/>
    <w:link w:val="BodyText2"/>
    <w:uiPriority w:val="99"/>
    <w:semiHidden/>
    <w:locked/>
    <w:rPr>
      <w:sz w:val="24"/>
      <w:lang w:val="es-ES" w:eastAsia="es-E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s-ES" w:eastAsia="es-E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link w:val="BodyText3"/>
    <w:uiPriority w:val="99"/>
    <w:semiHidden/>
    <w:locked/>
    <w:rPr>
      <w:sz w:val="16"/>
      <w:lang w:val="es-ES" w:eastAsia="es-E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basedOn w:val="DefaultParagraphFont"/>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rPr>
  </w:style>
  <w:style w:type="character" w:customStyle="1" w:styleId="TitleChar">
    <w:name w:val="Title Char"/>
    <w:basedOn w:val="DefaultParagraphFont"/>
    <w:link w:val="Title"/>
    <w:uiPriority w:val="99"/>
    <w:locked/>
    <w:rPr>
      <w:rFonts w:ascii="Cambria" w:hAnsi="Cambria"/>
      <w:b/>
      <w:kern w:val="28"/>
      <w:sz w:val="32"/>
      <w:lang w:val="es-ES" w:eastAsia="es-E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basedOn w:val="DefaultParagraphFont"/>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basedOn w:val="DefaultParagraphFont"/>
    <w:link w:val="CommentText"/>
    <w:uiPriority w:val="99"/>
    <w:semiHidden/>
    <w:locked/>
    <w:rsid w:val="00DA1080"/>
    <w:rPr>
      <w:sz w:val="24"/>
      <w:lang w:val="es-ES" w:eastAsia="es-E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basedOn w:val="CommentTextChar"/>
    <w:link w:val="CommentSubject"/>
    <w:uiPriority w:val="99"/>
    <w:semiHidden/>
    <w:locked/>
    <w:rsid w:val="00DA1080"/>
    <w:rPr>
      <w:b/>
      <w:sz w:val="24"/>
      <w:lang w:val="es-ES" w:eastAsia="es-ES"/>
    </w:rPr>
  </w:style>
  <w:style w:type="paragraph" w:styleId="ListParagraph">
    <w:name w:val="List Paragraph"/>
    <w:basedOn w:val="Normal"/>
    <w:uiPriority w:val="99"/>
    <w:qFormat/>
    <w:rsid w:val="00F81FEF"/>
    <w:pPr>
      <w:ind w:left="720"/>
      <w:contextualSpacing/>
    </w:pPr>
  </w:style>
  <w:style w:type="character" w:styleId="Emphasis">
    <w:name w:val="Emphasis"/>
    <w:basedOn w:val="DefaultParagraphFont"/>
    <w:uiPriority w:val="99"/>
    <w:qFormat/>
    <w:rsid w:val="00F81FEF"/>
    <w:rPr>
      <w:rFonts w:cs="Times New Roman"/>
      <w:i/>
    </w:rPr>
  </w:style>
  <w:style w:type="paragraph" w:customStyle="1" w:styleId="Default">
    <w:name w:val="Default"/>
    <w:basedOn w:val="Normal"/>
    <w:uiPriority w:val="99"/>
    <w:rsid w:val="00CC57AD"/>
    <w:pPr>
      <w:widowControl/>
      <w:adjustRightInd/>
    </w:pPr>
    <w:rPr>
      <w:color w:val="000000"/>
      <w:sz w:val="24"/>
    </w:rPr>
  </w:style>
  <w:style w:type="paragraph" w:styleId="NoSpacing">
    <w:name w:val="No Spacing"/>
    <w:uiPriority w:val="99"/>
    <w:qFormat/>
    <w:rsid w:val="0033299A"/>
    <w:rPr>
      <w:rFonts w:ascii="Palatino Linotype" w:hAnsi="Palatino Linotype"/>
      <w:lang w:val="es-ES" w:eastAsia="es-ES"/>
    </w:rPr>
  </w:style>
  <w:style w:type="table" w:styleId="TableGrid">
    <w:name w:val="Table Grid"/>
    <w:basedOn w:val="TableNormal"/>
    <w:uiPriority w:val="99"/>
    <w:locked/>
    <w:rsid w:val="00245E18"/>
    <w:rPr>
      <w:rFonts w:ascii="Palatino Linotype" w:hAnsi="Palatino Linotyp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uiPriority w:val="99"/>
    <w:rsid w:val="00245E18"/>
    <w:pPr>
      <w:widowControl/>
      <w:autoSpaceDE/>
      <w:autoSpaceDN/>
      <w:adjustRightInd/>
      <w:spacing w:before="100" w:beforeAutospacing="1" w:after="100" w:afterAutospacing="1"/>
    </w:pPr>
    <w:rPr>
      <w:rFonts w:ascii="Times New Roman" w:hAnsi="Times New Roman"/>
      <w:b/>
      <w:bCs/>
      <w:sz w:val="24"/>
    </w:rPr>
  </w:style>
  <w:style w:type="paragraph" w:customStyle="1" w:styleId="xl67">
    <w:name w:val="xl67"/>
    <w:basedOn w:val="Normal"/>
    <w:uiPriority w:val="99"/>
    <w:rsid w:val="00245E18"/>
    <w:pPr>
      <w:widowControl/>
      <w:autoSpaceDE/>
      <w:autoSpaceDN/>
      <w:adjustRightInd/>
      <w:spacing w:before="100" w:beforeAutospacing="1" w:after="100" w:afterAutospacing="1"/>
      <w:textAlignment w:val="center"/>
    </w:pPr>
    <w:rPr>
      <w:rFonts w:ascii="Times New Roman" w:hAnsi="Times New Roman"/>
      <w:sz w:val="24"/>
    </w:rPr>
  </w:style>
  <w:style w:type="paragraph" w:customStyle="1" w:styleId="xl68">
    <w:name w:val="xl68"/>
    <w:basedOn w:val="Normal"/>
    <w:uiPriority w:val="99"/>
    <w:rsid w:val="00245E1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sz w:val="24"/>
    </w:rPr>
  </w:style>
  <w:style w:type="paragraph" w:customStyle="1" w:styleId="xl70">
    <w:name w:val="xl70"/>
    <w:basedOn w:val="Normal"/>
    <w:uiPriority w:val="99"/>
    <w:rsid w:val="00245E18"/>
    <w:pPr>
      <w:widowControl/>
      <w:autoSpaceDE/>
      <w:autoSpaceDN/>
      <w:adjustRightInd/>
      <w:spacing w:before="100" w:beforeAutospacing="1" w:after="100" w:afterAutospacing="1"/>
    </w:pPr>
    <w:rPr>
      <w:rFonts w:ascii="Times New Roman" w:hAnsi="Times New Roman"/>
      <w:b/>
      <w:bCs/>
      <w:sz w:val="24"/>
    </w:rPr>
  </w:style>
  <w:style w:type="paragraph" w:customStyle="1" w:styleId="xl71">
    <w:name w:val="xl71"/>
    <w:basedOn w:val="Normal"/>
    <w:uiPriority w:val="99"/>
    <w:rsid w:val="00245E18"/>
    <w:pPr>
      <w:widowControl/>
      <w:autoSpaceDE/>
      <w:autoSpaceDN/>
      <w:adjustRightInd/>
      <w:spacing w:before="100" w:beforeAutospacing="1" w:after="100" w:afterAutospacing="1"/>
    </w:pPr>
    <w:rPr>
      <w:rFonts w:ascii="Times New Roman" w:hAnsi="Times New Roman"/>
      <w:b/>
      <w:bCs/>
      <w:sz w:val="24"/>
    </w:rPr>
  </w:style>
  <w:style w:type="paragraph" w:styleId="BodyTextIndent3">
    <w:name w:val="Body Text Indent 3"/>
    <w:basedOn w:val="Normal"/>
    <w:link w:val="BodyTextIndent3Char"/>
    <w:uiPriority w:val="99"/>
    <w:semiHidden/>
    <w:rsid w:val="00245E18"/>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245E18"/>
    <w:rPr>
      <w:rFonts w:ascii="Times New Roman" w:hAnsi="Times New Roman"/>
      <w:sz w:val="16"/>
    </w:rPr>
  </w:style>
  <w:style w:type="character" w:customStyle="1" w:styleId="NormalnumberChar">
    <w:name w:val="Normal_number Char"/>
    <w:link w:val="Normalnumber"/>
    <w:uiPriority w:val="99"/>
    <w:locked/>
    <w:rsid w:val="00245E18"/>
    <w:rPr>
      <w:lang w:val="es-ES" w:eastAsia="es-ES"/>
    </w:rPr>
  </w:style>
  <w:style w:type="paragraph" w:customStyle="1" w:styleId="Normalnumber">
    <w:name w:val="Normal_number"/>
    <w:basedOn w:val="Normal"/>
    <w:link w:val="NormalnumberChar"/>
    <w:uiPriority w:val="99"/>
    <w:rsid w:val="00245E18"/>
    <w:pPr>
      <w:widowControl/>
      <w:numPr>
        <w:numId w:val="41"/>
      </w:numPr>
      <w:tabs>
        <w:tab w:val="left" w:pos="624"/>
      </w:tabs>
      <w:autoSpaceDE/>
      <w:autoSpaceDN/>
      <w:adjustRightInd/>
      <w:spacing w:after="120"/>
    </w:pPr>
  </w:style>
  <w:style w:type="paragraph" w:customStyle="1" w:styleId="msonormal0">
    <w:name w:val="msonormal"/>
    <w:basedOn w:val="Normal"/>
    <w:uiPriority w:val="99"/>
    <w:rsid w:val="00245E18"/>
    <w:pPr>
      <w:widowControl/>
      <w:autoSpaceDE/>
      <w:autoSpaceDN/>
      <w:adjustRightInd/>
      <w:spacing w:before="100" w:beforeAutospacing="1" w:after="100" w:afterAutospacing="1"/>
    </w:pPr>
    <w:rPr>
      <w:rFonts w:ascii="Times New Roman" w:hAnsi="Times New Roman"/>
      <w:sz w:val="24"/>
    </w:rPr>
  </w:style>
  <w:style w:type="paragraph" w:customStyle="1" w:styleId="xl69">
    <w:name w:val="xl69"/>
    <w:basedOn w:val="Normal"/>
    <w:uiPriority w:val="99"/>
    <w:rsid w:val="00245E18"/>
    <w:pPr>
      <w:widowControl/>
      <w:autoSpaceDE/>
      <w:autoSpaceDN/>
      <w:adjustRightInd/>
      <w:spacing w:before="100" w:beforeAutospacing="1" w:after="100" w:afterAutospacing="1"/>
      <w:jc w:val="center"/>
      <w:textAlignment w:val="top"/>
    </w:pPr>
    <w:rPr>
      <w:rFonts w:ascii="Times New Roman" w:hAnsi="Times New Roman"/>
      <w:sz w:val="24"/>
    </w:rPr>
  </w:style>
  <w:style w:type="paragraph" w:customStyle="1" w:styleId="xl72">
    <w:name w:val="xl72"/>
    <w:basedOn w:val="Normal"/>
    <w:uiPriority w:val="99"/>
    <w:rsid w:val="00245E18"/>
    <w:pPr>
      <w:widowControl/>
      <w:autoSpaceDE/>
      <w:autoSpaceDN/>
      <w:adjustRightInd/>
      <w:spacing w:before="100" w:beforeAutospacing="1" w:after="100" w:afterAutospacing="1"/>
      <w:textAlignment w:val="top"/>
    </w:pPr>
    <w:rPr>
      <w:rFonts w:ascii="Times New Roman" w:hAnsi="Times New Roman"/>
      <w:sz w:val="24"/>
    </w:rPr>
  </w:style>
  <w:style w:type="paragraph" w:customStyle="1" w:styleId="xl73">
    <w:name w:val="xl73"/>
    <w:basedOn w:val="Normal"/>
    <w:uiPriority w:val="99"/>
    <w:rsid w:val="00245E18"/>
    <w:pPr>
      <w:widowControl/>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4">
    <w:name w:val="xl74"/>
    <w:basedOn w:val="Normal"/>
    <w:uiPriority w:val="99"/>
    <w:rsid w:val="00245E18"/>
    <w:pPr>
      <w:widowControl/>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75">
    <w:name w:val="xl75"/>
    <w:basedOn w:val="Normal"/>
    <w:uiPriority w:val="99"/>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6">
    <w:name w:val="xl76"/>
    <w:basedOn w:val="Normal"/>
    <w:uiPriority w:val="99"/>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7">
    <w:name w:val="xl77"/>
    <w:basedOn w:val="Normal"/>
    <w:uiPriority w:val="99"/>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8">
    <w:name w:val="xl78"/>
    <w:basedOn w:val="Normal"/>
    <w:uiPriority w:val="99"/>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79">
    <w:name w:val="xl79"/>
    <w:basedOn w:val="Normal"/>
    <w:uiPriority w:val="99"/>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80">
    <w:name w:val="xl80"/>
    <w:basedOn w:val="Normal"/>
    <w:uiPriority w:val="99"/>
    <w:rsid w:val="00245E18"/>
    <w:pPr>
      <w:widowControl/>
      <w:pBdr>
        <w:top w:val="single" w:sz="8" w:space="0" w:color="auto"/>
        <w:left w:val="single" w:sz="4" w:space="0" w:color="auto"/>
        <w:bottom w:val="dotted"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1">
    <w:name w:val="xl81"/>
    <w:basedOn w:val="Normal"/>
    <w:uiPriority w:val="99"/>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82">
    <w:name w:val="xl82"/>
    <w:basedOn w:val="Normal"/>
    <w:uiPriority w:val="99"/>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3">
    <w:name w:val="xl83"/>
    <w:basedOn w:val="Normal"/>
    <w:uiPriority w:val="99"/>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4">
    <w:name w:val="xl84"/>
    <w:basedOn w:val="Normal"/>
    <w:uiPriority w:val="99"/>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85">
    <w:name w:val="xl85"/>
    <w:basedOn w:val="Normal"/>
    <w:uiPriority w:val="99"/>
    <w:rsid w:val="00245E18"/>
    <w:pPr>
      <w:widowControl/>
      <w:pBdr>
        <w:top w:val="dotted" w:sz="4" w:space="0" w:color="auto"/>
        <w:left w:val="single" w:sz="4" w:space="0" w:color="auto"/>
        <w:bottom w:val="dotted"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6">
    <w:name w:val="xl86"/>
    <w:basedOn w:val="Normal"/>
    <w:uiPriority w:val="99"/>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87">
    <w:name w:val="xl87"/>
    <w:basedOn w:val="Normal"/>
    <w:uiPriority w:val="99"/>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8">
    <w:name w:val="xl88"/>
    <w:basedOn w:val="Normal"/>
    <w:uiPriority w:val="99"/>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89">
    <w:name w:val="xl89"/>
    <w:basedOn w:val="Normal"/>
    <w:uiPriority w:val="99"/>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0">
    <w:name w:val="xl90"/>
    <w:basedOn w:val="Normal"/>
    <w:uiPriority w:val="99"/>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91">
    <w:name w:val="xl91"/>
    <w:basedOn w:val="Normal"/>
    <w:uiPriority w:val="99"/>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92">
    <w:name w:val="xl92"/>
    <w:basedOn w:val="Normal"/>
    <w:uiPriority w:val="99"/>
    <w:rsid w:val="00245E18"/>
    <w:pPr>
      <w:widowControl/>
      <w:pBdr>
        <w:top w:val="dotted"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3">
    <w:name w:val="xl93"/>
    <w:basedOn w:val="Normal"/>
    <w:uiPriority w:val="99"/>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sz w:val="24"/>
    </w:rPr>
  </w:style>
  <w:style w:type="paragraph" w:customStyle="1" w:styleId="xl94">
    <w:name w:val="xl94"/>
    <w:basedOn w:val="Normal"/>
    <w:uiPriority w:val="99"/>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5">
    <w:name w:val="xl95"/>
    <w:basedOn w:val="Normal"/>
    <w:uiPriority w:val="99"/>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6">
    <w:name w:val="xl96"/>
    <w:basedOn w:val="Normal"/>
    <w:uiPriority w:val="99"/>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97">
    <w:name w:val="xl97"/>
    <w:basedOn w:val="Normal"/>
    <w:uiPriority w:val="99"/>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98">
    <w:name w:val="xl98"/>
    <w:basedOn w:val="Normal"/>
    <w:uiPriority w:val="99"/>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top"/>
    </w:pPr>
    <w:rPr>
      <w:rFonts w:ascii="Times New Roman" w:hAnsi="Times New Roman"/>
      <w:b/>
      <w:bCs/>
      <w:sz w:val="24"/>
    </w:rPr>
  </w:style>
  <w:style w:type="paragraph" w:customStyle="1" w:styleId="xl99">
    <w:name w:val="xl99"/>
    <w:basedOn w:val="Normal"/>
    <w:uiPriority w:val="99"/>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100">
    <w:name w:val="xl100"/>
    <w:basedOn w:val="Normal"/>
    <w:uiPriority w:val="99"/>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101">
    <w:name w:val="xl101"/>
    <w:basedOn w:val="Normal"/>
    <w:uiPriority w:val="99"/>
    <w:rsid w:val="00245E18"/>
    <w:pPr>
      <w:widowControl/>
      <w:pBdr>
        <w:top w:val="single" w:sz="8"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102">
    <w:name w:val="xl102"/>
    <w:basedOn w:val="Normal"/>
    <w:uiPriority w:val="99"/>
    <w:rsid w:val="00245E1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103">
    <w:name w:val="xl103"/>
    <w:basedOn w:val="Normal"/>
    <w:uiPriority w:val="99"/>
    <w:rsid w:val="00245E18"/>
    <w:pPr>
      <w:widowControl/>
      <w:pBdr>
        <w:top w:val="dotted"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sz w:val="24"/>
    </w:rPr>
  </w:style>
  <w:style w:type="paragraph" w:customStyle="1" w:styleId="xl104">
    <w:name w:val="xl104"/>
    <w:basedOn w:val="Normal"/>
    <w:uiPriority w:val="99"/>
    <w:rsid w:val="00245E18"/>
    <w:pPr>
      <w:widowControl/>
      <w:pBdr>
        <w:top w:val="single" w:sz="4" w:space="0" w:color="auto"/>
        <w:left w:val="single" w:sz="4" w:space="0" w:color="auto"/>
        <w:bottom w:val="single" w:sz="8" w:space="0" w:color="auto"/>
        <w:right w:val="single" w:sz="4" w:space="0" w:color="auto"/>
      </w:pBdr>
      <w:shd w:val="clear" w:color="000000" w:fill="E2EFDA"/>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105">
    <w:name w:val="xl105"/>
    <w:basedOn w:val="Normal"/>
    <w:uiPriority w:val="99"/>
    <w:rsid w:val="00245E1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right"/>
      <w:textAlignment w:val="top"/>
    </w:pPr>
    <w:rPr>
      <w:rFonts w:ascii="Times New Roman" w:hAnsi="Times New Roman"/>
      <w:b/>
      <w:bCs/>
      <w:sz w:val="24"/>
    </w:rPr>
  </w:style>
  <w:style w:type="paragraph" w:customStyle="1" w:styleId="xl106">
    <w:name w:val="xl106"/>
    <w:basedOn w:val="Normal"/>
    <w:uiPriority w:val="99"/>
    <w:rsid w:val="00245E18"/>
    <w:pPr>
      <w:widowControl/>
      <w:autoSpaceDE/>
      <w:autoSpaceDN/>
      <w:adjustRightInd/>
      <w:spacing w:before="100" w:beforeAutospacing="1" w:after="100" w:afterAutospacing="1"/>
      <w:textAlignment w:val="top"/>
    </w:pPr>
    <w:rPr>
      <w:rFonts w:ascii="Times New Roman" w:hAnsi="Times New Roman"/>
      <w:i/>
      <w:iCs/>
      <w:sz w:val="24"/>
    </w:rPr>
  </w:style>
  <w:style w:type="paragraph" w:customStyle="1" w:styleId="xl107">
    <w:name w:val="xl107"/>
    <w:basedOn w:val="Normal"/>
    <w:uiPriority w:val="99"/>
    <w:rsid w:val="00245E18"/>
    <w:pPr>
      <w:widowControl/>
      <w:pBdr>
        <w:top w:val="single" w:sz="4" w:space="0" w:color="auto"/>
        <w:left w:val="single" w:sz="4" w:space="0" w:color="auto"/>
        <w:bottom w:val="single" w:sz="8"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08">
    <w:name w:val="xl108"/>
    <w:basedOn w:val="Normal"/>
    <w:uiPriority w:val="99"/>
    <w:rsid w:val="00245E18"/>
    <w:pPr>
      <w:widowControl/>
      <w:pBdr>
        <w:top w:val="single" w:sz="4" w:space="0" w:color="auto"/>
        <w:left w:val="single" w:sz="4" w:space="0" w:color="auto"/>
        <w:bottom w:val="single" w:sz="4"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09">
    <w:name w:val="xl109"/>
    <w:basedOn w:val="Normal"/>
    <w:uiPriority w:val="99"/>
    <w:rsid w:val="00245E18"/>
    <w:pPr>
      <w:widowControl/>
      <w:pBdr>
        <w:top w:val="single" w:sz="4" w:space="0" w:color="auto"/>
        <w:left w:val="single" w:sz="4" w:space="0" w:color="auto"/>
        <w:bottom w:val="single" w:sz="4"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0">
    <w:name w:val="xl110"/>
    <w:basedOn w:val="Normal"/>
    <w:uiPriority w:val="99"/>
    <w:rsid w:val="00245E18"/>
    <w:pPr>
      <w:widowControl/>
      <w:pBdr>
        <w:top w:val="single" w:sz="4" w:space="0" w:color="auto"/>
        <w:left w:val="single" w:sz="4" w:space="0" w:color="auto"/>
        <w:bottom w:val="single" w:sz="8"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1">
    <w:name w:val="xl111"/>
    <w:basedOn w:val="Normal"/>
    <w:uiPriority w:val="99"/>
    <w:rsid w:val="00245E18"/>
    <w:pPr>
      <w:widowControl/>
      <w:pBdr>
        <w:top w:val="single" w:sz="4" w:space="0" w:color="auto"/>
        <w:left w:val="single" w:sz="4" w:space="0" w:color="auto"/>
        <w:bottom w:val="single" w:sz="8"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2">
    <w:name w:val="xl112"/>
    <w:basedOn w:val="Normal"/>
    <w:uiPriority w:val="99"/>
    <w:rsid w:val="00245E18"/>
    <w:pPr>
      <w:widowControl/>
      <w:pBdr>
        <w:top w:val="single" w:sz="4" w:space="0" w:color="auto"/>
        <w:left w:val="single" w:sz="4" w:space="0" w:color="auto"/>
        <w:bottom w:val="single" w:sz="4"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3">
    <w:name w:val="xl113"/>
    <w:basedOn w:val="Normal"/>
    <w:uiPriority w:val="99"/>
    <w:rsid w:val="00245E18"/>
    <w:pPr>
      <w:widowControl/>
      <w:pBdr>
        <w:top w:val="single" w:sz="4" w:space="0" w:color="auto"/>
        <w:left w:val="single" w:sz="4" w:space="0" w:color="auto"/>
        <w:bottom w:val="single" w:sz="8"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 w:type="paragraph" w:customStyle="1" w:styleId="xl114">
    <w:name w:val="xl114"/>
    <w:basedOn w:val="Normal"/>
    <w:uiPriority w:val="99"/>
    <w:rsid w:val="00245E18"/>
    <w:pPr>
      <w:widowControl/>
      <w:pBdr>
        <w:top w:val="single" w:sz="4" w:space="0" w:color="auto"/>
        <w:left w:val="single" w:sz="4" w:space="0" w:color="auto"/>
        <w:bottom w:val="single" w:sz="4" w:space="0" w:color="auto"/>
        <w:right w:val="single" w:sz="4" w:space="0" w:color="auto"/>
      </w:pBdr>
      <w:shd w:val="clear" w:color="000000" w:fill="EDEDED"/>
      <w:autoSpaceDE/>
      <w:autoSpaceDN/>
      <w:adjustRightInd/>
      <w:spacing w:before="100" w:beforeAutospacing="1" w:after="100" w:afterAutospacing="1"/>
      <w:jc w:val="center"/>
      <w:textAlignment w:val="top"/>
    </w:pPr>
    <w:rPr>
      <w:rFonts w:ascii="Times New Roman" w:hAnsi="Times New Roman"/>
      <w:b/>
      <w:bCs/>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60112">
      <w:marLeft w:val="0"/>
      <w:marRight w:val="0"/>
      <w:marTop w:val="0"/>
      <w:marBottom w:val="0"/>
      <w:divBdr>
        <w:top w:val="none" w:sz="0" w:space="0" w:color="auto"/>
        <w:left w:val="none" w:sz="0" w:space="0" w:color="auto"/>
        <w:bottom w:val="none" w:sz="0" w:space="0" w:color="auto"/>
        <w:right w:val="none" w:sz="0" w:space="0" w:color="auto"/>
      </w:divBdr>
    </w:div>
    <w:div w:id="6825601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8" Type="http://schemas.openxmlformats.org/officeDocument/2006/relationships/header" Target="header1.xm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COP11_Template_English_new</Template>
  <TotalTime>80</TotalTime>
  <Pages>28</Pages>
  <Words>10107</Words>
  <Characters>48837</Characters>
  <Application>Microsoft Office Word</Application>
  <DocSecurity>0</DocSecurity>
  <Lines>406</Lines>
  <Paragraphs>117</Paragraphs>
  <ScaleCrop>false</ScaleCrop>
  <HeadingPairs>
    <vt:vector size="2" baseType="variant">
      <vt:variant>
        <vt:lpstr>Title</vt:lpstr>
      </vt:variant>
      <vt:variant>
        <vt:i4>1</vt:i4>
      </vt:variant>
    </vt:vector>
  </HeadingPairs>
  <TitlesOfParts>
    <vt:vector size="1" baseType="lpstr">
      <vt:lpstr>17ª REUNIÓN DE LA</vt:lpstr>
    </vt:vector>
  </TitlesOfParts>
  <Company>United Nations Volunteers (UNV) programme</Company>
  <LinksUpToDate>false</LinksUpToDate>
  <CharactersWithSpaces>58827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17ª REUNIÓN DE LA</dc:title>
  <dc:subject/>
  <dc:creator>barbara.schoenberg@cms.int</dc:creator>
  <cp:keywords/>
  <dc:description/>
  <cp:lastModifiedBy>Barbara Schoenberg</cp:lastModifiedBy>
  <cp:revision>14</cp:revision>
  <cp:lastPrinted>2017-05-11T10:32:00Z</cp:lastPrinted>
  <dcterms:created xsi:type="dcterms:W3CDTF">2017-07-24T07:43:00Z</dcterms:created>
  <dcterms:modified xsi:type="dcterms:W3CDTF">2017-07-24T10:29:00Z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