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294"/>
        <w:tblW w:w="9552" w:type="dxa"/>
        <w:tblLayout w:type="fixed"/>
        <w:tblCellMar>
          <w:top w:w="198" w:type="dxa"/>
        </w:tblCellMar>
        <w:tblLook w:val="0000" w:firstRow="0" w:lastRow="0" w:firstColumn="0" w:lastColumn="0" w:noHBand="0" w:noVBand="0"/>
      </w:tblPr>
      <w:tblGrid>
        <w:gridCol w:w="1527"/>
        <w:gridCol w:w="4413"/>
        <w:gridCol w:w="3612"/>
      </w:tblGrid>
      <w:tr w:rsidR="009B36B6" w:rsidRPr="009B36B6" w14:paraId="67F54AC1" w14:textId="77777777" w:rsidTr="00883444">
        <w:trPr>
          <w:cantSplit/>
          <w:trHeight w:val="762"/>
        </w:trPr>
        <w:tc>
          <w:tcPr>
            <w:tcW w:w="9552" w:type="dxa"/>
            <w:gridSpan w:val="3"/>
            <w:tcBorders>
              <w:bottom w:val="single" w:sz="4" w:space="0" w:color="auto"/>
            </w:tcBorders>
            <w:tcMar>
              <w:top w:w="85" w:type="dxa"/>
            </w:tcMar>
          </w:tcPr>
          <w:p w14:paraId="26D22C2C" w14:textId="77777777" w:rsidR="009B36B6" w:rsidRPr="009B36B6" w:rsidRDefault="009B36B6" w:rsidP="009B36B6">
            <w:pPr>
              <w:widowControl/>
              <w:tabs>
                <w:tab w:val="left" w:pos="-1057"/>
                <w:tab w:val="left" w:pos="-720"/>
                <w:tab w:val="left" w:pos="0"/>
                <w:tab w:val="left" w:pos="141"/>
                <w:tab w:val="left" w:pos="720"/>
                <w:tab w:val="right" w:pos="8955"/>
              </w:tabs>
              <w:autoSpaceDE/>
              <w:autoSpaceDN/>
              <w:adjustRightInd/>
              <w:spacing w:after="160" w:line="259" w:lineRule="auto"/>
              <w:jc w:val="both"/>
              <w:rPr>
                <w:rFonts w:ascii="Calibri" w:eastAsia="Calibri" w:hAnsi="Calibri"/>
                <w:sz w:val="22"/>
                <w:szCs w:val="22"/>
                <w:lang w:val="en-GB"/>
              </w:rPr>
            </w:pPr>
            <w:r w:rsidRPr="009B36B6">
              <w:rPr>
                <w:rFonts w:ascii="Calibri" w:eastAsia="Calibri" w:hAnsi="Calibri"/>
                <w:noProof/>
                <w:sz w:val="22"/>
                <w:szCs w:val="22"/>
              </w:rPr>
              <w:drawing>
                <wp:anchor distT="0" distB="0" distL="114300" distR="114300" simplePos="0" relativeHeight="251671552" behindDoc="0" locked="0" layoutInCell="1" allowOverlap="1" wp14:anchorId="344D2574" wp14:editId="0EA2954E">
                  <wp:simplePos x="0" y="0"/>
                  <wp:positionH relativeFrom="column">
                    <wp:posOffset>-48260</wp:posOffset>
                  </wp:positionH>
                  <wp:positionV relativeFrom="page">
                    <wp:posOffset>-21590</wp:posOffset>
                  </wp:positionV>
                  <wp:extent cx="636270" cy="4667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Environment_Logo_Spanish_Full_bla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999" b="11667"/>
                          <a:stretch/>
                        </pic:blipFill>
                        <pic:spPr bwMode="auto">
                          <a:xfrm>
                            <a:off x="0" y="0"/>
                            <a:ext cx="63627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36B6">
              <w:rPr>
                <w:rFonts w:ascii="Calibri" w:eastAsia="Calibri" w:hAnsi="Calibri"/>
                <w:noProof/>
                <w:sz w:val="22"/>
                <w:szCs w:val="22"/>
              </w:rPr>
              <w:drawing>
                <wp:anchor distT="0" distB="0" distL="114300" distR="114300" simplePos="0" relativeHeight="251670528" behindDoc="0" locked="0" layoutInCell="1" allowOverlap="1" wp14:anchorId="0E4693BA" wp14:editId="449DF780">
                  <wp:simplePos x="0" y="0"/>
                  <wp:positionH relativeFrom="column">
                    <wp:posOffset>654685</wp:posOffset>
                  </wp:positionH>
                  <wp:positionV relativeFrom="paragraph">
                    <wp:posOffset>-8255</wp:posOffset>
                  </wp:positionV>
                  <wp:extent cx="255905" cy="359410"/>
                  <wp:effectExtent l="0" t="0" r="0" b="2540"/>
                  <wp:wrapNone/>
                  <wp:docPr id="9" name="Picture 8" descr="cms_logo-for_letterhea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ms_logo-for_letterhead_bla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905"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B36B6" w:rsidRPr="009B36B6" w14:paraId="18E21505" w14:textId="77777777" w:rsidTr="00883444">
        <w:trPr>
          <w:trHeight w:val="1406"/>
        </w:trPr>
        <w:tc>
          <w:tcPr>
            <w:tcW w:w="1527" w:type="dxa"/>
            <w:tcBorders>
              <w:top w:val="single" w:sz="4" w:space="0" w:color="auto"/>
              <w:bottom w:val="single" w:sz="4" w:space="0" w:color="auto"/>
            </w:tcBorders>
            <w:tcMar>
              <w:top w:w="85" w:type="dxa"/>
            </w:tcMar>
          </w:tcPr>
          <w:p w14:paraId="4841C5D9" w14:textId="77777777" w:rsidR="009B36B6" w:rsidRPr="009B36B6" w:rsidRDefault="009B36B6" w:rsidP="009B36B6">
            <w:pPr>
              <w:widowControl/>
              <w:autoSpaceDE/>
              <w:autoSpaceDN/>
              <w:adjustRightInd/>
              <w:spacing w:after="160" w:line="259" w:lineRule="auto"/>
              <w:jc w:val="both"/>
              <w:rPr>
                <w:rFonts w:ascii="Calibri" w:eastAsia="Calibri" w:hAnsi="Calibri"/>
                <w:sz w:val="22"/>
                <w:szCs w:val="22"/>
                <w:lang w:val="en-GB"/>
              </w:rPr>
            </w:pPr>
            <w:r w:rsidRPr="009B36B6">
              <w:rPr>
                <w:rFonts w:ascii="Calibri" w:eastAsia="Calibri" w:hAnsi="Calibri"/>
                <w:noProof/>
                <w:sz w:val="22"/>
                <w:szCs w:val="22"/>
              </w:rPr>
              <w:drawing>
                <wp:anchor distT="0" distB="0" distL="114300" distR="114300" simplePos="0" relativeHeight="251669504" behindDoc="0" locked="0" layoutInCell="1" allowOverlap="1" wp14:anchorId="7B2CB46D" wp14:editId="7D12AC02">
                  <wp:simplePos x="0" y="0"/>
                  <wp:positionH relativeFrom="column">
                    <wp:posOffset>8890</wp:posOffset>
                  </wp:positionH>
                  <wp:positionV relativeFrom="paragraph">
                    <wp:posOffset>5715</wp:posOffset>
                  </wp:positionV>
                  <wp:extent cx="964528" cy="823595"/>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l="17097" t="4031" r="6290" b="3818"/>
                          <a:stretch>
                            <a:fillRect/>
                          </a:stretch>
                        </pic:blipFill>
                        <pic:spPr bwMode="auto">
                          <a:xfrm>
                            <a:off x="0" y="0"/>
                            <a:ext cx="964528" cy="8235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13" w:type="dxa"/>
            <w:tcBorders>
              <w:top w:val="single" w:sz="4" w:space="0" w:color="auto"/>
              <w:bottom w:val="single" w:sz="4" w:space="0" w:color="auto"/>
            </w:tcBorders>
            <w:tcMar>
              <w:top w:w="85" w:type="dxa"/>
            </w:tcMar>
          </w:tcPr>
          <w:p w14:paraId="1E4FF9B7" w14:textId="77777777" w:rsidR="009B36B6" w:rsidRPr="009B36B6" w:rsidRDefault="009B36B6" w:rsidP="009B36B6">
            <w:pPr>
              <w:widowControl/>
              <w:autoSpaceDE/>
              <w:autoSpaceDN/>
              <w:adjustRightInd/>
              <w:spacing w:before="40" w:after="160" w:line="259" w:lineRule="auto"/>
              <w:ind w:left="274"/>
              <w:rPr>
                <w:rFonts w:eastAsia="Calibri" w:cs="Arial"/>
                <w:b/>
                <w:bCs/>
                <w:sz w:val="10"/>
                <w:szCs w:val="10"/>
                <w:lang w:val="es-ES"/>
              </w:rPr>
            </w:pPr>
          </w:p>
          <w:p w14:paraId="7D2B99D3" w14:textId="77777777" w:rsidR="009B36B6" w:rsidRPr="009B36B6" w:rsidRDefault="009B36B6" w:rsidP="009B36B6">
            <w:pPr>
              <w:widowControl/>
              <w:autoSpaceDE/>
              <w:autoSpaceDN/>
              <w:adjustRightInd/>
              <w:spacing w:before="40" w:after="160" w:line="259" w:lineRule="auto"/>
              <w:ind w:left="274"/>
              <w:rPr>
                <w:rFonts w:eastAsia="Calibri" w:cs="Arial"/>
                <w:b/>
                <w:bCs/>
                <w:sz w:val="22"/>
                <w:szCs w:val="22"/>
                <w:lang w:val="es-ES"/>
              </w:rPr>
            </w:pPr>
            <w:r w:rsidRPr="009B36B6">
              <w:rPr>
                <w:rFonts w:eastAsia="Calibri" w:cs="Arial"/>
                <w:b/>
                <w:bCs/>
                <w:sz w:val="22"/>
                <w:szCs w:val="22"/>
                <w:lang w:val="es-ES"/>
              </w:rPr>
              <w:t>MEMORANDO DE ENTENDIMIENTO SOBRE LA CONSERVACIÓN DE TIBURONES MIGRATORIOS</w:t>
            </w:r>
          </w:p>
        </w:tc>
        <w:tc>
          <w:tcPr>
            <w:tcW w:w="3612" w:type="dxa"/>
            <w:tcBorders>
              <w:top w:val="single" w:sz="4" w:space="0" w:color="auto"/>
              <w:bottom w:val="single" w:sz="4" w:space="0" w:color="auto"/>
            </w:tcBorders>
            <w:tcMar>
              <w:top w:w="85" w:type="dxa"/>
            </w:tcMar>
          </w:tcPr>
          <w:p w14:paraId="0CB92446" w14:textId="77777777" w:rsidR="009B36B6" w:rsidRPr="009B36B6" w:rsidRDefault="009B36B6" w:rsidP="009B36B6">
            <w:pPr>
              <w:widowControl/>
              <w:autoSpaceDE/>
              <w:autoSpaceDN/>
              <w:adjustRightInd/>
              <w:spacing w:before="40" w:after="40" w:line="259" w:lineRule="auto"/>
              <w:rPr>
                <w:rFonts w:eastAsia="Calibri" w:cs="Arial"/>
                <w:sz w:val="10"/>
                <w:szCs w:val="10"/>
                <w:lang w:val="es-ES"/>
              </w:rPr>
            </w:pPr>
          </w:p>
          <w:p w14:paraId="35B14535" w14:textId="64853C7D" w:rsidR="009B36B6" w:rsidRPr="009B36B6" w:rsidRDefault="009B36B6" w:rsidP="009B36B6">
            <w:pPr>
              <w:widowControl/>
              <w:autoSpaceDE/>
              <w:autoSpaceDN/>
              <w:adjustRightInd/>
              <w:spacing w:before="40" w:after="40" w:line="259" w:lineRule="auto"/>
              <w:rPr>
                <w:rFonts w:eastAsia="Calibri" w:cs="Arial"/>
                <w:sz w:val="22"/>
                <w:szCs w:val="22"/>
                <w:lang w:val="es-ES"/>
              </w:rPr>
            </w:pPr>
            <w:r w:rsidRPr="009B36B6">
              <w:rPr>
                <w:rFonts w:eastAsia="Calibri" w:cs="Arial"/>
                <w:sz w:val="22"/>
                <w:szCs w:val="22"/>
                <w:lang w:val="es-ES"/>
              </w:rPr>
              <w:t>CMS/</w:t>
            </w:r>
            <w:proofErr w:type="spellStart"/>
            <w:r w:rsidRPr="009B36B6">
              <w:rPr>
                <w:rFonts w:eastAsia="Calibri" w:cs="Arial"/>
                <w:sz w:val="22"/>
                <w:szCs w:val="22"/>
                <w:lang w:val="es-ES"/>
              </w:rPr>
              <w:t>Sharks</w:t>
            </w:r>
            <w:proofErr w:type="spellEnd"/>
            <w:r w:rsidRPr="009B36B6">
              <w:rPr>
                <w:rFonts w:eastAsia="Calibri" w:cs="Arial"/>
                <w:sz w:val="22"/>
                <w:szCs w:val="22"/>
                <w:lang w:val="es-ES"/>
              </w:rPr>
              <w:t>/MOS4/Doc.10</w:t>
            </w:r>
            <w:r>
              <w:rPr>
                <w:rFonts w:eastAsia="Calibri" w:cs="Arial"/>
                <w:sz w:val="22"/>
                <w:szCs w:val="22"/>
                <w:lang w:val="es-ES"/>
              </w:rPr>
              <w:t>.6</w:t>
            </w:r>
          </w:p>
          <w:p w14:paraId="6CB8C96F" w14:textId="0A1BD22A" w:rsidR="009B36B6" w:rsidRPr="009B36B6" w:rsidRDefault="009B36B6" w:rsidP="009B36B6">
            <w:pPr>
              <w:widowControl/>
              <w:autoSpaceDE/>
              <w:autoSpaceDN/>
              <w:adjustRightInd/>
              <w:spacing w:before="40" w:after="40" w:line="259" w:lineRule="auto"/>
              <w:rPr>
                <w:rFonts w:eastAsia="Calibri" w:cs="Arial"/>
                <w:sz w:val="22"/>
                <w:szCs w:val="22"/>
                <w:lang w:val="es-ES"/>
              </w:rPr>
            </w:pPr>
            <w:r>
              <w:rPr>
                <w:rFonts w:eastAsia="Calibri" w:cs="Arial"/>
                <w:sz w:val="22"/>
                <w:szCs w:val="22"/>
                <w:lang w:val="es-ES"/>
              </w:rPr>
              <w:t>22 de diciembre</w:t>
            </w:r>
            <w:r w:rsidRPr="009B36B6">
              <w:rPr>
                <w:rFonts w:eastAsia="Calibri" w:cs="Arial"/>
                <w:sz w:val="22"/>
                <w:szCs w:val="22"/>
                <w:lang w:val="es-ES"/>
              </w:rPr>
              <w:t xml:space="preserve"> de 2022</w:t>
            </w:r>
          </w:p>
          <w:p w14:paraId="08149699" w14:textId="77777777" w:rsidR="009B36B6" w:rsidRPr="009B36B6" w:rsidRDefault="009B36B6" w:rsidP="009B36B6">
            <w:pPr>
              <w:widowControl/>
              <w:autoSpaceDE/>
              <w:autoSpaceDN/>
              <w:adjustRightInd/>
              <w:spacing w:before="40" w:after="40" w:line="259" w:lineRule="auto"/>
              <w:rPr>
                <w:rFonts w:ascii="Calibri" w:eastAsia="Calibri" w:hAnsi="Calibri"/>
                <w:sz w:val="22"/>
                <w:szCs w:val="22"/>
                <w:lang w:val="es-ES"/>
              </w:rPr>
            </w:pPr>
            <w:r w:rsidRPr="009B36B6">
              <w:rPr>
                <w:rFonts w:eastAsia="Calibri" w:cs="Arial"/>
                <w:sz w:val="22"/>
                <w:szCs w:val="22"/>
                <w:lang w:val="es-ES"/>
              </w:rPr>
              <w:t xml:space="preserve">Original: </w:t>
            </w:r>
            <w:proofErr w:type="gramStart"/>
            <w:r w:rsidRPr="009B36B6">
              <w:rPr>
                <w:rFonts w:eastAsia="Calibri" w:cs="Arial"/>
                <w:sz w:val="22"/>
                <w:szCs w:val="22"/>
                <w:lang w:val="es-ES"/>
              </w:rPr>
              <w:t>Inglés</w:t>
            </w:r>
            <w:proofErr w:type="gramEnd"/>
          </w:p>
        </w:tc>
      </w:tr>
    </w:tbl>
    <w:p w14:paraId="6DF13526" w14:textId="77777777" w:rsidR="009B36B6" w:rsidRPr="009B36B6" w:rsidRDefault="009B36B6" w:rsidP="009B36B6">
      <w:pPr>
        <w:spacing w:before="40"/>
        <w:jc w:val="both"/>
        <w:rPr>
          <w:rFonts w:cs="Arial"/>
          <w:spacing w:val="-4"/>
          <w:sz w:val="22"/>
          <w:szCs w:val="22"/>
          <w:lang w:val="es-ES"/>
        </w:rPr>
      </w:pPr>
      <w:r w:rsidRPr="009B36B6">
        <w:rPr>
          <w:rFonts w:cs="Arial"/>
          <w:spacing w:val="-4"/>
          <w:sz w:val="22"/>
          <w:szCs w:val="22"/>
          <w:lang w:val="es-ES"/>
        </w:rPr>
        <w:t>4</w:t>
      </w:r>
      <w:r w:rsidRPr="009B36B6">
        <w:rPr>
          <w:rFonts w:cs="Arial"/>
          <w:spacing w:val="-4"/>
          <w:sz w:val="22"/>
          <w:szCs w:val="22"/>
          <w:vertAlign w:val="superscript"/>
          <w:lang w:val="es-ES"/>
        </w:rPr>
        <w:t xml:space="preserve">a </w:t>
      </w:r>
      <w:r w:rsidRPr="009B36B6">
        <w:rPr>
          <w:rFonts w:cs="Arial"/>
          <w:spacing w:val="-4"/>
          <w:sz w:val="22"/>
          <w:szCs w:val="22"/>
          <w:lang w:val="es-ES"/>
        </w:rPr>
        <w:t xml:space="preserve">Reunión de los Signatarios </w:t>
      </w:r>
    </w:p>
    <w:p w14:paraId="5990D99B" w14:textId="77777777" w:rsidR="009B36B6" w:rsidRPr="009B36B6" w:rsidRDefault="009B36B6" w:rsidP="009B36B6">
      <w:pPr>
        <w:jc w:val="both"/>
        <w:rPr>
          <w:rFonts w:cs="Arial"/>
          <w:iCs/>
          <w:sz w:val="22"/>
          <w:szCs w:val="22"/>
          <w:lang w:val="es-ES"/>
        </w:rPr>
      </w:pPr>
      <w:r w:rsidRPr="009B36B6">
        <w:rPr>
          <w:rFonts w:cs="Arial"/>
          <w:bCs/>
          <w:sz w:val="22"/>
          <w:szCs w:val="22"/>
          <w:lang w:val="es-ES"/>
        </w:rPr>
        <w:t>Bonn,28 de febrero-2 de marzo 2023</w:t>
      </w:r>
    </w:p>
    <w:p w14:paraId="24F8F13E" w14:textId="4AF4DE60" w:rsidR="009B36B6" w:rsidRPr="009B36B6" w:rsidRDefault="009B36B6" w:rsidP="009B36B6">
      <w:pPr>
        <w:jc w:val="both"/>
        <w:rPr>
          <w:rFonts w:cs="Arial"/>
          <w:bCs/>
          <w:sz w:val="22"/>
          <w:szCs w:val="22"/>
          <w:lang w:val="es-ES"/>
        </w:rPr>
      </w:pPr>
      <w:r w:rsidRPr="009B36B6">
        <w:rPr>
          <w:rFonts w:cs="Arial"/>
          <w:bCs/>
          <w:sz w:val="22"/>
          <w:szCs w:val="22"/>
          <w:lang w:val="es-ES"/>
        </w:rPr>
        <w:t xml:space="preserve">Orden del día </w:t>
      </w:r>
      <w:r>
        <w:rPr>
          <w:rFonts w:cs="Arial"/>
          <w:bCs/>
          <w:sz w:val="22"/>
          <w:szCs w:val="22"/>
          <w:lang w:val="es-ES"/>
        </w:rPr>
        <w:t>10</w:t>
      </w:r>
    </w:p>
    <w:p w14:paraId="7D4B9A82" w14:textId="77777777" w:rsidR="009B36B6" w:rsidRPr="009B36B6" w:rsidRDefault="009B36B6" w:rsidP="009B36B6">
      <w:pPr>
        <w:jc w:val="both"/>
        <w:rPr>
          <w:rFonts w:cs="Arial"/>
          <w:bCs/>
          <w:sz w:val="22"/>
          <w:szCs w:val="22"/>
          <w:lang w:val="es-ES"/>
        </w:rPr>
      </w:pPr>
    </w:p>
    <w:p w14:paraId="5438AAC1" w14:textId="77777777" w:rsidR="00400C88" w:rsidRPr="00074250" w:rsidRDefault="00400C88" w:rsidP="00B67B59">
      <w:pPr>
        <w:jc w:val="both"/>
        <w:rPr>
          <w:rFonts w:cs="Arial"/>
          <w:sz w:val="22"/>
          <w:szCs w:val="22"/>
          <w:lang w:val="es-ES"/>
        </w:rPr>
      </w:pPr>
    </w:p>
    <w:p w14:paraId="12704E4B" w14:textId="12E79141" w:rsidR="00B67B59" w:rsidRPr="00074250" w:rsidRDefault="0026143E" w:rsidP="00B67B59">
      <w:pPr>
        <w:pStyle w:val="Heading1"/>
        <w:spacing w:before="0" w:after="120"/>
        <w:jc w:val="center"/>
        <w:rPr>
          <w:rFonts w:ascii="Arial" w:hAnsi="Arial" w:cs="Arial"/>
          <w:b/>
          <w:bCs/>
          <w:color w:val="auto"/>
          <w:sz w:val="22"/>
          <w:szCs w:val="22"/>
          <w:lang w:val="es-ES"/>
        </w:rPr>
      </w:pPr>
      <w:bookmarkStart w:id="0" w:name="_Hlk122617051"/>
      <w:r w:rsidRPr="0026143E">
        <w:rPr>
          <w:rFonts w:ascii="Arial" w:hAnsi="Arial" w:cs="Arial"/>
          <w:b/>
          <w:bCs/>
          <w:color w:val="auto"/>
          <w:sz w:val="22"/>
          <w:szCs w:val="22"/>
          <w:lang w:val="es-ES"/>
        </w:rPr>
        <w:t>MEJORA EN LA INFORMACIÓN DE DATOS DE DESEMBARQUE DE LAS ESPECIES INCLUIDAS EN EL ANEXO 1 DEL MDE SOBRE TIBURONES</w:t>
      </w:r>
    </w:p>
    <w:bookmarkEnd w:id="0"/>
    <w:p w14:paraId="18E73A3B" w14:textId="77777777" w:rsidR="00B67B59" w:rsidRPr="00074250" w:rsidRDefault="00B67B59" w:rsidP="00B67B59">
      <w:pPr>
        <w:ind w:right="252"/>
        <w:jc w:val="center"/>
        <w:rPr>
          <w:rFonts w:cs="Arial"/>
          <w:bCs/>
          <w:i/>
          <w:sz w:val="22"/>
          <w:szCs w:val="22"/>
          <w:lang w:val="es-ES"/>
        </w:rPr>
      </w:pPr>
      <w:r w:rsidRPr="00074250">
        <w:rPr>
          <w:rFonts w:cs="Arial"/>
          <w:bCs/>
          <w:i/>
          <w:sz w:val="22"/>
          <w:szCs w:val="22"/>
          <w:lang w:val="es-ES"/>
        </w:rPr>
        <w:t>(Preparado por el Comité Asesor)</w:t>
      </w:r>
    </w:p>
    <w:p w14:paraId="79B1B149" w14:textId="453BF277" w:rsidR="00B67B59" w:rsidRPr="00074250" w:rsidRDefault="00B67B59" w:rsidP="00B67B59">
      <w:pPr>
        <w:pStyle w:val="Body"/>
        <w:spacing w:after="0" w:line="240" w:lineRule="auto"/>
        <w:ind w:right="252"/>
        <w:rPr>
          <w:rFonts w:ascii="Arial" w:hAnsi="Arial" w:cs="Arial"/>
          <w:sz w:val="22"/>
          <w:szCs w:val="22"/>
          <w:lang w:val="es-ES"/>
        </w:rPr>
      </w:pPr>
    </w:p>
    <w:p w14:paraId="27D18E6E" w14:textId="77777777" w:rsidR="00B67B59" w:rsidRPr="00074250" w:rsidRDefault="00B67B59" w:rsidP="00B67B59">
      <w:pPr>
        <w:pStyle w:val="Body"/>
        <w:spacing w:after="0" w:line="240" w:lineRule="auto"/>
        <w:ind w:right="252"/>
        <w:rPr>
          <w:rFonts w:ascii="Arial" w:hAnsi="Arial" w:cs="Arial"/>
          <w:sz w:val="22"/>
          <w:szCs w:val="22"/>
          <w:lang w:val="es-ES"/>
        </w:rPr>
      </w:pPr>
    </w:p>
    <w:p w14:paraId="30EB4524" w14:textId="2E3660BA" w:rsidR="00B67B59" w:rsidRPr="00074250" w:rsidRDefault="00B67B59" w:rsidP="002C7D6A">
      <w:pPr>
        <w:pStyle w:val="ListParagraph"/>
        <w:widowControl/>
        <w:numPr>
          <w:ilvl w:val="0"/>
          <w:numId w:val="13"/>
        </w:numPr>
        <w:pBdr>
          <w:top w:val="nil"/>
          <w:left w:val="nil"/>
          <w:bottom w:val="nil"/>
          <w:right w:val="nil"/>
          <w:between w:val="nil"/>
          <w:bar w:val="nil"/>
        </w:pBdr>
        <w:autoSpaceDE/>
        <w:autoSpaceDN/>
        <w:adjustRightInd/>
        <w:ind w:left="567" w:right="26" w:hanging="567"/>
        <w:contextualSpacing w:val="0"/>
        <w:jc w:val="both"/>
        <w:rPr>
          <w:rFonts w:cs="Arial"/>
          <w:b/>
          <w:bCs/>
          <w:sz w:val="22"/>
          <w:szCs w:val="22"/>
          <w:lang w:val="es-ES"/>
        </w:rPr>
      </w:pPr>
      <w:r w:rsidRPr="00074250">
        <w:rPr>
          <w:rFonts w:cs="Arial"/>
          <w:sz w:val="22"/>
          <w:szCs w:val="22"/>
          <w:u w:val="single"/>
          <w:lang w:val="es-ES"/>
        </w:rPr>
        <w:t>El Anexo 1</w:t>
      </w:r>
      <w:r w:rsidRPr="00074250">
        <w:rPr>
          <w:rFonts w:cs="Arial"/>
          <w:sz w:val="22"/>
          <w:szCs w:val="22"/>
          <w:lang w:val="es-ES"/>
        </w:rPr>
        <w:t xml:space="preserve"> de este documento incluye un análisis de los datos notificados a la Organización de las Naciones Unidas para la Alimentación y la Agricultura (FAO) sobre los desembarcos nominales</w:t>
      </w:r>
      <w:r w:rsidRPr="00074250">
        <w:rPr>
          <w:rStyle w:val="FootnoteReference"/>
          <w:rFonts w:cs="Arial"/>
          <w:sz w:val="22"/>
          <w:szCs w:val="22"/>
          <w:lang w:val="es-ES"/>
        </w:rPr>
        <w:footnoteReference w:id="1"/>
      </w:r>
      <w:r w:rsidRPr="00074250">
        <w:rPr>
          <w:rFonts w:cs="Arial"/>
          <w:sz w:val="22"/>
          <w:szCs w:val="22"/>
          <w:lang w:val="es-ES"/>
        </w:rPr>
        <w:t xml:space="preserve"> de especies de tiburones y rayas enumeradas en el Apéndice I de la CMS y el Anexo 1 del </w:t>
      </w:r>
      <w:proofErr w:type="spellStart"/>
      <w:r w:rsidRPr="00074250">
        <w:rPr>
          <w:rFonts w:cs="Arial"/>
          <w:sz w:val="22"/>
          <w:szCs w:val="22"/>
          <w:lang w:val="es-ES"/>
        </w:rPr>
        <w:t>MdE</w:t>
      </w:r>
      <w:proofErr w:type="spellEnd"/>
      <w:r w:rsidRPr="00074250">
        <w:rPr>
          <w:rFonts w:cs="Arial"/>
          <w:sz w:val="22"/>
          <w:szCs w:val="22"/>
          <w:lang w:val="es-ES"/>
        </w:rPr>
        <w:t xml:space="preserve"> sobre Tiburones. En el</w:t>
      </w:r>
      <w:r w:rsidRPr="00744507">
        <w:rPr>
          <w:rFonts w:cs="Arial"/>
          <w:sz w:val="22"/>
          <w:szCs w:val="22"/>
          <w:u w:val="single"/>
          <w:lang w:val="es-ES"/>
        </w:rPr>
        <w:t xml:space="preserve"> Anexo 1</w:t>
      </w:r>
      <w:r w:rsidRPr="00074250">
        <w:rPr>
          <w:rFonts w:cs="Arial"/>
          <w:i/>
          <w:iCs/>
          <w:sz w:val="22"/>
          <w:szCs w:val="22"/>
          <w:lang w:val="es-ES"/>
        </w:rPr>
        <w:t xml:space="preserve">, </w:t>
      </w:r>
      <w:r w:rsidRPr="00744507">
        <w:rPr>
          <w:rFonts w:cs="Arial"/>
          <w:sz w:val="22"/>
          <w:szCs w:val="22"/>
          <w:lang w:val="es-ES"/>
        </w:rPr>
        <w:t xml:space="preserve">sección 1, se incluye un </w:t>
      </w:r>
      <w:r w:rsidRPr="00074250">
        <w:rPr>
          <w:rFonts w:cs="Arial"/>
          <w:sz w:val="22"/>
          <w:szCs w:val="22"/>
          <w:lang w:val="es-ES"/>
        </w:rPr>
        <w:t>"</w:t>
      </w:r>
      <w:r w:rsidRPr="00744507">
        <w:rPr>
          <w:rFonts w:cs="Arial"/>
          <w:i/>
          <w:iCs/>
          <w:sz w:val="22"/>
          <w:szCs w:val="22"/>
          <w:lang w:val="es-ES"/>
        </w:rPr>
        <w:t>resumen operativo de los resultados y recomendaciones principales”</w:t>
      </w:r>
      <w:r w:rsidRPr="00074250">
        <w:rPr>
          <w:rFonts w:cs="Arial"/>
          <w:sz w:val="22"/>
          <w:szCs w:val="22"/>
          <w:u w:val="single"/>
          <w:lang w:val="es-ES"/>
        </w:rPr>
        <w:t>.</w:t>
      </w:r>
    </w:p>
    <w:p w14:paraId="4CC8473A" w14:textId="77777777" w:rsidR="00B67B59" w:rsidRPr="00074250" w:rsidRDefault="00B67B59" w:rsidP="00B67B59">
      <w:pPr>
        <w:pStyle w:val="ListParagraph"/>
        <w:widowControl/>
        <w:pBdr>
          <w:top w:val="nil"/>
          <w:left w:val="nil"/>
          <w:bottom w:val="nil"/>
          <w:right w:val="nil"/>
          <w:between w:val="nil"/>
          <w:bar w:val="nil"/>
        </w:pBdr>
        <w:autoSpaceDE/>
        <w:autoSpaceDN/>
        <w:adjustRightInd/>
        <w:ind w:left="567" w:right="26"/>
        <w:contextualSpacing w:val="0"/>
        <w:jc w:val="both"/>
        <w:rPr>
          <w:rFonts w:cs="Arial"/>
          <w:b/>
          <w:bCs/>
          <w:sz w:val="22"/>
          <w:szCs w:val="22"/>
          <w:lang w:val="es-ES"/>
        </w:rPr>
      </w:pPr>
    </w:p>
    <w:p w14:paraId="3A614B0C" w14:textId="77777777" w:rsidR="00B67B59" w:rsidRPr="00074250" w:rsidRDefault="00B67B59" w:rsidP="002C7D6A">
      <w:pPr>
        <w:pStyle w:val="ListParagraph"/>
        <w:widowControl/>
        <w:numPr>
          <w:ilvl w:val="0"/>
          <w:numId w:val="13"/>
        </w:numPr>
        <w:pBdr>
          <w:top w:val="nil"/>
          <w:left w:val="nil"/>
          <w:bottom w:val="nil"/>
          <w:right w:val="nil"/>
          <w:between w:val="nil"/>
          <w:bar w:val="nil"/>
        </w:pBdr>
        <w:autoSpaceDE/>
        <w:autoSpaceDN/>
        <w:adjustRightInd/>
        <w:ind w:left="567" w:right="26" w:hanging="567"/>
        <w:contextualSpacing w:val="0"/>
        <w:jc w:val="both"/>
        <w:rPr>
          <w:rFonts w:cs="Arial"/>
          <w:sz w:val="22"/>
          <w:szCs w:val="22"/>
          <w:lang w:val="es-ES"/>
        </w:rPr>
      </w:pPr>
      <w:r w:rsidRPr="00074250">
        <w:rPr>
          <w:rFonts w:cs="Arial"/>
          <w:sz w:val="22"/>
          <w:szCs w:val="22"/>
          <w:lang w:val="es-ES"/>
        </w:rPr>
        <w:t xml:space="preserve">En función de los hallazgos del análisis, el </w:t>
      </w:r>
      <w:r w:rsidRPr="00074250">
        <w:rPr>
          <w:rFonts w:cs="Arial"/>
          <w:sz w:val="22"/>
          <w:szCs w:val="22"/>
          <w:u w:val="single"/>
          <w:lang w:val="es-ES"/>
        </w:rPr>
        <w:t>Anexo 2</w:t>
      </w:r>
      <w:r w:rsidRPr="00074250">
        <w:rPr>
          <w:rFonts w:cs="Arial"/>
          <w:sz w:val="22"/>
          <w:szCs w:val="22"/>
          <w:lang w:val="es-ES"/>
        </w:rPr>
        <w:t xml:space="preserve"> incluye “</w:t>
      </w:r>
      <w:r w:rsidRPr="00074250">
        <w:rPr>
          <w:rFonts w:cs="Arial"/>
          <w:i/>
          <w:iCs/>
          <w:sz w:val="22"/>
          <w:szCs w:val="22"/>
          <w:lang w:val="es-ES"/>
        </w:rPr>
        <w:t xml:space="preserve">Recomendaciones a los Signatarios para mejorar la notificación de datos sobre desembarcos para las especies enumeradas en el Anexo 1 del </w:t>
      </w:r>
      <w:proofErr w:type="spellStart"/>
      <w:r w:rsidRPr="00074250">
        <w:rPr>
          <w:rFonts w:cs="Arial"/>
          <w:i/>
          <w:iCs/>
          <w:sz w:val="22"/>
          <w:szCs w:val="22"/>
          <w:lang w:val="es-ES"/>
        </w:rPr>
        <w:t>MdE</w:t>
      </w:r>
      <w:proofErr w:type="spellEnd"/>
      <w:r w:rsidRPr="00074250">
        <w:rPr>
          <w:rFonts w:cs="Arial"/>
          <w:i/>
          <w:iCs/>
          <w:sz w:val="22"/>
          <w:szCs w:val="22"/>
          <w:lang w:val="es-ES"/>
        </w:rPr>
        <w:t xml:space="preserve"> sobre Tiburones</w:t>
      </w:r>
      <w:r w:rsidRPr="00074250">
        <w:rPr>
          <w:rFonts w:cs="Arial"/>
          <w:sz w:val="22"/>
          <w:szCs w:val="22"/>
          <w:lang w:val="es-ES"/>
        </w:rPr>
        <w:t>”. Se invita a los Signatarios a revisar y adoptar las recomendaciones finales como “Resultado 4.x” a partir de esta Reunión</w:t>
      </w:r>
    </w:p>
    <w:p w14:paraId="4188D012" w14:textId="77777777" w:rsidR="00B67B59" w:rsidRPr="00074250" w:rsidRDefault="00B67B59" w:rsidP="00B67B59">
      <w:pPr>
        <w:pStyle w:val="ListParagraph"/>
        <w:widowControl/>
        <w:pBdr>
          <w:top w:val="nil"/>
          <w:left w:val="nil"/>
          <w:bottom w:val="nil"/>
          <w:right w:val="nil"/>
          <w:between w:val="nil"/>
          <w:bar w:val="nil"/>
        </w:pBdr>
        <w:autoSpaceDE/>
        <w:autoSpaceDN/>
        <w:adjustRightInd/>
        <w:ind w:left="567" w:right="26"/>
        <w:contextualSpacing w:val="0"/>
        <w:jc w:val="both"/>
        <w:rPr>
          <w:rFonts w:cs="Arial"/>
          <w:sz w:val="22"/>
          <w:szCs w:val="22"/>
          <w:lang w:val="es-ES"/>
        </w:rPr>
      </w:pPr>
    </w:p>
    <w:p w14:paraId="38A30BAB" w14:textId="72B894EE" w:rsidR="00B67B59" w:rsidRPr="00074250" w:rsidRDefault="00B67B59" w:rsidP="002C7D6A">
      <w:pPr>
        <w:pStyle w:val="ListParagraph"/>
        <w:widowControl/>
        <w:numPr>
          <w:ilvl w:val="0"/>
          <w:numId w:val="13"/>
        </w:numPr>
        <w:pBdr>
          <w:top w:val="nil"/>
          <w:left w:val="nil"/>
          <w:bottom w:val="nil"/>
          <w:right w:val="nil"/>
          <w:between w:val="nil"/>
          <w:bar w:val="nil"/>
        </w:pBdr>
        <w:autoSpaceDE/>
        <w:autoSpaceDN/>
        <w:adjustRightInd/>
        <w:ind w:left="567" w:right="26" w:hanging="567"/>
        <w:contextualSpacing w:val="0"/>
        <w:jc w:val="both"/>
        <w:rPr>
          <w:rFonts w:cs="Arial"/>
          <w:sz w:val="22"/>
          <w:szCs w:val="22"/>
          <w:lang w:val="es-ES"/>
        </w:rPr>
      </w:pPr>
      <w:r w:rsidRPr="00074250">
        <w:rPr>
          <w:rFonts w:cs="Arial"/>
          <w:sz w:val="22"/>
          <w:szCs w:val="22"/>
          <w:u w:val="single"/>
          <w:lang w:val="es-ES"/>
        </w:rPr>
        <w:t>El Anexo 3</w:t>
      </w:r>
      <w:r w:rsidRPr="00074250">
        <w:rPr>
          <w:rFonts w:cs="Arial"/>
          <w:sz w:val="22"/>
          <w:szCs w:val="22"/>
          <w:lang w:val="es-ES"/>
        </w:rPr>
        <w:t xml:space="preserve"> incluye proyectos de decisión a partir de esta reunión y el borrador de actividades del </w:t>
      </w:r>
      <w:r w:rsidRPr="00074250">
        <w:rPr>
          <w:rFonts w:cs="Arial"/>
          <w:sz w:val="22"/>
          <w:szCs w:val="22"/>
          <w:u w:val="single"/>
          <w:lang w:val="es-ES"/>
        </w:rPr>
        <w:t>Anexo 4</w:t>
      </w:r>
      <w:r w:rsidRPr="00074250">
        <w:rPr>
          <w:rFonts w:cs="Arial"/>
          <w:sz w:val="22"/>
          <w:szCs w:val="22"/>
          <w:lang w:val="es-ES"/>
        </w:rPr>
        <w:t>, pudiendo ser considerado por los Signatarios para su inclusión en el Programa de Trabajo (2023-2025) también debatido en el punto 12 del orden del día.</w:t>
      </w:r>
    </w:p>
    <w:p w14:paraId="620383BF" w14:textId="77777777" w:rsidR="00B67B59" w:rsidRPr="00074250" w:rsidRDefault="00B67B59" w:rsidP="00B67B59">
      <w:pPr>
        <w:pStyle w:val="ListParagraph"/>
        <w:ind w:right="26"/>
        <w:rPr>
          <w:rFonts w:cs="Arial"/>
          <w:sz w:val="22"/>
          <w:szCs w:val="22"/>
          <w:lang w:val="es-ES"/>
        </w:rPr>
      </w:pPr>
    </w:p>
    <w:p w14:paraId="7001B446" w14:textId="33BDC19B" w:rsidR="00B67B59" w:rsidRPr="00074250" w:rsidRDefault="00B67B59" w:rsidP="002C7D6A">
      <w:pPr>
        <w:pStyle w:val="ListParagraph"/>
        <w:widowControl/>
        <w:numPr>
          <w:ilvl w:val="0"/>
          <w:numId w:val="13"/>
        </w:numPr>
        <w:pBdr>
          <w:top w:val="nil"/>
          <w:left w:val="nil"/>
          <w:bottom w:val="nil"/>
          <w:right w:val="nil"/>
          <w:between w:val="nil"/>
          <w:bar w:val="nil"/>
        </w:pBdr>
        <w:autoSpaceDE/>
        <w:autoSpaceDN/>
        <w:adjustRightInd/>
        <w:ind w:left="567" w:right="26" w:hanging="567"/>
        <w:contextualSpacing w:val="0"/>
        <w:jc w:val="both"/>
        <w:rPr>
          <w:rFonts w:cs="Arial"/>
          <w:sz w:val="22"/>
          <w:szCs w:val="22"/>
          <w:lang w:val="es-ES"/>
        </w:rPr>
      </w:pPr>
      <w:r w:rsidRPr="00074250">
        <w:rPr>
          <w:rFonts w:cs="Arial"/>
          <w:sz w:val="22"/>
          <w:szCs w:val="22"/>
          <w:lang w:val="es-ES"/>
        </w:rPr>
        <w:t xml:space="preserve">Los datos de desembarcos utilizados para este análisis pueden visualizarse de forma interactiva si se accede a </w:t>
      </w:r>
      <w:r w:rsidRPr="00074250">
        <w:rPr>
          <w:rFonts w:cs="Arial"/>
          <w:sz w:val="22"/>
          <w:szCs w:val="22"/>
          <w:u w:val="single"/>
          <w:lang w:val="es-ES"/>
        </w:rPr>
        <w:t>los archivos de Información Complementaria del Anexo I</w:t>
      </w:r>
      <w:r w:rsidRPr="00074250">
        <w:rPr>
          <w:rFonts w:cs="Arial"/>
          <w:sz w:val="22"/>
          <w:szCs w:val="22"/>
          <w:lang w:val="es-ES"/>
        </w:rPr>
        <w:t xml:space="preserve">. Se insta a los Signatarios a que consulten estos archivos y los tengan en cuenta para ofrecer información sobre actividades futuras del </w:t>
      </w:r>
      <w:proofErr w:type="spellStart"/>
      <w:r w:rsidRPr="00074250">
        <w:rPr>
          <w:rFonts w:cs="Arial"/>
          <w:sz w:val="22"/>
          <w:szCs w:val="22"/>
          <w:lang w:val="es-ES"/>
        </w:rPr>
        <w:t>MdE</w:t>
      </w:r>
      <w:proofErr w:type="spellEnd"/>
      <w:r w:rsidRPr="00074250">
        <w:rPr>
          <w:rFonts w:cs="Arial"/>
          <w:sz w:val="22"/>
          <w:szCs w:val="22"/>
          <w:lang w:val="es-ES"/>
        </w:rPr>
        <w:t xml:space="preserve"> sobre Tiburones, en caso necesario.</w:t>
      </w:r>
    </w:p>
    <w:p w14:paraId="0C6DE59B" w14:textId="77777777" w:rsidR="00B67B59" w:rsidRPr="00074250" w:rsidRDefault="00B67B59" w:rsidP="00B67B59">
      <w:pPr>
        <w:pStyle w:val="Heading2"/>
        <w:ind w:right="26"/>
        <w:rPr>
          <w:sz w:val="22"/>
          <w:szCs w:val="22"/>
          <w:lang w:val="es-ES"/>
        </w:rPr>
      </w:pPr>
    </w:p>
    <w:p w14:paraId="6F0E2EAB" w14:textId="77777777" w:rsidR="00B67B59" w:rsidRPr="00074250" w:rsidRDefault="00B67B59" w:rsidP="00B67B59">
      <w:pPr>
        <w:pStyle w:val="Heading2"/>
        <w:ind w:right="26"/>
        <w:rPr>
          <w:sz w:val="22"/>
          <w:szCs w:val="22"/>
          <w:lang w:val="es-ES"/>
        </w:rPr>
      </w:pPr>
      <w:r w:rsidRPr="00074250">
        <w:rPr>
          <w:sz w:val="22"/>
          <w:szCs w:val="22"/>
          <w:lang w:val="es-ES"/>
        </w:rPr>
        <w:t>Antecedentes</w:t>
      </w:r>
    </w:p>
    <w:p w14:paraId="04A89E22" w14:textId="77777777" w:rsidR="00B67B59" w:rsidRPr="00074250" w:rsidRDefault="00B67B59" w:rsidP="00B67B59">
      <w:pPr>
        <w:ind w:right="26"/>
        <w:rPr>
          <w:b/>
          <w:bCs/>
          <w:sz w:val="22"/>
          <w:szCs w:val="22"/>
          <w:lang w:val="es-ES"/>
        </w:rPr>
      </w:pPr>
    </w:p>
    <w:p w14:paraId="0E213B47" w14:textId="11B916B3" w:rsidR="00B67B59" w:rsidRPr="00074250" w:rsidRDefault="00B67B59" w:rsidP="00B67B59">
      <w:pPr>
        <w:ind w:right="26"/>
        <w:rPr>
          <w:sz w:val="22"/>
          <w:szCs w:val="22"/>
          <w:lang w:val="es-ES"/>
        </w:rPr>
      </w:pPr>
      <w:r w:rsidRPr="00074250">
        <w:rPr>
          <w:b/>
          <w:bCs/>
          <w:sz w:val="22"/>
          <w:szCs w:val="22"/>
          <w:lang w:val="es-ES"/>
        </w:rPr>
        <w:t xml:space="preserve">Propuestas del </w:t>
      </w:r>
      <w:proofErr w:type="spellStart"/>
      <w:r w:rsidRPr="00074250">
        <w:rPr>
          <w:b/>
          <w:bCs/>
          <w:sz w:val="22"/>
          <w:szCs w:val="22"/>
          <w:lang w:val="es-ES"/>
        </w:rPr>
        <w:t>MdE</w:t>
      </w:r>
      <w:proofErr w:type="spellEnd"/>
    </w:p>
    <w:p w14:paraId="2BEBCEAA" w14:textId="77777777" w:rsidR="00B67B59" w:rsidRPr="00074250" w:rsidRDefault="00B67B59" w:rsidP="00B67B59">
      <w:pPr>
        <w:pStyle w:val="ListParagraph"/>
        <w:widowControl/>
        <w:pBdr>
          <w:top w:val="nil"/>
          <w:left w:val="nil"/>
          <w:bottom w:val="nil"/>
          <w:right w:val="nil"/>
          <w:between w:val="nil"/>
          <w:bar w:val="nil"/>
        </w:pBdr>
        <w:autoSpaceDE/>
        <w:autoSpaceDN/>
        <w:adjustRightInd/>
        <w:ind w:left="567" w:right="26"/>
        <w:contextualSpacing w:val="0"/>
        <w:jc w:val="both"/>
        <w:rPr>
          <w:rFonts w:cs="Arial"/>
          <w:sz w:val="22"/>
          <w:szCs w:val="22"/>
          <w:lang w:val="es-ES"/>
        </w:rPr>
      </w:pPr>
    </w:p>
    <w:p w14:paraId="10640842" w14:textId="66E0BAB0" w:rsidR="00B67B59" w:rsidRPr="00074250" w:rsidRDefault="00B67B59" w:rsidP="002C7D6A">
      <w:pPr>
        <w:pStyle w:val="ListParagraph"/>
        <w:widowControl/>
        <w:numPr>
          <w:ilvl w:val="0"/>
          <w:numId w:val="13"/>
        </w:numPr>
        <w:pBdr>
          <w:top w:val="nil"/>
          <w:left w:val="nil"/>
          <w:bottom w:val="nil"/>
          <w:right w:val="nil"/>
          <w:between w:val="nil"/>
          <w:bar w:val="nil"/>
        </w:pBdr>
        <w:autoSpaceDE/>
        <w:autoSpaceDN/>
        <w:adjustRightInd/>
        <w:ind w:left="567" w:right="26" w:hanging="567"/>
        <w:contextualSpacing w:val="0"/>
        <w:jc w:val="both"/>
        <w:rPr>
          <w:rFonts w:cs="Arial"/>
          <w:sz w:val="22"/>
          <w:szCs w:val="22"/>
          <w:lang w:val="es-ES"/>
        </w:rPr>
      </w:pPr>
      <w:r w:rsidRPr="00074250">
        <w:rPr>
          <w:rFonts w:cs="Arial"/>
          <w:sz w:val="22"/>
          <w:szCs w:val="22"/>
          <w:lang w:val="es-ES"/>
        </w:rPr>
        <w:t xml:space="preserve">De acuerdo con el </w:t>
      </w:r>
      <w:hyperlink r:id="rId11" w:history="1">
        <w:r w:rsidRPr="00074250">
          <w:rPr>
            <w:rStyle w:val="Hyperlink"/>
            <w:rFonts w:cs="Arial"/>
            <w:sz w:val="22"/>
            <w:szCs w:val="22"/>
            <w:lang w:val="es-ES"/>
          </w:rPr>
          <w:t>Programa de Trabajo (2019-2021</w:t>
        </w:r>
      </w:hyperlink>
      <w:r w:rsidRPr="00074250">
        <w:rPr>
          <w:rStyle w:val="Hyperlink"/>
          <w:rFonts w:cs="Arial"/>
          <w:sz w:val="22"/>
          <w:szCs w:val="22"/>
          <w:lang w:val="es-ES"/>
        </w:rPr>
        <w:t>)</w:t>
      </w:r>
      <w:r w:rsidRPr="00074250">
        <w:rPr>
          <w:rFonts w:cs="Arial"/>
          <w:sz w:val="22"/>
          <w:szCs w:val="22"/>
          <w:lang w:val="es-ES"/>
        </w:rPr>
        <w:t xml:space="preserve">, se encargó al Comité Asesor (CA) del </w:t>
      </w:r>
      <w:proofErr w:type="spellStart"/>
      <w:r w:rsidRPr="00074250">
        <w:rPr>
          <w:rFonts w:cs="Arial"/>
          <w:sz w:val="22"/>
          <w:szCs w:val="22"/>
          <w:lang w:val="es-ES"/>
        </w:rPr>
        <w:t>MdE</w:t>
      </w:r>
      <w:proofErr w:type="spellEnd"/>
      <w:r w:rsidRPr="00074250">
        <w:rPr>
          <w:rFonts w:cs="Arial"/>
          <w:sz w:val="22"/>
          <w:szCs w:val="22"/>
          <w:lang w:val="es-ES"/>
        </w:rPr>
        <w:t xml:space="preserve"> sobre Tiburones: </w:t>
      </w:r>
    </w:p>
    <w:p w14:paraId="5666D5BE" w14:textId="77777777" w:rsidR="00F72B70" w:rsidRPr="00074250" w:rsidRDefault="00F72B70" w:rsidP="00F72B70">
      <w:pPr>
        <w:pStyle w:val="ListParagraph"/>
        <w:widowControl/>
        <w:pBdr>
          <w:top w:val="nil"/>
          <w:left w:val="nil"/>
          <w:bottom w:val="nil"/>
          <w:right w:val="nil"/>
          <w:between w:val="nil"/>
          <w:bar w:val="nil"/>
        </w:pBdr>
        <w:autoSpaceDE/>
        <w:autoSpaceDN/>
        <w:adjustRightInd/>
        <w:ind w:left="567" w:right="26"/>
        <w:contextualSpacing w:val="0"/>
        <w:jc w:val="both"/>
        <w:rPr>
          <w:rFonts w:cs="Arial"/>
          <w:sz w:val="22"/>
          <w:szCs w:val="22"/>
          <w:lang w:val="es-ES"/>
        </w:rPr>
      </w:pPr>
    </w:p>
    <w:p w14:paraId="58509302" w14:textId="79DCCABB" w:rsidR="00E31F80" w:rsidRPr="009B36B6" w:rsidRDefault="009B36B6" w:rsidP="00744507">
      <w:pPr>
        <w:pStyle w:val="ListParagraph"/>
        <w:widowControl/>
        <w:numPr>
          <w:ilvl w:val="1"/>
          <w:numId w:val="13"/>
        </w:numPr>
        <w:pBdr>
          <w:top w:val="nil"/>
          <w:left w:val="nil"/>
          <w:bottom w:val="nil"/>
          <w:right w:val="nil"/>
          <w:between w:val="nil"/>
          <w:bar w:val="nil"/>
        </w:pBdr>
        <w:autoSpaceDE/>
        <w:autoSpaceDN/>
        <w:adjustRightInd/>
        <w:ind w:left="900" w:right="26"/>
        <w:jc w:val="both"/>
        <w:rPr>
          <w:rFonts w:cs="Arial"/>
          <w:sz w:val="22"/>
          <w:szCs w:val="22"/>
          <w:lang w:val="es-ES"/>
        </w:rPr>
      </w:pPr>
      <w:r w:rsidRPr="009B36B6">
        <w:rPr>
          <w:rFonts w:cs="Arial"/>
          <w:sz w:val="22"/>
          <w:szCs w:val="22"/>
          <w:lang w:val="es-ES"/>
        </w:rPr>
        <w:t xml:space="preserve">Desarrollar más y priorizar las áreas de acción sugeridas según el </w:t>
      </w:r>
      <w:hyperlink r:id="rId12" w:history="1">
        <w:r w:rsidRPr="00744507">
          <w:rPr>
            <w:rStyle w:val="Hyperlink"/>
            <w:rFonts w:cs="Arial"/>
            <w:sz w:val="22"/>
            <w:szCs w:val="22"/>
            <w:lang w:val="es-ES"/>
          </w:rPr>
          <w:t>Resultado 3.12</w:t>
        </w:r>
      </w:hyperlink>
      <w:r w:rsidRPr="009B36B6">
        <w:rPr>
          <w:rFonts w:cs="Arial"/>
          <w:sz w:val="22"/>
          <w:szCs w:val="22"/>
          <w:lang w:val="es-ES"/>
        </w:rPr>
        <w:t>, con opciones por taxones, región y otros factores relevantes</w:t>
      </w:r>
      <w:r w:rsidR="0094427B" w:rsidRPr="009B36B6">
        <w:rPr>
          <w:rStyle w:val="Hyperlink"/>
          <w:rFonts w:cs="Arial"/>
          <w:sz w:val="22"/>
          <w:szCs w:val="22"/>
          <w:lang w:val="es-ES"/>
        </w:rPr>
        <w:t xml:space="preserve"> </w:t>
      </w:r>
      <w:r w:rsidR="00E31F80" w:rsidRPr="009B36B6">
        <w:rPr>
          <w:rFonts w:cs="Arial"/>
          <w:sz w:val="22"/>
          <w:szCs w:val="22"/>
          <w:lang w:val="es-ES"/>
        </w:rPr>
        <w:t xml:space="preserve">con opciones por </w:t>
      </w:r>
      <w:r w:rsidR="00F72B70" w:rsidRPr="009B36B6">
        <w:rPr>
          <w:rFonts w:cs="Arial"/>
          <w:sz w:val="22"/>
          <w:szCs w:val="22"/>
          <w:lang w:val="es-ES"/>
        </w:rPr>
        <w:t>taxó</w:t>
      </w:r>
      <w:r w:rsidR="00E31F80" w:rsidRPr="009B36B6">
        <w:rPr>
          <w:rFonts w:cs="Arial"/>
          <w:sz w:val="22"/>
          <w:szCs w:val="22"/>
          <w:lang w:val="es-ES"/>
        </w:rPr>
        <w:t xml:space="preserve">n, </w:t>
      </w:r>
      <w:r w:rsidR="00F72B70" w:rsidRPr="009B36B6">
        <w:rPr>
          <w:rFonts w:cs="Arial"/>
          <w:sz w:val="22"/>
          <w:szCs w:val="22"/>
          <w:lang w:val="es-ES"/>
        </w:rPr>
        <w:t>regió</w:t>
      </w:r>
      <w:r w:rsidR="00E31F80" w:rsidRPr="009B36B6">
        <w:rPr>
          <w:rFonts w:cs="Arial"/>
          <w:sz w:val="22"/>
          <w:szCs w:val="22"/>
          <w:lang w:val="es-ES"/>
        </w:rPr>
        <w:t>n y otros factores relevantes (actividad 3);</w:t>
      </w:r>
    </w:p>
    <w:p w14:paraId="29959B99" w14:textId="1496EE50" w:rsidR="00744507" w:rsidRDefault="00744507" w:rsidP="00744507">
      <w:pPr>
        <w:widowControl/>
        <w:autoSpaceDE/>
        <w:autoSpaceDN/>
        <w:adjustRightInd/>
        <w:spacing w:after="160" w:line="259" w:lineRule="auto"/>
        <w:ind w:left="900" w:hanging="360"/>
        <w:rPr>
          <w:rFonts w:cs="Arial"/>
          <w:sz w:val="22"/>
          <w:szCs w:val="22"/>
          <w:lang w:val="es-ES"/>
        </w:rPr>
      </w:pPr>
    </w:p>
    <w:p w14:paraId="58BFB92D" w14:textId="23632936" w:rsidR="00E31F80" w:rsidRPr="009B36B6" w:rsidRDefault="009B36B6" w:rsidP="00744507">
      <w:pPr>
        <w:pStyle w:val="ListParagraph"/>
        <w:widowControl/>
        <w:numPr>
          <w:ilvl w:val="1"/>
          <w:numId w:val="13"/>
        </w:numPr>
        <w:pBdr>
          <w:top w:val="nil"/>
          <w:left w:val="nil"/>
          <w:bottom w:val="nil"/>
          <w:right w:val="nil"/>
          <w:between w:val="nil"/>
          <w:bar w:val="nil"/>
        </w:pBdr>
        <w:autoSpaceDE/>
        <w:autoSpaceDN/>
        <w:adjustRightInd/>
        <w:ind w:left="900" w:right="26"/>
        <w:jc w:val="both"/>
        <w:rPr>
          <w:rFonts w:cs="Arial"/>
          <w:sz w:val="22"/>
          <w:szCs w:val="22"/>
          <w:lang w:val="es-ES"/>
        </w:rPr>
      </w:pPr>
      <w:r w:rsidRPr="009B36B6">
        <w:rPr>
          <w:rFonts w:cs="Arial"/>
          <w:sz w:val="22"/>
          <w:szCs w:val="22"/>
          <w:lang w:val="es-ES"/>
        </w:rPr>
        <w:lastRenderedPageBreak/>
        <w:t xml:space="preserve">Establecer un depósito de información pertinente para ayudar a los gestores, incluyendo la identificación de especies, la mitigación de la captura incidental y el manejo seguro, la supervivencia de los descartes, y otra información pertinente de ordenación pesquera. </w:t>
      </w:r>
      <w:r w:rsidR="00E31F80" w:rsidRPr="009B36B6">
        <w:rPr>
          <w:rFonts w:cs="Arial"/>
          <w:sz w:val="22"/>
          <w:szCs w:val="22"/>
          <w:lang w:val="es-ES"/>
        </w:rPr>
        <w:t>(actividad 8);</w:t>
      </w:r>
    </w:p>
    <w:p w14:paraId="25651652" w14:textId="77777777" w:rsidR="00E31F80" w:rsidRPr="00074250" w:rsidRDefault="00E31F80" w:rsidP="00744507">
      <w:pPr>
        <w:pStyle w:val="ListParagraph"/>
        <w:ind w:left="900" w:hanging="360"/>
        <w:rPr>
          <w:rFonts w:cs="Arial"/>
          <w:sz w:val="22"/>
          <w:szCs w:val="22"/>
          <w:lang w:val="es-ES"/>
        </w:rPr>
      </w:pPr>
    </w:p>
    <w:p w14:paraId="17F8E904" w14:textId="5B4EBB9F" w:rsidR="00744507" w:rsidRDefault="009B36B6" w:rsidP="00744507">
      <w:pPr>
        <w:pStyle w:val="ListParagraph"/>
        <w:widowControl/>
        <w:numPr>
          <w:ilvl w:val="1"/>
          <w:numId w:val="13"/>
        </w:numPr>
        <w:pBdr>
          <w:top w:val="nil"/>
          <w:left w:val="nil"/>
          <w:bottom w:val="nil"/>
          <w:right w:val="nil"/>
          <w:between w:val="nil"/>
          <w:bar w:val="nil"/>
        </w:pBdr>
        <w:autoSpaceDE/>
        <w:autoSpaceDN/>
        <w:adjustRightInd/>
        <w:ind w:left="900" w:right="26"/>
        <w:jc w:val="both"/>
        <w:rPr>
          <w:rFonts w:cs="Arial"/>
          <w:sz w:val="22"/>
          <w:szCs w:val="22"/>
          <w:lang w:val="es-ES"/>
        </w:rPr>
      </w:pPr>
      <w:r w:rsidRPr="00744507">
        <w:rPr>
          <w:rFonts w:cs="Arial"/>
          <w:sz w:val="22"/>
          <w:szCs w:val="22"/>
          <w:lang w:val="es-ES"/>
        </w:rPr>
        <w:t xml:space="preserve">Llevar a cabo el Programa de creación de capacidad para el </w:t>
      </w:r>
      <w:proofErr w:type="spellStart"/>
      <w:r w:rsidRPr="00744507">
        <w:rPr>
          <w:rFonts w:cs="Arial"/>
          <w:sz w:val="22"/>
          <w:szCs w:val="22"/>
          <w:lang w:val="es-ES"/>
        </w:rPr>
        <w:t>MdE</w:t>
      </w:r>
      <w:proofErr w:type="spellEnd"/>
      <w:r w:rsidRPr="00744507">
        <w:rPr>
          <w:rFonts w:cs="Arial"/>
          <w:sz w:val="22"/>
          <w:szCs w:val="22"/>
          <w:lang w:val="es-ES"/>
        </w:rPr>
        <w:t xml:space="preserve">, tal como fue adoptado en </w:t>
      </w:r>
      <w:hyperlink r:id="rId13" w:history="1">
        <w:r w:rsidR="00744507" w:rsidRPr="00744507">
          <w:rPr>
            <w:rStyle w:val="Hyperlink"/>
            <w:rFonts w:cs="Arial"/>
            <w:sz w:val="22"/>
            <w:szCs w:val="22"/>
            <w:shd w:val="clear" w:color="auto" w:fill="FFFFFF"/>
            <w:lang w:val="es-ES"/>
          </w:rPr>
          <w:t>Resultado 3.6</w:t>
        </w:r>
      </w:hyperlink>
      <w:r w:rsidRPr="00744507">
        <w:rPr>
          <w:rFonts w:cs="Arial"/>
          <w:sz w:val="22"/>
          <w:szCs w:val="22"/>
          <w:lang w:val="es-ES"/>
        </w:rPr>
        <w:t xml:space="preserve"> para asistir a los Signatarios con el cumplimiento del Plan de Conservación</w:t>
      </w:r>
      <w:r w:rsidR="00744507">
        <w:rPr>
          <w:rFonts w:cs="Arial"/>
          <w:sz w:val="22"/>
          <w:szCs w:val="22"/>
          <w:lang w:val="es-ES"/>
        </w:rPr>
        <w:t xml:space="preserve"> (actividad 10);</w:t>
      </w:r>
    </w:p>
    <w:p w14:paraId="430FFDD8" w14:textId="77777777" w:rsidR="00744507" w:rsidRPr="00744507" w:rsidRDefault="00744507" w:rsidP="00744507">
      <w:pPr>
        <w:pStyle w:val="ListParagraph"/>
        <w:ind w:left="900" w:hanging="360"/>
        <w:rPr>
          <w:rFonts w:cs="Arial"/>
          <w:sz w:val="22"/>
          <w:szCs w:val="22"/>
          <w:lang w:val="es-ES"/>
        </w:rPr>
      </w:pPr>
    </w:p>
    <w:p w14:paraId="10EAC7BC" w14:textId="39C8ED76" w:rsidR="00EB77CE" w:rsidRPr="00074250" w:rsidRDefault="00744507" w:rsidP="00744507">
      <w:pPr>
        <w:pStyle w:val="ListParagraph"/>
        <w:widowControl/>
        <w:numPr>
          <w:ilvl w:val="1"/>
          <w:numId w:val="13"/>
        </w:numPr>
        <w:pBdr>
          <w:top w:val="nil"/>
          <w:left w:val="nil"/>
          <w:bottom w:val="nil"/>
          <w:right w:val="nil"/>
          <w:between w:val="nil"/>
          <w:bar w:val="nil"/>
        </w:pBdr>
        <w:autoSpaceDE/>
        <w:autoSpaceDN/>
        <w:adjustRightInd/>
        <w:ind w:left="900" w:right="26"/>
        <w:jc w:val="both"/>
        <w:rPr>
          <w:rFonts w:cs="Arial"/>
          <w:sz w:val="22"/>
          <w:szCs w:val="22"/>
          <w:lang w:val="es-ES"/>
        </w:rPr>
      </w:pPr>
      <w:r>
        <w:rPr>
          <w:rFonts w:cs="Arial"/>
          <w:sz w:val="22"/>
          <w:szCs w:val="22"/>
          <w:lang w:val="es-ES"/>
        </w:rPr>
        <w:t>Fortalecer</w:t>
      </w:r>
      <w:r w:rsidR="00EB77CE" w:rsidRPr="00074250">
        <w:rPr>
          <w:rFonts w:cs="Arial"/>
          <w:sz w:val="22"/>
          <w:szCs w:val="22"/>
          <w:lang w:val="es-ES"/>
        </w:rPr>
        <w:t xml:space="preserve"> sinergias y colaborar, cuando sea pertinente, con la Convenci</w:t>
      </w:r>
      <w:r w:rsidR="00F72B70" w:rsidRPr="00074250">
        <w:rPr>
          <w:rFonts w:cs="Arial"/>
          <w:sz w:val="22"/>
          <w:szCs w:val="22"/>
          <w:lang w:val="es-ES"/>
        </w:rPr>
        <w:t>ón sobre</w:t>
      </w:r>
      <w:r w:rsidR="00EB77CE" w:rsidRPr="00074250">
        <w:rPr>
          <w:rFonts w:cs="Arial"/>
          <w:sz w:val="22"/>
          <w:szCs w:val="22"/>
          <w:lang w:val="es-ES"/>
        </w:rPr>
        <w:t xml:space="preserve"> el Comercio Internacional de Especies Amenazadas de Fauna y Flora Silvestres (CITES) y con la Organización de las Naciones Unidas para la Alimentación y la Agricultura (FAO) (actividad 12);</w:t>
      </w:r>
    </w:p>
    <w:p w14:paraId="48B41722" w14:textId="77777777" w:rsidR="00EB77CE" w:rsidRPr="00074250" w:rsidRDefault="00EB77CE" w:rsidP="00744507">
      <w:pPr>
        <w:pStyle w:val="ListParagraph"/>
        <w:ind w:left="900" w:hanging="360"/>
        <w:rPr>
          <w:rFonts w:cs="Arial"/>
          <w:sz w:val="22"/>
          <w:szCs w:val="22"/>
          <w:lang w:val="es-ES"/>
        </w:rPr>
      </w:pPr>
    </w:p>
    <w:p w14:paraId="3009DE54" w14:textId="2D6A5F45" w:rsidR="00EB77CE" w:rsidRPr="00074250" w:rsidRDefault="00BD5B19" w:rsidP="00744507">
      <w:pPr>
        <w:pStyle w:val="ListParagraph"/>
        <w:widowControl/>
        <w:numPr>
          <w:ilvl w:val="1"/>
          <w:numId w:val="13"/>
        </w:numPr>
        <w:pBdr>
          <w:top w:val="nil"/>
          <w:left w:val="nil"/>
          <w:bottom w:val="nil"/>
          <w:right w:val="nil"/>
          <w:between w:val="nil"/>
          <w:bar w:val="nil"/>
        </w:pBdr>
        <w:autoSpaceDE/>
        <w:autoSpaceDN/>
        <w:adjustRightInd/>
        <w:ind w:left="900" w:right="26"/>
        <w:jc w:val="both"/>
        <w:rPr>
          <w:rFonts w:cs="Arial"/>
          <w:sz w:val="22"/>
          <w:szCs w:val="22"/>
          <w:lang w:val="es-ES"/>
        </w:rPr>
      </w:pPr>
      <w:r w:rsidRPr="00074250">
        <w:rPr>
          <w:rFonts w:cs="Arial"/>
          <w:sz w:val="22"/>
          <w:szCs w:val="22"/>
          <w:lang w:val="es-ES"/>
        </w:rPr>
        <w:t>p</w:t>
      </w:r>
      <w:r w:rsidR="00F72B70" w:rsidRPr="00074250">
        <w:rPr>
          <w:rFonts w:cs="Arial"/>
          <w:sz w:val="22"/>
          <w:szCs w:val="22"/>
          <w:lang w:val="es-ES"/>
        </w:rPr>
        <w:t>repara</w:t>
      </w:r>
      <w:r w:rsidR="00EB77CE" w:rsidRPr="00074250">
        <w:rPr>
          <w:rFonts w:cs="Arial"/>
          <w:sz w:val="22"/>
          <w:szCs w:val="22"/>
          <w:lang w:val="es-ES"/>
        </w:rPr>
        <w:t xml:space="preserve">r las publicaciones necesarias (p.ej. legislación nacional, </w:t>
      </w:r>
      <w:r w:rsidR="00744507">
        <w:rPr>
          <w:rFonts w:cs="Arial"/>
          <w:sz w:val="22"/>
          <w:szCs w:val="22"/>
          <w:lang w:val="es-ES"/>
        </w:rPr>
        <w:t xml:space="preserve">prioridades de las </w:t>
      </w:r>
      <w:r w:rsidR="00EB77CE" w:rsidRPr="00074250">
        <w:rPr>
          <w:rFonts w:cs="Arial"/>
          <w:sz w:val="22"/>
          <w:szCs w:val="22"/>
          <w:lang w:val="es-ES"/>
        </w:rPr>
        <w:t>especies) (actividad 20)</w:t>
      </w:r>
      <w:r w:rsidRPr="00074250">
        <w:rPr>
          <w:rFonts w:cs="Arial"/>
          <w:sz w:val="22"/>
          <w:szCs w:val="22"/>
          <w:lang w:val="es-ES"/>
        </w:rPr>
        <w:t>;</w:t>
      </w:r>
    </w:p>
    <w:p w14:paraId="121D3306" w14:textId="77777777" w:rsidR="00BD5B19" w:rsidRPr="00074250" w:rsidRDefault="00BD5B19" w:rsidP="00744507">
      <w:pPr>
        <w:pStyle w:val="ListParagraph"/>
        <w:ind w:left="900" w:hanging="360"/>
        <w:rPr>
          <w:rFonts w:cs="Arial"/>
          <w:sz w:val="22"/>
          <w:szCs w:val="22"/>
          <w:lang w:val="es-ES"/>
        </w:rPr>
      </w:pPr>
    </w:p>
    <w:p w14:paraId="7DC1DF86" w14:textId="10A3E033" w:rsidR="00BD5B19" w:rsidRPr="00744507" w:rsidRDefault="00BD5B19" w:rsidP="00744507">
      <w:pPr>
        <w:pStyle w:val="ListParagraph"/>
        <w:widowControl/>
        <w:numPr>
          <w:ilvl w:val="1"/>
          <w:numId w:val="13"/>
        </w:numPr>
        <w:pBdr>
          <w:top w:val="nil"/>
          <w:left w:val="nil"/>
          <w:bottom w:val="nil"/>
          <w:right w:val="nil"/>
          <w:between w:val="nil"/>
          <w:bar w:val="nil"/>
        </w:pBdr>
        <w:autoSpaceDE/>
        <w:autoSpaceDN/>
        <w:adjustRightInd/>
        <w:ind w:left="900" w:right="26"/>
        <w:jc w:val="both"/>
        <w:rPr>
          <w:rFonts w:cs="Arial"/>
          <w:sz w:val="22"/>
          <w:szCs w:val="22"/>
          <w:lang w:val="es-ES"/>
        </w:rPr>
      </w:pPr>
      <w:r w:rsidRPr="00744507">
        <w:rPr>
          <w:rFonts w:cs="Arial"/>
          <w:sz w:val="22"/>
          <w:szCs w:val="22"/>
          <w:lang w:val="es-ES"/>
        </w:rPr>
        <w:t xml:space="preserve">recopilar información, </w:t>
      </w:r>
      <w:r w:rsidR="00744507" w:rsidRPr="00744507">
        <w:rPr>
          <w:rFonts w:cs="Arial"/>
          <w:sz w:val="22"/>
          <w:szCs w:val="22"/>
          <w:lang w:val="es-ES"/>
        </w:rPr>
        <w:t>examinar</w:t>
      </w:r>
      <w:r w:rsidRPr="00744507">
        <w:rPr>
          <w:rFonts w:cs="Arial"/>
          <w:sz w:val="22"/>
          <w:szCs w:val="22"/>
          <w:lang w:val="es-ES"/>
        </w:rPr>
        <w:t xml:space="preserve"> datos, </w:t>
      </w:r>
      <w:r w:rsidR="00744507" w:rsidRPr="00744507">
        <w:rPr>
          <w:rFonts w:cs="Arial"/>
          <w:sz w:val="22"/>
          <w:szCs w:val="22"/>
          <w:lang w:val="es-ES"/>
        </w:rPr>
        <w:t xml:space="preserve">mantenerse en contacto con las Partes interesadas y proporcionar información a los Signatarios sobre la aplicación y el funcionamiento del </w:t>
      </w:r>
      <w:proofErr w:type="spellStart"/>
      <w:r w:rsidR="00744507" w:rsidRPr="00744507">
        <w:rPr>
          <w:rFonts w:cs="Arial"/>
          <w:sz w:val="22"/>
          <w:szCs w:val="22"/>
          <w:lang w:val="es-ES"/>
        </w:rPr>
        <w:t>MdE</w:t>
      </w:r>
      <w:proofErr w:type="spellEnd"/>
      <w:r w:rsidRPr="00744507">
        <w:rPr>
          <w:rFonts w:cs="Arial"/>
          <w:sz w:val="22"/>
          <w:szCs w:val="22"/>
          <w:lang w:val="es-ES"/>
        </w:rPr>
        <w:t xml:space="preserve"> (actividad 21).</w:t>
      </w:r>
    </w:p>
    <w:p w14:paraId="224D40AE" w14:textId="77777777" w:rsidR="00B67B59" w:rsidRPr="00074250" w:rsidRDefault="00B67B59" w:rsidP="00B67B59">
      <w:pPr>
        <w:widowControl/>
        <w:pBdr>
          <w:top w:val="nil"/>
          <w:left w:val="nil"/>
          <w:bottom w:val="nil"/>
          <w:right w:val="nil"/>
          <w:between w:val="nil"/>
          <w:bar w:val="nil"/>
        </w:pBdr>
        <w:autoSpaceDE/>
        <w:autoSpaceDN/>
        <w:adjustRightInd/>
        <w:ind w:right="26"/>
        <w:jc w:val="both"/>
        <w:rPr>
          <w:rFonts w:cs="Arial"/>
          <w:b/>
          <w:bCs/>
          <w:sz w:val="22"/>
          <w:szCs w:val="22"/>
          <w:lang w:val="es-ES"/>
        </w:rPr>
      </w:pPr>
    </w:p>
    <w:p w14:paraId="08B7124E" w14:textId="77777777" w:rsidR="00B67B59" w:rsidRPr="00074250" w:rsidRDefault="00B67B59" w:rsidP="00B67B59">
      <w:pPr>
        <w:widowControl/>
        <w:pBdr>
          <w:top w:val="nil"/>
          <w:left w:val="nil"/>
          <w:bottom w:val="nil"/>
          <w:right w:val="nil"/>
          <w:between w:val="nil"/>
          <w:bar w:val="nil"/>
        </w:pBdr>
        <w:autoSpaceDE/>
        <w:autoSpaceDN/>
        <w:adjustRightInd/>
        <w:ind w:right="26"/>
        <w:jc w:val="both"/>
        <w:rPr>
          <w:rFonts w:cs="Arial"/>
          <w:b/>
          <w:bCs/>
          <w:sz w:val="22"/>
          <w:szCs w:val="22"/>
          <w:lang w:val="es-ES"/>
        </w:rPr>
      </w:pPr>
      <w:r w:rsidRPr="00074250">
        <w:rPr>
          <w:rFonts w:cs="Arial"/>
          <w:b/>
          <w:bCs/>
          <w:sz w:val="22"/>
          <w:szCs w:val="22"/>
          <w:lang w:val="es-ES"/>
        </w:rPr>
        <w:t xml:space="preserve">Análisis de datos sobre desembarcos </w:t>
      </w:r>
    </w:p>
    <w:p w14:paraId="7245EB90" w14:textId="77777777" w:rsidR="00B67B59" w:rsidRPr="00074250" w:rsidRDefault="00B67B59" w:rsidP="00B67B59">
      <w:pPr>
        <w:widowControl/>
        <w:pBdr>
          <w:top w:val="nil"/>
          <w:left w:val="nil"/>
          <w:bottom w:val="nil"/>
          <w:right w:val="nil"/>
          <w:between w:val="nil"/>
          <w:bar w:val="nil"/>
        </w:pBdr>
        <w:autoSpaceDE/>
        <w:autoSpaceDN/>
        <w:adjustRightInd/>
        <w:ind w:right="26"/>
        <w:jc w:val="both"/>
        <w:rPr>
          <w:rFonts w:cs="Arial"/>
          <w:sz w:val="22"/>
          <w:szCs w:val="22"/>
          <w:lang w:val="es-ES"/>
        </w:rPr>
      </w:pPr>
    </w:p>
    <w:p w14:paraId="7F6ADA1C" w14:textId="77777777" w:rsidR="00B67B59" w:rsidRPr="00074250" w:rsidRDefault="00B67B59" w:rsidP="002C7D6A">
      <w:pPr>
        <w:pStyle w:val="ListParagraph"/>
        <w:widowControl/>
        <w:numPr>
          <w:ilvl w:val="0"/>
          <w:numId w:val="13"/>
        </w:numPr>
        <w:pBdr>
          <w:top w:val="nil"/>
          <w:left w:val="nil"/>
          <w:bottom w:val="nil"/>
          <w:right w:val="nil"/>
          <w:between w:val="nil"/>
          <w:bar w:val="nil"/>
        </w:pBdr>
        <w:autoSpaceDE/>
        <w:autoSpaceDN/>
        <w:adjustRightInd/>
        <w:ind w:left="567" w:right="26" w:hanging="567"/>
        <w:contextualSpacing w:val="0"/>
        <w:jc w:val="both"/>
        <w:rPr>
          <w:rStyle w:val="cf01"/>
          <w:rFonts w:ascii="Arial" w:hAnsi="Arial" w:cs="Arial"/>
          <w:sz w:val="22"/>
          <w:szCs w:val="22"/>
          <w:lang w:val="es-ES"/>
        </w:rPr>
      </w:pPr>
      <w:r w:rsidRPr="00074250">
        <w:rPr>
          <w:rFonts w:cs="Arial"/>
          <w:sz w:val="22"/>
          <w:szCs w:val="22"/>
          <w:lang w:val="es-ES"/>
        </w:rPr>
        <w:t xml:space="preserve">Al tiempo que el Plan de Conservación del </w:t>
      </w:r>
      <w:proofErr w:type="spellStart"/>
      <w:r w:rsidRPr="00074250">
        <w:rPr>
          <w:rFonts w:cs="Arial"/>
          <w:sz w:val="22"/>
          <w:szCs w:val="22"/>
          <w:lang w:val="es-ES"/>
        </w:rPr>
        <w:t>MdE</w:t>
      </w:r>
      <w:proofErr w:type="spellEnd"/>
      <w:r w:rsidRPr="00074250">
        <w:rPr>
          <w:rFonts w:cs="Arial"/>
          <w:sz w:val="22"/>
          <w:szCs w:val="22"/>
          <w:lang w:val="es-ES"/>
        </w:rPr>
        <w:t xml:space="preserve"> sobre Tiburones indica la necesidad de crear y mantener registros nacionales específicos de especie de capturas de tiburones, tal tarea se ha visto obstaculizada por la falta de notificación de datos y estandarización dentro de los informes nacionales que producen los Signatarios de cada MOS. Además, el nuevo formato de informe nacional actualizado posterior a la MOS3 excluía la notificación de datos cuantitativos de capturas (teniendo en cuenta que dichos datos son notificados a la FAO y otros organismos relevantes según el caso) a favor de priorizar la notificación de acciones dirigidas a implementar el Plan de Conservación. Así, sabiendo que las pesquerías constituyen la mayor amenaza para todos los tiburones y rayas enumerados, un análisis de datos precisos de capturas específicas de especie sigue siendo todo un reto con objeto de conocer las necesidades de conservación y el impacto del </w:t>
      </w:r>
      <w:proofErr w:type="spellStart"/>
      <w:r w:rsidRPr="00074250">
        <w:rPr>
          <w:rFonts w:cs="Arial"/>
          <w:sz w:val="22"/>
          <w:szCs w:val="22"/>
          <w:lang w:val="es-ES"/>
        </w:rPr>
        <w:t>MdE</w:t>
      </w:r>
      <w:proofErr w:type="spellEnd"/>
      <w:r w:rsidRPr="00074250">
        <w:rPr>
          <w:rFonts w:cs="Arial"/>
          <w:sz w:val="22"/>
          <w:szCs w:val="22"/>
          <w:lang w:val="es-ES"/>
        </w:rPr>
        <w:t xml:space="preserve"> sobre Tiburones.</w:t>
      </w:r>
    </w:p>
    <w:p w14:paraId="413E6C77" w14:textId="77777777" w:rsidR="00B67B59" w:rsidRPr="00074250" w:rsidRDefault="00B67B59" w:rsidP="00B67B59">
      <w:pPr>
        <w:pStyle w:val="ListParagraph"/>
        <w:widowControl/>
        <w:pBdr>
          <w:top w:val="nil"/>
          <w:left w:val="nil"/>
          <w:bottom w:val="nil"/>
          <w:right w:val="nil"/>
          <w:between w:val="nil"/>
          <w:bar w:val="nil"/>
        </w:pBdr>
        <w:autoSpaceDE/>
        <w:autoSpaceDN/>
        <w:adjustRightInd/>
        <w:ind w:left="567" w:right="26"/>
        <w:contextualSpacing w:val="0"/>
        <w:jc w:val="both"/>
        <w:rPr>
          <w:rFonts w:cs="Arial"/>
          <w:sz w:val="22"/>
          <w:szCs w:val="22"/>
          <w:lang w:val="es-ES"/>
        </w:rPr>
      </w:pPr>
    </w:p>
    <w:p w14:paraId="12D3FAA8" w14:textId="77777777" w:rsidR="00B67B59" w:rsidRPr="00074250" w:rsidRDefault="00B67B59" w:rsidP="002C7D6A">
      <w:pPr>
        <w:pStyle w:val="ListParagraph"/>
        <w:widowControl/>
        <w:numPr>
          <w:ilvl w:val="0"/>
          <w:numId w:val="13"/>
        </w:numPr>
        <w:pBdr>
          <w:top w:val="nil"/>
          <w:left w:val="nil"/>
          <w:bottom w:val="nil"/>
          <w:right w:val="nil"/>
          <w:between w:val="nil"/>
          <w:bar w:val="nil"/>
        </w:pBdr>
        <w:autoSpaceDE/>
        <w:autoSpaceDN/>
        <w:adjustRightInd/>
        <w:ind w:left="567" w:right="26" w:hanging="567"/>
        <w:contextualSpacing w:val="0"/>
        <w:jc w:val="both"/>
        <w:rPr>
          <w:rFonts w:cs="Arial"/>
          <w:sz w:val="22"/>
          <w:szCs w:val="22"/>
          <w:lang w:val="es-ES"/>
        </w:rPr>
      </w:pPr>
      <w:r w:rsidRPr="00074250">
        <w:rPr>
          <w:rFonts w:cs="Arial"/>
          <w:sz w:val="22"/>
          <w:szCs w:val="22"/>
          <w:lang w:val="es-ES"/>
        </w:rPr>
        <w:t xml:space="preserve">Por ello, la información sobre desembarcos recogida en la base de datos sobre producción de capturas globales de la FAO posee el potencial de ser una importante herramienta informativa para el </w:t>
      </w:r>
      <w:proofErr w:type="spellStart"/>
      <w:r w:rsidRPr="00074250">
        <w:rPr>
          <w:rFonts w:cs="Arial"/>
          <w:sz w:val="22"/>
          <w:szCs w:val="22"/>
          <w:lang w:val="es-ES"/>
        </w:rPr>
        <w:t>MdE</w:t>
      </w:r>
      <w:proofErr w:type="spellEnd"/>
      <w:r w:rsidRPr="00074250">
        <w:rPr>
          <w:rFonts w:cs="Arial"/>
          <w:sz w:val="22"/>
          <w:szCs w:val="22"/>
          <w:lang w:val="es-ES"/>
        </w:rPr>
        <w:t xml:space="preserve"> sobre Tiburones mediante la evaluación del nivel de explotación de las especies enumeradas en la CMS y en el </w:t>
      </w:r>
      <w:proofErr w:type="spellStart"/>
      <w:r w:rsidRPr="00074250">
        <w:rPr>
          <w:rFonts w:cs="Arial"/>
          <w:sz w:val="22"/>
          <w:szCs w:val="22"/>
          <w:lang w:val="es-ES"/>
        </w:rPr>
        <w:t>MdE</w:t>
      </w:r>
      <w:proofErr w:type="spellEnd"/>
      <w:r w:rsidRPr="00074250">
        <w:rPr>
          <w:rFonts w:cs="Arial"/>
          <w:sz w:val="22"/>
          <w:szCs w:val="22"/>
          <w:lang w:val="es-ES"/>
        </w:rPr>
        <w:t xml:space="preserve"> sobre Tiburones, puesto que muchos Signatarios ya han comunicado los datos sobre desembarcos anuales, incluso para aquellas especies de tiburones y rayas enumeradas en el Anexo 1 del </w:t>
      </w:r>
      <w:proofErr w:type="spellStart"/>
      <w:r w:rsidRPr="00074250">
        <w:rPr>
          <w:rFonts w:cs="Arial"/>
          <w:sz w:val="22"/>
          <w:szCs w:val="22"/>
          <w:lang w:val="es-ES"/>
        </w:rPr>
        <w:t>MdE</w:t>
      </w:r>
      <w:proofErr w:type="spellEnd"/>
      <w:r w:rsidRPr="00074250">
        <w:rPr>
          <w:rFonts w:cs="Arial"/>
          <w:sz w:val="22"/>
          <w:szCs w:val="22"/>
          <w:lang w:val="es-ES"/>
        </w:rPr>
        <w:t xml:space="preserve">. Además, el conjunto de datos de la FAO también recoge aquella información sobre desembarcos de otros Estados del Área de Distribución que pudieran ayudar a identificar nuevas colaboraciones potenciales, además de otros Signatarios. Finalmente, los datos notificados se mantienen y conservan para garantizar su coherencia, por lo que dicho conjunto de datos se considera un estándar global para investigadores y partes interesadas. </w:t>
      </w:r>
    </w:p>
    <w:p w14:paraId="6943C84F" w14:textId="77777777" w:rsidR="00B67B59" w:rsidRPr="00074250" w:rsidRDefault="00B67B59" w:rsidP="00B67B59">
      <w:pPr>
        <w:widowControl/>
        <w:pBdr>
          <w:top w:val="nil"/>
          <w:left w:val="nil"/>
          <w:bottom w:val="nil"/>
          <w:right w:val="nil"/>
          <w:between w:val="nil"/>
          <w:bar w:val="nil"/>
        </w:pBdr>
        <w:autoSpaceDE/>
        <w:autoSpaceDN/>
        <w:adjustRightInd/>
        <w:ind w:right="26"/>
        <w:jc w:val="both"/>
        <w:rPr>
          <w:rFonts w:cs="Arial"/>
          <w:sz w:val="22"/>
          <w:szCs w:val="22"/>
          <w:lang w:val="es-ES"/>
        </w:rPr>
      </w:pPr>
    </w:p>
    <w:p w14:paraId="68687143" w14:textId="77777777" w:rsidR="00B67B59" w:rsidRPr="00074250" w:rsidRDefault="00B67B59" w:rsidP="002C7D6A">
      <w:pPr>
        <w:pStyle w:val="ListParagraph"/>
        <w:widowControl/>
        <w:numPr>
          <w:ilvl w:val="0"/>
          <w:numId w:val="13"/>
        </w:numPr>
        <w:pBdr>
          <w:top w:val="nil"/>
          <w:left w:val="nil"/>
          <w:bottom w:val="nil"/>
          <w:right w:val="nil"/>
          <w:between w:val="nil"/>
          <w:bar w:val="nil"/>
        </w:pBdr>
        <w:autoSpaceDE/>
        <w:autoSpaceDN/>
        <w:adjustRightInd/>
        <w:ind w:left="567" w:right="26" w:hanging="567"/>
        <w:contextualSpacing w:val="0"/>
        <w:jc w:val="both"/>
        <w:rPr>
          <w:rFonts w:cs="Arial"/>
          <w:sz w:val="22"/>
          <w:szCs w:val="22"/>
          <w:lang w:val="es-ES"/>
        </w:rPr>
      </w:pPr>
      <w:r w:rsidRPr="00074250">
        <w:rPr>
          <w:rFonts w:cs="Arial"/>
          <w:sz w:val="22"/>
          <w:szCs w:val="22"/>
          <w:lang w:val="es-ES"/>
        </w:rPr>
        <w:t xml:space="preserve">Para este fin, el CA ha analizado los últimos datos de desembarcos de la FAO del Apéndice I de la CMS, además de las especies enumeradas en el Anexo 1 del </w:t>
      </w:r>
      <w:proofErr w:type="spellStart"/>
      <w:r w:rsidRPr="00074250">
        <w:rPr>
          <w:rFonts w:cs="Arial"/>
          <w:sz w:val="22"/>
          <w:szCs w:val="22"/>
          <w:lang w:val="es-ES"/>
        </w:rPr>
        <w:t>MdE</w:t>
      </w:r>
      <w:proofErr w:type="spellEnd"/>
      <w:r w:rsidRPr="00074250">
        <w:rPr>
          <w:rFonts w:cs="Arial"/>
          <w:sz w:val="22"/>
          <w:szCs w:val="22"/>
          <w:lang w:val="es-ES"/>
        </w:rPr>
        <w:t xml:space="preserve"> sobre Tiburones como un estudio de caso. El estudio, tal como se presenta en el </w:t>
      </w:r>
      <w:r w:rsidRPr="00074250">
        <w:rPr>
          <w:rFonts w:cs="Arial"/>
          <w:sz w:val="22"/>
          <w:szCs w:val="22"/>
          <w:lang w:val="es-ES"/>
        </w:rPr>
        <w:br/>
      </w:r>
      <w:r w:rsidRPr="00074250">
        <w:rPr>
          <w:rFonts w:cs="Arial"/>
          <w:sz w:val="22"/>
          <w:szCs w:val="22"/>
          <w:u w:val="single"/>
          <w:lang w:val="es-ES"/>
        </w:rPr>
        <w:t>Anexo 1</w:t>
      </w:r>
      <w:r w:rsidRPr="00074250">
        <w:rPr>
          <w:rFonts w:cs="Arial"/>
          <w:sz w:val="22"/>
          <w:szCs w:val="22"/>
          <w:lang w:val="es-ES"/>
        </w:rPr>
        <w:t xml:space="preserve"> de este documento, incluye el análisis del promedio de desembarcos anuales notificados a nivel global entre 2015 y 2019 de:</w:t>
      </w:r>
    </w:p>
    <w:p w14:paraId="09CE0D21" w14:textId="77777777" w:rsidR="00B67B59" w:rsidRPr="00074250" w:rsidRDefault="00B67B59" w:rsidP="00B67B59">
      <w:pPr>
        <w:pStyle w:val="ListParagraph"/>
        <w:widowControl/>
        <w:pBdr>
          <w:top w:val="nil"/>
          <w:left w:val="nil"/>
          <w:bottom w:val="nil"/>
          <w:right w:val="nil"/>
          <w:between w:val="nil"/>
          <w:bar w:val="nil"/>
        </w:pBdr>
        <w:autoSpaceDE/>
        <w:autoSpaceDN/>
        <w:adjustRightInd/>
        <w:ind w:left="1440" w:right="26"/>
        <w:contextualSpacing w:val="0"/>
        <w:jc w:val="both"/>
        <w:rPr>
          <w:rFonts w:cs="Arial"/>
          <w:sz w:val="22"/>
          <w:szCs w:val="22"/>
          <w:lang w:val="es-ES"/>
        </w:rPr>
      </w:pPr>
    </w:p>
    <w:p w14:paraId="40DA7325" w14:textId="307BC2F7" w:rsidR="00B67B59" w:rsidRPr="00074250" w:rsidRDefault="00B67B59" w:rsidP="002C7D6A">
      <w:pPr>
        <w:pStyle w:val="ListParagraph"/>
        <w:widowControl/>
        <w:numPr>
          <w:ilvl w:val="1"/>
          <w:numId w:val="13"/>
        </w:numPr>
        <w:pBdr>
          <w:top w:val="nil"/>
          <w:left w:val="nil"/>
          <w:bottom w:val="nil"/>
          <w:right w:val="nil"/>
          <w:between w:val="nil"/>
          <w:bar w:val="nil"/>
        </w:pBdr>
        <w:autoSpaceDE/>
        <w:autoSpaceDN/>
        <w:adjustRightInd/>
        <w:ind w:left="900" w:right="26"/>
        <w:contextualSpacing w:val="0"/>
        <w:jc w:val="both"/>
        <w:rPr>
          <w:rFonts w:cs="Arial"/>
          <w:sz w:val="22"/>
          <w:szCs w:val="22"/>
          <w:lang w:val="es-ES"/>
        </w:rPr>
      </w:pPr>
      <w:r w:rsidRPr="00074250">
        <w:rPr>
          <w:rFonts w:cs="Arial"/>
          <w:sz w:val="22"/>
          <w:szCs w:val="22"/>
          <w:lang w:val="es-ES"/>
        </w:rPr>
        <w:t>las especies de tiburones y rayas enumeradas en el Apéndice I de la CMS</w:t>
      </w:r>
      <w:r w:rsidR="00AD76E3" w:rsidRPr="00074250">
        <w:rPr>
          <w:rFonts w:cs="Arial"/>
          <w:sz w:val="22"/>
          <w:szCs w:val="22"/>
          <w:lang w:val="es-ES"/>
        </w:rPr>
        <w:t xml:space="preserve"> </w:t>
      </w:r>
      <w:r w:rsidRPr="00074250">
        <w:rPr>
          <w:rFonts w:cs="Arial"/>
          <w:sz w:val="22"/>
          <w:szCs w:val="22"/>
          <w:lang w:val="es-ES"/>
        </w:rPr>
        <w:t>(</w:t>
      </w:r>
      <w:r w:rsidRPr="00074250">
        <w:rPr>
          <w:rFonts w:cs="Arial"/>
          <w:sz w:val="22"/>
          <w:szCs w:val="22"/>
          <w:u w:val="single"/>
          <w:lang w:val="es-ES"/>
        </w:rPr>
        <w:t>Anexo 1, sección 3);</w:t>
      </w:r>
    </w:p>
    <w:p w14:paraId="17802936" w14:textId="77777777" w:rsidR="00B67B59" w:rsidRPr="00074250" w:rsidRDefault="00B67B59" w:rsidP="00B67B59">
      <w:pPr>
        <w:pStyle w:val="ListParagraph"/>
        <w:widowControl/>
        <w:pBdr>
          <w:top w:val="nil"/>
          <w:left w:val="nil"/>
          <w:bottom w:val="nil"/>
          <w:right w:val="nil"/>
          <w:between w:val="nil"/>
          <w:bar w:val="nil"/>
        </w:pBdr>
        <w:autoSpaceDE/>
        <w:autoSpaceDN/>
        <w:adjustRightInd/>
        <w:ind w:left="900" w:right="26" w:hanging="360"/>
        <w:contextualSpacing w:val="0"/>
        <w:jc w:val="both"/>
        <w:rPr>
          <w:rFonts w:cs="Arial"/>
          <w:sz w:val="22"/>
          <w:szCs w:val="22"/>
          <w:lang w:val="es-ES"/>
        </w:rPr>
      </w:pPr>
    </w:p>
    <w:p w14:paraId="2AB9BD22" w14:textId="77777777" w:rsidR="00B67B59" w:rsidRPr="00074250" w:rsidRDefault="00B67B59" w:rsidP="002C7D6A">
      <w:pPr>
        <w:pStyle w:val="ListParagraph"/>
        <w:widowControl/>
        <w:numPr>
          <w:ilvl w:val="1"/>
          <w:numId w:val="13"/>
        </w:numPr>
        <w:pBdr>
          <w:top w:val="nil"/>
          <w:left w:val="nil"/>
          <w:bottom w:val="nil"/>
          <w:right w:val="nil"/>
          <w:between w:val="nil"/>
          <w:bar w:val="nil"/>
        </w:pBdr>
        <w:autoSpaceDE/>
        <w:autoSpaceDN/>
        <w:adjustRightInd/>
        <w:ind w:left="900" w:right="26"/>
        <w:contextualSpacing w:val="0"/>
        <w:jc w:val="both"/>
        <w:rPr>
          <w:rFonts w:cs="Arial"/>
          <w:sz w:val="22"/>
          <w:szCs w:val="22"/>
          <w:lang w:val="es-ES"/>
        </w:rPr>
      </w:pPr>
      <w:r w:rsidRPr="00074250">
        <w:rPr>
          <w:rFonts w:cs="Arial"/>
          <w:sz w:val="22"/>
          <w:szCs w:val="22"/>
          <w:lang w:val="es-ES"/>
        </w:rPr>
        <w:t xml:space="preserve">las especies enumeradas en el Anexo 1 del </w:t>
      </w:r>
      <w:proofErr w:type="spellStart"/>
      <w:r w:rsidRPr="00074250">
        <w:rPr>
          <w:rFonts w:cs="Arial"/>
          <w:sz w:val="22"/>
          <w:szCs w:val="22"/>
          <w:lang w:val="es-ES"/>
        </w:rPr>
        <w:t>MdE</w:t>
      </w:r>
      <w:proofErr w:type="spellEnd"/>
      <w:r w:rsidRPr="00074250">
        <w:rPr>
          <w:rFonts w:cs="Arial"/>
          <w:sz w:val="22"/>
          <w:szCs w:val="22"/>
          <w:lang w:val="es-ES"/>
        </w:rPr>
        <w:t xml:space="preserve"> sobre Tiburones (</w:t>
      </w:r>
      <w:r w:rsidRPr="00074250">
        <w:rPr>
          <w:rFonts w:cs="Arial"/>
          <w:sz w:val="22"/>
          <w:szCs w:val="22"/>
          <w:u w:val="single"/>
          <w:lang w:val="es-ES"/>
        </w:rPr>
        <w:t>Anexo 1, sección 4</w:t>
      </w:r>
      <w:r w:rsidRPr="00074250">
        <w:rPr>
          <w:rFonts w:cs="Arial"/>
          <w:sz w:val="22"/>
          <w:szCs w:val="22"/>
          <w:lang w:val="es-ES"/>
        </w:rPr>
        <w:t>);</w:t>
      </w:r>
    </w:p>
    <w:p w14:paraId="329983E4" w14:textId="77777777" w:rsidR="00B67B59" w:rsidRPr="00074250" w:rsidRDefault="00B67B59" w:rsidP="00B67B59">
      <w:pPr>
        <w:pStyle w:val="ListParagraph"/>
        <w:ind w:left="900" w:right="26" w:hanging="360"/>
        <w:rPr>
          <w:rFonts w:cs="Arial"/>
          <w:sz w:val="22"/>
          <w:szCs w:val="22"/>
          <w:lang w:val="es-ES"/>
        </w:rPr>
      </w:pPr>
    </w:p>
    <w:p w14:paraId="466580B1" w14:textId="77777777" w:rsidR="00B67B59" w:rsidRPr="00074250" w:rsidRDefault="00B67B59" w:rsidP="002C7D6A">
      <w:pPr>
        <w:pStyle w:val="ListParagraph"/>
        <w:widowControl/>
        <w:numPr>
          <w:ilvl w:val="1"/>
          <w:numId w:val="13"/>
        </w:numPr>
        <w:pBdr>
          <w:top w:val="nil"/>
          <w:left w:val="nil"/>
          <w:bottom w:val="nil"/>
          <w:right w:val="nil"/>
          <w:between w:val="nil"/>
          <w:bar w:val="nil"/>
        </w:pBdr>
        <w:autoSpaceDE/>
        <w:autoSpaceDN/>
        <w:adjustRightInd/>
        <w:ind w:left="900" w:right="26"/>
        <w:contextualSpacing w:val="0"/>
        <w:jc w:val="both"/>
        <w:rPr>
          <w:rFonts w:cs="Arial"/>
          <w:sz w:val="22"/>
          <w:szCs w:val="22"/>
          <w:lang w:val="es-ES"/>
        </w:rPr>
      </w:pPr>
      <w:r w:rsidRPr="00074250">
        <w:rPr>
          <w:rFonts w:cs="Arial"/>
          <w:sz w:val="22"/>
          <w:szCs w:val="22"/>
          <w:lang w:val="es-ES"/>
        </w:rPr>
        <w:t xml:space="preserve">los desembarcos de tiburones y rayas notificados mediante los códigos de especie conjuntos y genéricos (por ejemplo, “tiburones </w:t>
      </w:r>
      <w:proofErr w:type="spellStart"/>
      <w:r w:rsidRPr="00074250">
        <w:rPr>
          <w:rFonts w:cs="Arial"/>
          <w:sz w:val="22"/>
          <w:szCs w:val="22"/>
          <w:lang w:val="es-ES"/>
        </w:rPr>
        <w:t>nep</w:t>
      </w:r>
      <w:proofErr w:type="spellEnd"/>
      <w:r w:rsidRPr="00074250">
        <w:rPr>
          <w:rFonts w:cs="Arial"/>
          <w:sz w:val="22"/>
          <w:szCs w:val="22"/>
          <w:lang w:val="es-ES"/>
        </w:rPr>
        <w:t>”</w:t>
      </w:r>
      <w:r w:rsidRPr="00074250">
        <w:rPr>
          <w:vertAlign w:val="superscript"/>
          <w:lang w:val="es-ES"/>
        </w:rPr>
        <w:footnoteReference w:id="2"/>
      </w:r>
      <w:r w:rsidRPr="00074250">
        <w:rPr>
          <w:rFonts w:cs="Arial"/>
          <w:sz w:val="22"/>
          <w:szCs w:val="22"/>
          <w:lang w:val="es-ES"/>
        </w:rPr>
        <w:t>) que pueden estar o no relacionados con las especies enumeradas (</w:t>
      </w:r>
      <w:r w:rsidRPr="00074250">
        <w:rPr>
          <w:rFonts w:cs="Arial"/>
          <w:sz w:val="22"/>
          <w:szCs w:val="22"/>
          <w:u w:val="single"/>
          <w:lang w:val="es-ES"/>
        </w:rPr>
        <w:t>Anexo 1, sección 5</w:t>
      </w:r>
      <w:r w:rsidRPr="00074250">
        <w:rPr>
          <w:rFonts w:cs="Arial"/>
          <w:sz w:val="22"/>
          <w:szCs w:val="22"/>
          <w:lang w:val="es-ES"/>
        </w:rPr>
        <w:t>).</w:t>
      </w:r>
    </w:p>
    <w:p w14:paraId="3F06EF5A" w14:textId="77777777" w:rsidR="00B67B59" w:rsidRPr="00074250" w:rsidRDefault="00B67B59" w:rsidP="00B67B59">
      <w:pPr>
        <w:pStyle w:val="ListParagraph"/>
        <w:ind w:left="900" w:right="26" w:hanging="360"/>
        <w:rPr>
          <w:rFonts w:cs="Arial"/>
          <w:sz w:val="22"/>
          <w:szCs w:val="22"/>
          <w:lang w:val="es-ES"/>
        </w:rPr>
      </w:pPr>
    </w:p>
    <w:p w14:paraId="466714F2" w14:textId="77777777" w:rsidR="00B67B59" w:rsidRPr="00074250" w:rsidRDefault="00B67B59" w:rsidP="002C7D6A">
      <w:pPr>
        <w:pStyle w:val="ListParagraph"/>
        <w:widowControl/>
        <w:numPr>
          <w:ilvl w:val="0"/>
          <w:numId w:val="13"/>
        </w:numPr>
        <w:pBdr>
          <w:top w:val="nil"/>
          <w:left w:val="nil"/>
          <w:bottom w:val="nil"/>
          <w:right w:val="nil"/>
          <w:between w:val="nil"/>
          <w:bar w:val="nil"/>
        </w:pBdr>
        <w:autoSpaceDE/>
        <w:autoSpaceDN/>
        <w:adjustRightInd/>
        <w:ind w:left="567" w:right="26" w:hanging="567"/>
        <w:contextualSpacing w:val="0"/>
        <w:jc w:val="both"/>
        <w:rPr>
          <w:rFonts w:cs="Arial"/>
          <w:sz w:val="22"/>
          <w:szCs w:val="22"/>
          <w:lang w:val="es-ES"/>
        </w:rPr>
      </w:pPr>
      <w:r w:rsidRPr="00074250">
        <w:rPr>
          <w:rFonts w:cs="Arial"/>
          <w:sz w:val="22"/>
          <w:szCs w:val="22"/>
          <w:lang w:val="es-ES"/>
        </w:rPr>
        <w:t>En función de los resultados del análisis, el CA dio unas recomendaciones a los Signatarios para:</w:t>
      </w:r>
    </w:p>
    <w:p w14:paraId="7B9B5576" w14:textId="77777777" w:rsidR="00B67B59" w:rsidRPr="00074250" w:rsidRDefault="00B67B59" w:rsidP="00B67B59">
      <w:pPr>
        <w:pStyle w:val="ListParagraph"/>
        <w:widowControl/>
        <w:pBdr>
          <w:top w:val="nil"/>
          <w:left w:val="nil"/>
          <w:bottom w:val="nil"/>
          <w:right w:val="nil"/>
          <w:between w:val="nil"/>
          <w:bar w:val="nil"/>
        </w:pBdr>
        <w:autoSpaceDE/>
        <w:autoSpaceDN/>
        <w:adjustRightInd/>
        <w:ind w:left="567" w:right="26"/>
        <w:contextualSpacing w:val="0"/>
        <w:jc w:val="both"/>
        <w:rPr>
          <w:rFonts w:cs="Arial"/>
          <w:sz w:val="22"/>
          <w:szCs w:val="22"/>
          <w:lang w:val="es-ES"/>
        </w:rPr>
      </w:pPr>
    </w:p>
    <w:p w14:paraId="112A8FFF" w14:textId="77777777" w:rsidR="00B67B59" w:rsidRPr="00074250" w:rsidRDefault="00B67B59" w:rsidP="002C7D6A">
      <w:pPr>
        <w:pStyle w:val="ListParagraph"/>
        <w:widowControl/>
        <w:numPr>
          <w:ilvl w:val="1"/>
          <w:numId w:val="13"/>
        </w:numPr>
        <w:pBdr>
          <w:top w:val="nil"/>
          <w:left w:val="nil"/>
          <w:bottom w:val="nil"/>
          <w:right w:val="nil"/>
          <w:between w:val="nil"/>
          <w:bar w:val="nil"/>
        </w:pBdr>
        <w:autoSpaceDE/>
        <w:autoSpaceDN/>
        <w:adjustRightInd/>
        <w:ind w:left="900" w:right="26"/>
        <w:contextualSpacing w:val="0"/>
        <w:jc w:val="both"/>
        <w:rPr>
          <w:rFonts w:cs="Arial"/>
          <w:sz w:val="22"/>
          <w:szCs w:val="22"/>
          <w:lang w:val="es-ES"/>
        </w:rPr>
      </w:pPr>
      <w:r w:rsidRPr="00074250">
        <w:rPr>
          <w:rFonts w:cs="Arial"/>
          <w:sz w:val="22"/>
          <w:szCs w:val="22"/>
          <w:lang w:val="es-ES"/>
        </w:rPr>
        <w:t>fomentar la prohibición de desembarcos de las especies enumeradas en el Apéndice I de la CMS;</w:t>
      </w:r>
    </w:p>
    <w:p w14:paraId="28E2F47E" w14:textId="77777777" w:rsidR="00B67B59" w:rsidRPr="00074250" w:rsidRDefault="00B67B59" w:rsidP="00B67B59">
      <w:pPr>
        <w:pStyle w:val="ListParagraph"/>
        <w:widowControl/>
        <w:pBdr>
          <w:top w:val="nil"/>
          <w:left w:val="nil"/>
          <w:bottom w:val="nil"/>
          <w:right w:val="nil"/>
          <w:between w:val="nil"/>
          <w:bar w:val="nil"/>
        </w:pBdr>
        <w:autoSpaceDE/>
        <w:autoSpaceDN/>
        <w:adjustRightInd/>
        <w:ind w:left="900" w:right="26" w:hanging="360"/>
        <w:contextualSpacing w:val="0"/>
        <w:jc w:val="both"/>
        <w:rPr>
          <w:rFonts w:cs="Arial"/>
          <w:sz w:val="22"/>
          <w:szCs w:val="22"/>
          <w:lang w:val="es-ES"/>
        </w:rPr>
      </w:pPr>
    </w:p>
    <w:p w14:paraId="25CA4ADC" w14:textId="77777777" w:rsidR="00B67B59" w:rsidRPr="00074250" w:rsidRDefault="00B67B59" w:rsidP="002C7D6A">
      <w:pPr>
        <w:pStyle w:val="ListParagraph"/>
        <w:widowControl/>
        <w:numPr>
          <w:ilvl w:val="1"/>
          <w:numId w:val="13"/>
        </w:numPr>
        <w:pBdr>
          <w:top w:val="nil"/>
          <w:left w:val="nil"/>
          <w:bottom w:val="nil"/>
          <w:right w:val="nil"/>
          <w:between w:val="nil"/>
          <w:bar w:val="nil"/>
        </w:pBdr>
        <w:autoSpaceDE/>
        <w:autoSpaceDN/>
        <w:adjustRightInd/>
        <w:ind w:left="900" w:right="26"/>
        <w:contextualSpacing w:val="0"/>
        <w:jc w:val="both"/>
        <w:rPr>
          <w:rFonts w:cs="Arial"/>
          <w:sz w:val="22"/>
          <w:szCs w:val="22"/>
          <w:lang w:val="es-ES"/>
        </w:rPr>
      </w:pPr>
      <w:r w:rsidRPr="00074250">
        <w:rPr>
          <w:rFonts w:cs="Arial"/>
          <w:sz w:val="22"/>
          <w:szCs w:val="22"/>
          <w:lang w:val="es-ES"/>
        </w:rPr>
        <w:t>acentuar la necesidad de compartir investigación regional y medidas de conservación entre todas las naciones pesqueras en las principales zonas de pesca de la FAO (en adelante: Zonas FAO), dado el nivel significativo de explotación de las flotas de larga distancia que pertenecen a algunos Signatarios y Estados del Área de Distribución (en lugar de confiar solo en los Signatarios con aguas territoriales en la región);</w:t>
      </w:r>
    </w:p>
    <w:p w14:paraId="5CA69F87" w14:textId="77777777" w:rsidR="00B67B59" w:rsidRPr="00074250" w:rsidRDefault="00B67B59" w:rsidP="00B67B59">
      <w:pPr>
        <w:widowControl/>
        <w:pBdr>
          <w:top w:val="nil"/>
          <w:left w:val="nil"/>
          <w:bottom w:val="nil"/>
          <w:right w:val="nil"/>
          <w:between w:val="nil"/>
          <w:bar w:val="nil"/>
        </w:pBdr>
        <w:autoSpaceDE/>
        <w:autoSpaceDN/>
        <w:adjustRightInd/>
        <w:ind w:left="900" w:right="26" w:hanging="360"/>
        <w:jc w:val="both"/>
        <w:rPr>
          <w:rFonts w:cs="Arial"/>
          <w:sz w:val="22"/>
          <w:szCs w:val="22"/>
          <w:lang w:val="es-ES"/>
        </w:rPr>
      </w:pPr>
    </w:p>
    <w:p w14:paraId="7F42F46D" w14:textId="77777777" w:rsidR="00B67B59" w:rsidRPr="00074250" w:rsidRDefault="00B67B59" w:rsidP="002C7D6A">
      <w:pPr>
        <w:pStyle w:val="ListParagraph"/>
        <w:widowControl/>
        <w:numPr>
          <w:ilvl w:val="1"/>
          <w:numId w:val="13"/>
        </w:numPr>
        <w:pBdr>
          <w:top w:val="nil"/>
          <w:left w:val="nil"/>
          <w:bottom w:val="nil"/>
          <w:right w:val="nil"/>
          <w:between w:val="nil"/>
          <w:bar w:val="nil"/>
        </w:pBdr>
        <w:autoSpaceDE/>
        <w:autoSpaceDN/>
        <w:adjustRightInd/>
        <w:ind w:left="900" w:right="26"/>
        <w:contextualSpacing w:val="0"/>
        <w:jc w:val="both"/>
        <w:rPr>
          <w:rFonts w:cs="Arial"/>
          <w:sz w:val="22"/>
          <w:szCs w:val="22"/>
          <w:lang w:val="es-ES"/>
        </w:rPr>
      </w:pPr>
      <w:r w:rsidRPr="00074250">
        <w:rPr>
          <w:rFonts w:cs="Arial"/>
          <w:sz w:val="22"/>
          <w:szCs w:val="22"/>
          <w:lang w:val="es-ES"/>
        </w:rPr>
        <w:t xml:space="preserve">fomentar la integridad y calidad de datos notificados a la FAO para mejorar la precisión y el valor de este poderoso recurso. Las recomendaciones específicas se han recopilado dentro del proyecto de resultados 4.x, </w:t>
      </w:r>
      <w:r w:rsidRPr="00074250">
        <w:rPr>
          <w:rFonts w:cs="Arial"/>
          <w:sz w:val="22"/>
          <w:szCs w:val="22"/>
          <w:u w:val="single"/>
          <w:lang w:val="es-ES"/>
        </w:rPr>
        <w:t>Anexo 2</w:t>
      </w:r>
      <w:r w:rsidRPr="00074250">
        <w:rPr>
          <w:rFonts w:cs="Arial"/>
          <w:sz w:val="22"/>
          <w:szCs w:val="22"/>
          <w:lang w:val="es-ES"/>
        </w:rPr>
        <w:t xml:space="preserve"> para su discusión y acuerdo.</w:t>
      </w:r>
    </w:p>
    <w:p w14:paraId="46A7F980" w14:textId="77777777" w:rsidR="00B67B59" w:rsidRPr="00074250" w:rsidRDefault="00B67B59" w:rsidP="00B67B59">
      <w:pPr>
        <w:widowControl/>
        <w:pBdr>
          <w:top w:val="nil"/>
          <w:left w:val="nil"/>
          <w:bottom w:val="nil"/>
          <w:right w:val="nil"/>
          <w:between w:val="nil"/>
          <w:bar w:val="nil"/>
        </w:pBdr>
        <w:autoSpaceDE/>
        <w:autoSpaceDN/>
        <w:adjustRightInd/>
        <w:ind w:right="26"/>
        <w:jc w:val="both"/>
        <w:rPr>
          <w:rFonts w:cs="Arial"/>
          <w:sz w:val="22"/>
          <w:szCs w:val="22"/>
          <w:lang w:val="es-ES"/>
        </w:rPr>
      </w:pPr>
    </w:p>
    <w:p w14:paraId="351B7FBD" w14:textId="77777777" w:rsidR="00B67B59" w:rsidRPr="00074250" w:rsidRDefault="00B67B59" w:rsidP="002C7D6A">
      <w:pPr>
        <w:pStyle w:val="ListParagraph"/>
        <w:widowControl/>
        <w:numPr>
          <w:ilvl w:val="0"/>
          <w:numId w:val="13"/>
        </w:numPr>
        <w:pBdr>
          <w:top w:val="nil"/>
          <w:left w:val="nil"/>
          <w:bottom w:val="nil"/>
          <w:right w:val="nil"/>
          <w:between w:val="nil"/>
          <w:bar w:val="nil"/>
        </w:pBdr>
        <w:autoSpaceDE/>
        <w:autoSpaceDN/>
        <w:adjustRightInd/>
        <w:ind w:left="567" w:right="26" w:hanging="567"/>
        <w:contextualSpacing w:val="0"/>
        <w:jc w:val="both"/>
        <w:rPr>
          <w:rFonts w:cs="Arial"/>
          <w:sz w:val="22"/>
          <w:szCs w:val="22"/>
          <w:lang w:val="es-ES"/>
        </w:rPr>
      </w:pPr>
      <w:r w:rsidRPr="00074250">
        <w:rPr>
          <w:rFonts w:cs="Arial"/>
          <w:sz w:val="22"/>
          <w:szCs w:val="22"/>
          <w:lang w:val="es-ES"/>
        </w:rPr>
        <w:t xml:space="preserve">Los archivos de </w:t>
      </w:r>
      <w:hyperlink r:id="rId14" w:history="1">
        <w:r w:rsidRPr="00074250">
          <w:rPr>
            <w:rStyle w:val="Hyperlink"/>
            <w:rFonts w:cs="Arial"/>
            <w:sz w:val="22"/>
            <w:szCs w:val="22"/>
            <w:lang w:val="es-ES"/>
          </w:rPr>
          <w:t>Información Complementaria</w:t>
        </w:r>
      </w:hyperlink>
      <w:r w:rsidRPr="00074250">
        <w:rPr>
          <w:rFonts w:cs="Arial"/>
          <w:sz w:val="22"/>
          <w:szCs w:val="22"/>
          <w:lang w:val="es-ES"/>
        </w:rPr>
        <w:t xml:space="preserve"> (SI) generados para este análisis se han diseñado más para usarse como una herramienta que informe de actividades futuras del </w:t>
      </w:r>
      <w:proofErr w:type="spellStart"/>
      <w:r w:rsidRPr="00074250">
        <w:rPr>
          <w:rFonts w:cs="Arial"/>
          <w:sz w:val="22"/>
          <w:szCs w:val="22"/>
          <w:lang w:val="es-ES"/>
        </w:rPr>
        <w:t>MdE</w:t>
      </w:r>
      <w:proofErr w:type="spellEnd"/>
      <w:r w:rsidRPr="00074250">
        <w:rPr>
          <w:rFonts w:cs="Arial"/>
          <w:sz w:val="22"/>
          <w:szCs w:val="22"/>
          <w:lang w:val="es-ES"/>
        </w:rPr>
        <w:t xml:space="preserve"> sobre Tiburones. Cada uno de los archivos ofrece los desembarcos entre 2015-2019 por parte de los Signatarios y los Estados del Área de Distribución en cada Zona FAO de: </w:t>
      </w:r>
    </w:p>
    <w:p w14:paraId="7B004023" w14:textId="77777777" w:rsidR="00B67B59" w:rsidRPr="00074250" w:rsidRDefault="00B67B59" w:rsidP="00B67B59">
      <w:pPr>
        <w:widowControl/>
        <w:pBdr>
          <w:top w:val="nil"/>
          <w:left w:val="nil"/>
          <w:bottom w:val="nil"/>
          <w:right w:val="nil"/>
          <w:between w:val="nil"/>
          <w:bar w:val="nil"/>
        </w:pBdr>
        <w:autoSpaceDE/>
        <w:autoSpaceDN/>
        <w:adjustRightInd/>
        <w:ind w:right="26"/>
        <w:jc w:val="both"/>
        <w:rPr>
          <w:rFonts w:cs="Arial"/>
          <w:sz w:val="22"/>
          <w:szCs w:val="22"/>
          <w:lang w:val="es-ES"/>
        </w:rPr>
      </w:pPr>
    </w:p>
    <w:p w14:paraId="53A96DAF" w14:textId="77777777" w:rsidR="00B67B59" w:rsidRPr="00074250" w:rsidRDefault="00B67B59" w:rsidP="002C7D6A">
      <w:pPr>
        <w:pStyle w:val="ListParagraph"/>
        <w:widowControl/>
        <w:numPr>
          <w:ilvl w:val="1"/>
          <w:numId w:val="13"/>
        </w:numPr>
        <w:pBdr>
          <w:top w:val="nil"/>
          <w:left w:val="nil"/>
          <w:bottom w:val="nil"/>
          <w:right w:val="nil"/>
          <w:between w:val="nil"/>
          <w:bar w:val="nil"/>
        </w:pBdr>
        <w:autoSpaceDE/>
        <w:autoSpaceDN/>
        <w:adjustRightInd/>
        <w:ind w:left="900" w:right="26"/>
        <w:contextualSpacing w:val="0"/>
        <w:jc w:val="both"/>
        <w:rPr>
          <w:rFonts w:cs="Arial"/>
          <w:sz w:val="22"/>
          <w:szCs w:val="22"/>
          <w:lang w:val="es-ES"/>
        </w:rPr>
      </w:pPr>
      <w:r w:rsidRPr="00074250">
        <w:rPr>
          <w:rFonts w:cs="Arial"/>
          <w:sz w:val="22"/>
          <w:szCs w:val="22"/>
          <w:lang w:val="es-ES"/>
        </w:rPr>
        <w:t>especies enumeradas en el Apéndice I de la CMS (SI-1);</w:t>
      </w:r>
    </w:p>
    <w:p w14:paraId="25E1ACDD" w14:textId="77777777" w:rsidR="00B67B59" w:rsidRPr="00074250" w:rsidRDefault="00B67B59" w:rsidP="00B67B59">
      <w:pPr>
        <w:pStyle w:val="ListParagraph"/>
        <w:widowControl/>
        <w:pBdr>
          <w:top w:val="nil"/>
          <w:left w:val="nil"/>
          <w:bottom w:val="nil"/>
          <w:right w:val="nil"/>
          <w:between w:val="nil"/>
          <w:bar w:val="nil"/>
        </w:pBdr>
        <w:autoSpaceDE/>
        <w:autoSpaceDN/>
        <w:adjustRightInd/>
        <w:ind w:left="900" w:right="26" w:hanging="360"/>
        <w:contextualSpacing w:val="0"/>
        <w:jc w:val="both"/>
        <w:rPr>
          <w:rFonts w:cs="Arial"/>
          <w:sz w:val="22"/>
          <w:szCs w:val="22"/>
          <w:lang w:val="es-ES"/>
        </w:rPr>
      </w:pPr>
    </w:p>
    <w:p w14:paraId="5DB16F67" w14:textId="77777777" w:rsidR="00B67B59" w:rsidRPr="00074250" w:rsidRDefault="00B67B59" w:rsidP="002C7D6A">
      <w:pPr>
        <w:pStyle w:val="ListParagraph"/>
        <w:widowControl/>
        <w:numPr>
          <w:ilvl w:val="1"/>
          <w:numId w:val="13"/>
        </w:numPr>
        <w:pBdr>
          <w:top w:val="nil"/>
          <w:left w:val="nil"/>
          <w:bottom w:val="nil"/>
          <w:right w:val="nil"/>
          <w:between w:val="nil"/>
          <w:bar w:val="nil"/>
        </w:pBdr>
        <w:autoSpaceDE/>
        <w:autoSpaceDN/>
        <w:adjustRightInd/>
        <w:ind w:left="900" w:right="26"/>
        <w:contextualSpacing w:val="0"/>
        <w:jc w:val="both"/>
        <w:rPr>
          <w:rFonts w:cs="Arial"/>
          <w:sz w:val="22"/>
          <w:szCs w:val="22"/>
          <w:lang w:val="es-ES"/>
        </w:rPr>
      </w:pPr>
      <w:r w:rsidRPr="00074250">
        <w:rPr>
          <w:rFonts w:cs="Arial"/>
          <w:sz w:val="22"/>
          <w:szCs w:val="22"/>
          <w:lang w:val="es-ES"/>
        </w:rPr>
        <w:t xml:space="preserve">desembarcos del Anexo 1 del </w:t>
      </w:r>
      <w:proofErr w:type="spellStart"/>
      <w:r w:rsidRPr="00074250">
        <w:rPr>
          <w:rFonts w:cs="Arial"/>
          <w:sz w:val="22"/>
          <w:szCs w:val="22"/>
          <w:lang w:val="es-ES"/>
        </w:rPr>
        <w:t>MdE</w:t>
      </w:r>
      <w:proofErr w:type="spellEnd"/>
      <w:r w:rsidRPr="00074250">
        <w:rPr>
          <w:rFonts w:cs="Arial"/>
          <w:sz w:val="22"/>
          <w:szCs w:val="22"/>
          <w:lang w:val="es-ES"/>
        </w:rPr>
        <w:t xml:space="preserve"> sobre Tiburones específicos de especie (SI-2);</w:t>
      </w:r>
    </w:p>
    <w:p w14:paraId="7B0BA971" w14:textId="77777777" w:rsidR="00B67B59" w:rsidRPr="00074250" w:rsidRDefault="00B67B59" w:rsidP="00B67B59">
      <w:pPr>
        <w:widowControl/>
        <w:pBdr>
          <w:top w:val="nil"/>
          <w:left w:val="nil"/>
          <w:bottom w:val="nil"/>
          <w:right w:val="nil"/>
          <w:between w:val="nil"/>
          <w:bar w:val="nil"/>
        </w:pBdr>
        <w:autoSpaceDE/>
        <w:autoSpaceDN/>
        <w:adjustRightInd/>
        <w:ind w:left="900" w:right="26" w:hanging="360"/>
        <w:jc w:val="both"/>
        <w:rPr>
          <w:rFonts w:cs="Arial"/>
          <w:sz w:val="22"/>
          <w:szCs w:val="22"/>
          <w:lang w:val="es-ES"/>
        </w:rPr>
      </w:pPr>
    </w:p>
    <w:p w14:paraId="09704AE4" w14:textId="77777777" w:rsidR="00B67B59" w:rsidRPr="00074250" w:rsidRDefault="00B67B59" w:rsidP="002C7D6A">
      <w:pPr>
        <w:pStyle w:val="ListParagraph"/>
        <w:widowControl/>
        <w:numPr>
          <w:ilvl w:val="1"/>
          <w:numId w:val="13"/>
        </w:numPr>
        <w:pBdr>
          <w:top w:val="nil"/>
          <w:left w:val="nil"/>
          <w:bottom w:val="nil"/>
          <w:right w:val="nil"/>
          <w:between w:val="nil"/>
          <w:bar w:val="nil"/>
        </w:pBdr>
        <w:autoSpaceDE/>
        <w:autoSpaceDN/>
        <w:adjustRightInd/>
        <w:ind w:left="900" w:right="26"/>
        <w:contextualSpacing w:val="0"/>
        <w:jc w:val="both"/>
        <w:rPr>
          <w:rFonts w:cs="Arial"/>
          <w:sz w:val="22"/>
          <w:szCs w:val="22"/>
          <w:lang w:val="es-ES"/>
        </w:rPr>
      </w:pPr>
      <w:r w:rsidRPr="00074250">
        <w:rPr>
          <w:rFonts w:cs="Arial"/>
          <w:sz w:val="22"/>
          <w:szCs w:val="22"/>
          <w:lang w:val="es-ES"/>
        </w:rPr>
        <w:t xml:space="preserve">desembarcos totales del </w:t>
      </w:r>
      <w:proofErr w:type="spellStart"/>
      <w:r w:rsidRPr="00074250">
        <w:rPr>
          <w:rFonts w:cs="Arial"/>
          <w:sz w:val="22"/>
          <w:szCs w:val="22"/>
          <w:lang w:val="es-ES"/>
        </w:rPr>
        <w:t>MdE</w:t>
      </w:r>
      <w:proofErr w:type="spellEnd"/>
      <w:r w:rsidRPr="00074250">
        <w:rPr>
          <w:rFonts w:cs="Arial"/>
          <w:sz w:val="22"/>
          <w:szCs w:val="22"/>
          <w:lang w:val="es-ES"/>
        </w:rPr>
        <w:t xml:space="preserve"> sobre Tiburones y desembarcos inciertos en relación con todas las especies de tiburones y rayas notificadas a la FAO (SI-3). </w:t>
      </w:r>
    </w:p>
    <w:p w14:paraId="765DBC50" w14:textId="77777777" w:rsidR="00B67B59" w:rsidRPr="00074250" w:rsidRDefault="00B67B59" w:rsidP="00B67B59">
      <w:pPr>
        <w:pStyle w:val="ListParagraph"/>
        <w:widowControl/>
        <w:pBdr>
          <w:top w:val="nil"/>
          <w:left w:val="nil"/>
          <w:bottom w:val="nil"/>
          <w:right w:val="nil"/>
          <w:between w:val="nil"/>
          <w:bar w:val="nil"/>
        </w:pBdr>
        <w:autoSpaceDE/>
        <w:autoSpaceDN/>
        <w:adjustRightInd/>
        <w:ind w:left="1440" w:right="26"/>
        <w:contextualSpacing w:val="0"/>
        <w:jc w:val="both"/>
        <w:rPr>
          <w:rFonts w:cs="Arial"/>
          <w:sz w:val="22"/>
          <w:szCs w:val="22"/>
          <w:lang w:val="es-ES"/>
        </w:rPr>
      </w:pPr>
    </w:p>
    <w:p w14:paraId="050E534F" w14:textId="77777777" w:rsidR="00B67B59" w:rsidRPr="00074250" w:rsidRDefault="00B67B59" w:rsidP="002C7D6A">
      <w:pPr>
        <w:pStyle w:val="ListParagraph"/>
        <w:widowControl/>
        <w:numPr>
          <w:ilvl w:val="0"/>
          <w:numId w:val="13"/>
        </w:numPr>
        <w:pBdr>
          <w:top w:val="nil"/>
          <w:left w:val="nil"/>
          <w:bottom w:val="nil"/>
          <w:right w:val="nil"/>
          <w:between w:val="nil"/>
          <w:bar w:val="nil"/>
        </w:pBdr>
        <w:autoSpaceDE/>
        <w:autoSpaceDN/>
        <w:adjustRightInd/>
        <w:ind w:left="567" w:right="26" w:hanging="567"/>
        <w:contextualSpacing w:val="0"/>
        <w:jc w:val="both"/>
        <w:rPr>
          <w:rFonts w:cs="Arial"/>
          <w:sz w:val="22"/>
          <w:szCs w:val="22"/>
          <w:lang w:val="es-ES"/>
        </w:rPr>
      </w:pPr>
      <w:r w:rsidRPr="00074250">
        <w:rPr>
          <w:rFonts w:cs="Arial"/>
          <w:sz w:val="22"/>
          <w:szCs w:val="22"/>
          <w:lang w:val="es-ES"/>
        </w:rPr>
        <w:t xml:space="preserve">Algunos ejemplos potenciales del uso de esta herramienta incluyen la identificación de: </w:t>
      </w:r>
    </w:p>
    <w:p w14:paraId="119EB620" w14:textId="77777777" w:rsidR="00B67B59" w:rsidRPr="00074250" w:rsidRDefault="00B67B59" w:rsidP="00B67B59">
      <w:pPr>
        <w:widowControl/>
        <w:pBdr>
          <w:top w:val="nil"/>
          <w:left w:val="nil"/>
          <w:bottom w:val="nil"/>
          <w:right w:val="nil"/>
          <w:between w:val="nil"/>
          <w:bar w:val="nil"/>
        </w:pBdr>
        <w:autoSpaceDE/>
        <w:autoSpaceDN/>
        <w:adjustRightInd/>
        <w:ind w:right="26"/>
        <w:jc w:val="both"/>
        <w:rPr>
          <w:rFonts w:cs="Arial"/>
          <w:sz w:val="22"/>
          <w:szCs w:val="22"/>
          <w:lang w:val="es-ES"/>
        </w:rPr>
      </w:pPr>
    </w:p>
    <w:p w14:paraId="10BD947D" w14:textId="77777777" w:rsidR="00B67B59" w:rsidRPr="00074250" w:rsidRDefault="00B67B59" w:rsidP="002C7D6A">
      <w:pPr>
        <w:pStyle w:val="ListParagraph"/>
        <w:widowControl/>
        <w:numPr>
          <w:ilvl w:val="1"/>
          <w:numId w:val="13"/>
        </w:numPr>
        <w:pBdr>
          <w:top w:val="nil"/>
          <w:left w:val="nil"/>
          <w:bottom w:val="nil"/>
          <w:right w:val="nil"/>
          <w:between w:val="nil"/>
          <w:bar w:val="nil"/>
        </w:pBdr>
        <w:autoSpaceDE/>
        <w:autoSpaceDN/>
        <w:adjustRightInd/>
        <w:ind w:left="900" w:right="26"/>
        <w:contextualSpacing w:val="0"/>
        <w:jc w:val="both"/>
        <w:rPr>
          <w:rFonts w:cs="Arial"/>
          <w:sz w:val="22"/>
          <w:szCs w:val="22"/>
          <w:lang w:val="es-ES"/>
        </w:rPr>
      </w:pPr>
      <w:r w:rsidRPr="00074250">
        <w:rPr>
          <w:rFonts w:cs="Arial"/>
          <w:sz w:val="22"/>
          <w:szCs w:val="22"/>
          <w:lang w:val="es-ES"/>
        </w:rPr>
        <w:t xml:space="preserve">Signatarios y Estados del Área de Distribución cuya colaboración puede ser importante a través de una Acción Concertada o la adhesión al </w:t>
      </w:r>
      <w:proofErr w:type="spellStart"/>
      <w:r w:rsidRPr="00074250">
        <w:rPr>
          <w:rFonts w:cs="Arial"/>
          <w:sz w:val="22"/>
          <w:szCs w:val="22"/>
          <w:lang w:val="es-ES"/>
        </w:rPr>
        <w:t>MdE</w:t>
      </w:r>
      <w:proofErr w:type="spellEnd"/>
      <w:r w:rsidRPr="00074250">
        <w:rPr>
          <w:rFonts w:cs="Arial"/>
          <w:sz w:val="22"/>
          <w:szCs w:val="22"/>
          <w:lang w:val="es-ES"/>
        </w:rPr>
        <w:t xml:space="preserve"> sobre Tiburones dado el nivel de explotación de las especies enumeradas específicas de conservación o su precisión en investigación.</w:t>
      </w:r>
    </w:p>
    <w:p w14:paraId="53F62EFD" w14:textId="77777777" w:rsidR="00B67B59" w:rsidRPr="00074250" w:rsidRDefault="00B67B59" w:rsidP="00B67B59">
      <w:pPr>
        <w:pStyle w:val="ListParagraph"/>
        <w:widowControl/>
        <w:pBdr>
          <w:top w:val="nil"/>
          <w:left w:val="nil"/>
          <w:bottom w:val="nil"/>
          <w:right w:val="nil"/>
          <w:between w:val="nil"/>
          <w:bar w:val="nil"/>
        </w:pBdr>
        <w:autoSpaceDE/>
        <w:autoSpaceDN/>
        <w:adjustRightInd/>
        <w:ind w:left="900" w:right="26" w:hanging="360"/>
        <w:contextualSpacing w:val="0"/>
        <w:jc w:val="both"/>
        <w:rPr>
          <w:rFonts w:cs="Arial"/>
          <w:sz w:val="22"/>
          <w:szCs w:val="22"/>
          <w:lang w:val="es-ES"/>
        </w:rPr>
      </w:pPr>
    </w:p>
    <w:p w14:paraId="267586DD" w14:textId="77777777" w:rsidR="00B67B59" w:rsidRPr="00074250" w:rsidRDefault="00B67B59" w:rsidP="002C7D6A">
      <w:pPr>
        <w:pStyle w:val="ListParagraph"/>
        <w:widowControl/>
        <w:numPr>
          <w:ilvl w:val="1"/>
          <w:numId w:val="13"/>
        </w:numPr>
        <w:pBdr>
          <w:top w:val="nil"/>
          <w:left w:val="nil"/>
          <w:bottom w:val="nil"/>
          <w:right w:val="nil"/>
          <w:between w:val="nil"/>
          <w:bar w:val="nil"/>
        </w:pBdr>
        <w:autoSpaceDE/>
        <w:autoSpaceDN/>
        <w:adjustRightInd/>
        <w:ind w:left="900" w:right="26"/>
        <w:contextualSpacing w:val="0"/>
        <w:jc w:val="both"/>
        <w:rPr>
          <w:rFonts w:cs="Arial"/>
          <w:sz w:val="22"/>
          <w:szCs w:val="22"/>
          <w:lang w:val="es-ES"/>
        </w:rPr>
      </w:pPr>
      <w:r w:rsidRPr="00074250">
        <w:rPr>
          <w:rFonts w:cs="Arial"/>
          <w:sz w:val="22"/>
          <w:szCs w:val="22"/>
          <w:lang w:val="es-ES"/>
        </w:rPr>
        <w:t>Regiones y Signatarios donde la creación de capacidad es necesaria principalmente para mejorar la notificación de datos específicos de especie.</w:t>
      </w:r>
    </w:p>
    <w:p w14:paraId="3B56477E" w14:textId="77777777" w:rsidR="00B67B59" w:rsidRPr="00074250" w:rsidRDefault="00B67B59" w:rsidP="00B67B59">
      <w:pPr>
        <w:pStyle w:val="ListParagraph"/>
        <w:widowControl/>
        <w:pBdr>
          <w:top w:val="nil"/>
          <w:left w:val="nil"/>
          <w:bottom w:val="nil"/>
          <w:right w:val="nil"/>
          <w:between w:val="nil"/>
          <w:bar w:val="nil"/>
        </w:pBdr>
        <w:autoSpaceDE/>
        <w:autoSpaceDN/>
        <w:adjustRightInd/>
        <w:ind w:left="567" w:right="26"/>
        <w:contextualSpacing w:val="0"/>
        <w:jc w:val="both"/>
        <w:rPr>
          <w:rFonts w:cs="Arial"/>
          <w:sz w:val="22"/>
          <w:szCs w:val="22"/>
          <w:u w:val="single"/>
          <w:lang w:val="es-ES"/>
        </w:rPr>
      </w:pPr>
    </w:p>
    <w:p w14:paraId="78016FD5" w14:textId="77777777" w:rsidR="00B67B59" w:rsidRPr="00074250" w:rsidRDefault="00B67B59" w:rsidP="00B67B59">
      <w:pPr>
        <w:pStyle w:val="Heading2"/>
        <w:ind w:right="26"/>
        <w:rPr>
          <w:b w:val="0"/>
          <w:bCs w:val="0"/>
          <w:sz w:val="22"/>
          <w:szCs w:val="22"/>
          <w:u w:val="single"/>
          <w:lang w:val="es-ES"/>
        </w:rPr>
      </w:pPr>
      <w:r w:rsidRPr="00074250">
        <w:rPr>
          <w:b w:val="0"/>
          <w:bCs w:val="0"/>
          <w:sz w:val="22"/>
          <w:szCs w:val="22"/>
          <w:u w:val="single"/>
          <w:lang w:val="es-ES"/>
        </w:rPr>
        <w:t>Acción que se solicita:</w:t>
      </w:r>
    </w:p>
    <w:p w14:paraId="6A2C2E05" w14:textId="77777777" w:rsidR="00B67B59" w:rsidRPr="00074250" w:rsidRDefault="00B67B59" w:rsidP="00B67B59">
      <w:pPr>
        <w:ind w:right="26"/>
        <w:rPr>
          <w:rFonts w:cs="Arial"/>
          <w:sz w:val="22"/>
          <w:szCs w:val="22"/>
          <w:u w:val="single"/>
          <w:lang w:val="es-ES"/>
        </w:rPr>
      </w:pPr>
    </w:p>
    <w:p w14:paraId="3BEE6888" w14:textId="77777777" w:rsidR="00B67B59" w:rsidRPr="00074250" w:rsidRDefault="00B67B59" w:rsidP="002C7D6A">
      <w:pPr>
        <w:pStyle w:val="ListParagraph"/>
        <w:widowControl/>
        <w:numPr>
          <w:ilvl w:val="0"/>
          <w:numId w:val="13"/>
        </w:numPr>
        <w:pBdr>
          <w:top w:val="nil"/>
          <w:left w:val="nil"/>
          <w:bottom w:val="nil"/>
          <w:right w:val="nil"/>
          <w:between w:val="nil"/>
          <w:bar w:val="nil"/>
        </w:pBdr>
        <w:autoSpaceDE/>
        <w:autoSpaceDN/>
        <w:adjustRightInd/>
        <w:ind w:left="567" w:right="26" w:hanging="567"/>
        <w:contextualSpacing w:val="0"/>
        <w:jc w:val="both"/>
        <w:rPr>
          <w:rFonts w:cs="Arial"/>
          <w:sz w:val="22"/>
          <w:szCs w:val="22"/>
          <w:lang w:val="es-ES"/>
        </w:rPr>
      </w:pPr>
      <w:r w:rsidRPr="00074250">
        <w:rPr>
          <w:rFonts w:cs="Arial"/>
          <w:sz w:val="22"/>
          <w:szCs w:val="22"/>
          <w:lang w:val="es-ES"/>
        </w:rPr>
        <w:t>Se solicita a la Reunión:</w:t>
      </w:r>
    </w:p>
    <w:p w14:paraId="442D06C4" w14:textId="77777777" w:rsidR="00B67B59" w:rsidRPr="00074250" w:rsidRDefault="00B67B59" w:rsidP="00B67B59">
      <w:pPr>
        <w:pStyle w:val="Body"/>
        <w:spacing w:after="0" w:line="240" w:lineRule="auto"/>
        <w:ind w:left="720" w:right="26"/>
        <w:jc w:val="both"/>
        <w:rPr>
          <w:rFonts w:ascii="Arial" w:hAnsi="Arial" w:cs="Arial"/>
          <w:sz w:val="22"/>
          <w:szCs w:val="22"/>
          <w:lang w:val="es-ES"/>
        </w:rPr>
      </w:pPr>
    </w:p>
    <w:p w14:paraId="0E69737C" w14:textId="77777777" w:rsidR="00B67B59" w:rsidRPr="00074250" w:rsidRDefault="00B67B59" w:rsidP="002C7D6A">
      <w:pPr>
        <w:pStyle w:val="Body"/>
        <w:numPr>
          <w:ilvl w:val="0"/>
          <w:numId w:val="14"/>
        </w:numPr>
        <w:spacing w:after="0" w:line="240" w:lineRule="auto"/>
        <w:ind w:left="900" w:right="26"/>
        <w:jc w:val="both"/>
        <w:rPr>
          <w:rFonts w:ascii="Arial" w:hAnsi="Arial" w:cs="Arial"/>
          <w:sz w:val="22"/>
          <w:szCs w:val="22"/>
          <w:lang w:val="es-ES"/>
        </w:rPr>
      </w:pPr>
      <w:r w:rsidRPr="00074250">
        <w:rPr>
          <w:rFonts w:ascii="Arial" w:hAnsi="Arial" w:cs="Arial"/>
          <w:sz w:val="22"/>
          <w:szCs w:val="22"/>
          <w:lang w:val="es-ES"/>
        </w:rPr>
        <w:t xml:space="preserve">tomar nota del análisis proporcionado en el </w:t>
      </w:r>
      <w:r w:rsidRPr="00074250">
        <w:rPr>
          <w:rFonts w:ascii="Arial" w:hAnsi="Arial" w:cs="Arial"/>
          <w:sz w:val="22"/>
          <w:szCs w:val="22"/>
          <w:u w:val="single"/>
          <w:lang w:val="es-ES"/>
        </w:rPr>
        <w:t>Anexo 1</w:t>
      </w:r>
      <w:r w:rsidRPr="00074250">
        <w:rPr>
          <w:rFonts w:ascii="Arial" w:hAnsi="Arial" w:cs="Arial"/>
          <w:sz w:val="22"/>
          <w:szCs w:val="22"/>
          <w:lang w:val="es-ES"/>
        </w:rPr>
        <w:t xml:space="preserve"> y proporcionar comentarios;</w:t>
      </w:r>
    </w:p>
    <w:p w14:paraId="7E800D32" w14:textId="77777777" w:rsidR="00B67B59" w:rsidRPr="00074250" w:rsidRDefault="00B67B59" w:rsidP="00B67B59">
      <w:pPr>
        <w:pStyle w:val="Body"/>
        <w:spacing w:after="0" w:line="240" w:lineRule="auto"/>
        <w:ind w:left="900" w:right="26" w:hanging="360"/>
        <w:jc w:val="both"/>
        <w:rPr>
          <w:rFonts w:ascii="Arial" w:hAnsi="Arial" w:cs="Arial"/>
          <w:sz w:val="22"/>
          <w:szCs w:val="22"/>
          <w:lang w:val="es-ES"/>
        </w:rPr>
      </w:pPr>
    </w:p>
    <w:p w14:paraId="11873D5D" w14:textId="16F33CE6" w:rsidR="00B67B59" w:rsidRPr="00074250" w:rsidRDefault="00B67B59" w:rsidP="002C7D6A">
      <w:pPr>
        <w:pStyle w:val="Body"/>
        <w:numPr>
          <w:ilvl w:val="0"/>
          <w:numId w:val="14"/>
        </w:numPr>
        <w:spacing w:after="0" w:line="240" w:lineRule="auto"/>
        <w:ind w:left="900" w:right="26"/>
        <w:jc w:val="both"/>
        <w:rPr>
          <w:rFonts w:ascii="Arial" w:hAnsi="Arial" w:cs="Arial"/>
          <w:sz w:val="22"/>
          <w:szCs w:val="22"/>
          <w:lang w:val="es-ES"/>
        </w:rPr>
      </w:pPr>
      <w:r w:rsidRPr="00074250">
        <w:rPr>
          <w:rFonts w:ascii="Arial" w:hAnsi="Arial" w:cs="Arial"/>
          <w:sz w:val="22"/>
          <w:szCs w:val="22"/>
          <w:lang w:val="es-ES"/>
        </w:rPr>
        <w:t>revisar y debatir el proyecto “Resultado 4.x” (</w:t>
      </w:r>
      <w:r w:rsidRPr="00074250">
        <w:rPr>
          <w:rFonts w:ascii="Arial" w:hAnsi="Arial" w:cs="Arial"/>
          <w:sz w:val="22"/>
          <w:szCs w:val="22"/>
          <w:u w:val="single"/>
          <w:lang w:val="es-ES"/>
        </w:rPr>
        <w:t>Anexo 2)</w:t>
      </w:r>
      <w:r w:rsidRPr="00074250">
        <w:rPr>
          <w:rFonts w:ascii="Arial" w:hAnsi="Arial" w:cs="Arial"/>
          <w:sz w:val="22"/>
          <w:szCs w:val="22"/>
          <w:lang w:val="es-ES"/>
        </w:rPr>
        <w:t xml:space="preserve"> y acordar finalmente las “</w:t>
      </w:r>
      <w:r w:rsidRPr="00074250">
        <w:rPr>
          <w:rFonts w:ascii="Arial" w:hAnsi="Arial" w:cs="Arial"/>
          <w:i/>
          <w:iCs/>
          <w:sz w:val="22"/>
          <w:szCs w:val="22"/>
          <w:lang w:val="es-ES"/>
        </w:rPr>
        <w:t xml:space="preserve">Recomendaciones para que los Signatarios mejoren la notificación de datos de desembarcos para las especies enumeradas en el Anexo 1 del </w:t>
      </w:r>
      <w:proofErr w:type="spellStart"/>
      <w:r w:rsidRPr="00074250">
        <w:rPr>
          <w:rFonts w:ascii="Arial" w:hAnsi="Arial" w:cs="Arial"/>
          <w:i/>
          <w:iCs/>
          <w:sz w:val="22"/>
          <w:szCs w:val="22"/>
          <w:lang w:val="es-ES"/>
        </w:rPr>
        <w:t>MdE</w:t>
      </w:r>
      <w:proofErr w:type="spellEnd"/>
      <w:r w:rsidRPr="00074250">
        <w:rPr>
          <w:rFonts w:ascii="Arial" w:hAnsi="Arial" w:cs="Arial"/>
          <w:i/>
          <w:iCs/>
          <w:sz w:val="22"/>
          <w:szCs w:val="22"/>
          <w:lang w:val="es-ES"/>
        </w:rPr>
        <w:t xml:space="preserve"> sobre Tiburones</w:t>
      </w:r>
      <w:r w:rsidRPr="00074250">
        <w:rPr>
          <w:rFonts w:ascii="Arial" w:hAnsi="Arial" w:cs="Arial"/>
          <w:sz w:val="22"/>
          <w:szCs w:val="22"/>
          <w:lang w:val="es-ES"/>
        </w:rPr>
        <w:t>” desde esta reunión;</w:t>
      </w:r>
    </w:p>
    <w:p w14:paraId="0C49D88D" w14:textId="77777777" w:rsidR="00B67B59" w:rsidRPr="00074250" w:rsidRDefault="00B67B59" w:rsidP="00B67B59">
      <w:pPr>
        <w:pStyle w:val="ListParagraph"/>
        <w:ind w:left="900" w:right="26" w:hanging="360"/>
        <w:jc w:val="both"/>
        <w:rPr>
          <w:rFonts w:cs="Arial"/>
          <w:sz w:val="22"/>
          <w:szCs w:val="22"/>
          <w:lang w:val="es-ES"/>
        </w:rPr>
      </w:pPr>
    </w:p>
    <w:p w14:paraId="446501CF" w14:textId="77777777" w:rsidR="00B67B59" w:rsidRPr="00074250" w:rsidRDefault="00B67B59" w:rsidP="002C7D6A">
      <w:pPr>
        <w:pStyle w:val="Body"/>
        <w:numPr>
          <w:ilvl w:val="0"/>
          <w:numId w:val="14"/>
        </w:numPr>
        <w:spacing w:after="0" w:line="240" w:lineRule="auto"/>
        <w:ind w:left="900" w:right="26"/>
        <w:jc w:val="both"/>
        <w:rPr>
          <w:rFonts w:cs="Arial"/>
          <w:bCs/>
          <w:iCs/>
          <w:sz w:val="22"/>
          <w:szCs w:val="22"/>
          <w:lang w:val="es-ES"/>
        </w:rPr>
      </w:pPr>
      <w:r w:rsidRPr="00074250">
        <w:rPr>
          <w:rFonts w:ascii="Arial" w:hAnsi="Arial" w:cs="Arial"/>
          <w:sz w:val="22"/>
          <w:szCs w:val="22"/>
          <w:lang w:val="es-ES"/>
        </w:rPr>
        <w:lastRenderedPageBreak/>
        <w:t xml:space="preserve">revisar y acordar una versión final de proyectos de decisiones de la reunión en el </w:t>
      </w:r>
      <w:r w:rsidRPr="00074250">
        <w:rPr>
          <w:rFonts w:ascii="Arial" w:hAnsi="Arial" w:cs="Arial"/>
          <w:sz w:val="22"/>
          <w:szCs w:val="22"/>
          <w:u w:val="single"/>
          <w:lang w:val="es-ES"/>
        </w:rPr>
        <w:t>Anexo 3</w:t>
      </w:r>
      <w:r w:rsidRPr="00074250">
        <w:rPr>
          <w:rFonts w:ascii="Arial" w:hAnsi="Arial" w:cs="Arial"/>
          <w:sz w:val="22"/>
          <w:szCs w:val="22"/>
          <w:lang w:val="es-ES"/>
        </w:rPr>
        <w:t xml:space="preserve"> de este documento;</w:t>
      </w:r>
    </w:p>
    <w:p w14:paraId="72033FDB" w14:textId="77777777" w:rsidR="00B67B59" w:rsidRPr="00074250" w:rsidRDefault="00B67B59" w:rsidP="00B67B59">
      <w:pPr>
        <w:pStyle w:val="ListParagraph"/>
        <w:ind w:left="900" w:hanging="360"/>
        <w:jc w:val="both"/>
        <w:rPr>
          <w:rFonts w:cs="Arial"/>
          <w:sz w:val="22"/>
          <w:szCs w:val="22"/>
          <w:lang w:val="es-ES"/>
        </w:rPr>
      </w:pPr>
    </w:p>
    <w:p w14:paraId="10CA3FFA" w14:textId="2F0DEDB5" w:rsidR="00D87D1E" w:rsidRPr="00074250" w:rsidRDefault="00B67B59" w:rsidP="002C7D6A">
      <w:pPr>
        <w:pStyle w:val="Body"/>
        <w:numPr>
          <w:ilvl w:val="0"/>
          <w:numId w:val="14"/>
        </w:numPr>
        <w:spacing w:after="0" w:line="240" w:lineRule="auto"/>
        <w:ind w:left="900" w:right="26"/>
        <w:jc w:val="both"/>
        <w:rPr>
          <w:rFonts w:cs="Arial"/>
          <w:bCs/>
          <w:iCs/>
          <w:sz w:val="22"/>
          <w:szCs w:val="22"/>
          <w:lang w:val="es-ES"/>
        </w:rPr>
      </w:pPr>
      <w:r w:rsidRPr="00074250">
        <w:rPr>
          <w:rFonts w:ascii="Arial" w:hAnsi="Arial" w:cs="Arial"/>
          <w:sz w:val="22"/>
          <w:szCs w:val="22"/>
          <w:lang w:val="es-ES"/>
        </w:rPr>
        <w:t xml:space="preserve">revisar y acordar las actividades tal como sugiere el </w:t>
      </w:r>
      <w:r w:rsidRPr="00074250">
        <w:rPr>
          <w:rFonts w:ascii="Arial" w:hAnsi="Arial" w:cs="Arial"/>
          <w:sz w:val="22"/>
          <w:szCs w:val="22"/>
          <w:u w:val="single"/>
          <w:lang w:val="es-ES"/>
        </w:rPr>
        <w:t>Anexo 4</w:t>
      </w:r>
      <w:r w:rsidRPr="00074250">
        <w:rPr>
          <w:rFonts w:ascii="Arial" w:hAnsi="Arial" w:cs="Arial"/>
          <w:sz w:val="22"/>
          <w:szCs w:val="22"/>
          <w:lang w:val="es-ES"/>
        </w:rPr>
        <w:t xml:space="preserve"> a este documento y valorar si incluir estas en el Programa de Trabajo 2023-2025.</w:t>
      </w:r>
    </w:p>
    <w:p w14:paraId="71E6EB3B" w14:textId="42DB31EA" w:rsidR="00D87D1E" w:rsidRPr="00074250" w:rsidRDefault="00D87D1E" w:rsidP="00B67B59">
      <w:pPr>
        <w:ind w:right="26"/>
        <w:jc w:val="center"/>
        <w:rPr>
          <w:rFonts w:cs="Arial"/>
          <w:bCs/>
          <w:iCs/>
          <w:sz w:val="22"/>
          <w:szCs w:val="22"/>
          <w:lang w:val="es-ES"/>
        </w:rPr>
      </w:pPr>
    </w:p>
    <w:p w14:paraId="08B4B9EC" w14:textId="77777777" w:rsidR="00B67B59" w:rsidRPr="00074250" w:rsidRDefault="00B67B59" w:rsidP="00B67B59">
      <w:pPr>
        <w:ind w:right="26"/>
        <w:jc w:val="center"/>
        <w:rPr>
          <w:rFonts w:cs="Arial"/>
          <w:bCs/>
          <w:iCs/>
          <w:sz w:val="22"/>
          <w:szCs w:val="22"/>
          <w:lang w:val="es-ES"/>
        </w:rPr>
        <w:sectPr w:rsidR="00B67B59" w:rsidRPr="00074250" w:rsidSect="00B67B59">
          <w:headerReference w:type="even" r:id="rId15"/>
          <w:headerReference w:type="default" r:id="rId16"/>
          <w:footerReference w:type="even" r:id="rId17"/>
          <w:footerReference w:type="default" r:id="rId18"/>
          <w:headerReference w:type="first" r:id="rId19"/>
          <w:footerReference w:type="first" r:id="rId20"/>
          <w:pgSz w:w="11906" w:h="16838" w:code="9"/>
          <w:pgMar w:top="1138" w:right="1138" w:bottom="1138" w:left="1138" w:header="706" w:footer="706" w:gutter="0"/>
          <w:cols w:space="720"/>
          <w:titlePg/>
          <w:docGrid w:linePitch="245"/>
        </w:sectPr>
      </w:pPr>
    </w:p>
    <w:p w14:paraId="6E16C508" w14:textId="7BADC160" w:rsidR="00D87D1E" w:rsidRPr="00074250" w:rsidRDefault="00D87D1E" w:rsidP="00B67B59">
      <w:pPr>
        <w:ind w:right="26"/>
        <w:rPr>
          <w:rFonts w:cs="Arial"/>
          <w:bCs/>
          <w:iCs/>
          <w:sz w:val="22"/>
          <w:szCs w:val="22"/>
          <w:lang w:val="es-ES"/>
        </w:rPr>
      </w:pPr>
    </w:p>
    <w:p w14:paraId="67BDC414" w14:textId="77777777" w:rsidR="00B67B59" w:rsidRPr="00074250" w:rsidRDefault="00B67B59" w:rsidP="00A32203">
      <w:pPr>
        <w:widowControl/>
        <w:pBdr>
          <w:top w:val="nil"/>
          <w:left w:val="nil"/>
          <w:bottom w:val="nil"/>
          <w:right w:val="nil"/>
          <w:between w:val="nil"/>
          <w:bar w:val="nil"/>
        </w:pBdr>
        <w:autoSpaceDE/>
        <w:autoSpaceDN/>
        <w:adjustRightInd/>
        <w:jc w:val="right"/>
        <w:outlineLvl w:val="0"/>
        <w:rPr>
          <w:rFonts w:cs="Arial"/>
          <w:b/>
          <w:bCs/>
          <w:sz w:val="22"/>
          <w:szCs w:val="22"/>
          <w:lang w:val="es-ES"/>
        </w:rPr>
      </w:pPr>
      <w:r w:rsidRPr="00074250">
        <w:rPr>
          <w:rFonts w:cs="Arial"/>
          <w:b/>
          <w:bCs/>
          <w:sz w:val="22"/>
          <w:szCs w:val="22"/>
          <w:lang w:val="es-ES"/>
        </w:rPr>
        <w:t>ANEXO 1</w:t>
      </w:r>
    </w:p>
    <w:p w14:paraId="76181D83" w14:textId="71CB963D" w:rsidR="00B67B59" w:rsidRPr="00074250" w:rsidRDefault="00B67B59" w:rsidP="00A32203">
      <w:pPr>
        <w:pStyle w:val="ListParagraph"/>
        <w:ind w:left="1440"/>
        <w:jc w:val="both"/>
        <w:rPr>
          <w:rFonts w:cs="Arial"/>
          <w:sz w:val="22"/>
          <w:szCs w:val="22"/>
          <w:lang w:val="es-ES"/>
        </w:rPr>
      </w:pPr>
    </w:p>
    <w:p w14:paraId="2A4FA82C" w14:textId="77777777" w:rsidR="00B67B59" w:rsidRPr="00074250" w:rsidRDefault="00B67B59" w:rsidP="00A32203">
      <w:pPr>
        <w:pStyle w:val="ListParagraph"/>
        <w:ind w:left="1440"/>
        <w:jc w:val="both"/>
        <w:rPr>
          <w:rFonts w:cs="Arial"/>
          <w:sz w:val="22"/>
          <w:szCs w:val="22"/>
          <w:lang w:val="es-ES"/>
        </w:rPr>
      </w:pPr>
    </w:p>
    <w:p w14:paraId="16311A29" w14:textId="6055634A" w:rsidR="00B67B59" w:rsidRPr="00074250" w:rsidRDefault="0026143E" w:rsidP="00A32203">
      <w:pPr>
        <w:pStyle w:val="Heading1"/>
        <w:spacing w:before="0"/>
        <w:jc w:val="center"/>
        <w:rPr>
          <w:rFonts w:ascii="Arial" w:hAnsi="Arial" w:cs="Arial"/>
          <w:b/>
          <w:bCs/>
          <w:color w:val="auto"/>
          <w:sz w:val="22"/>
          <w:szCs w:val="22"/>
          <w:lang w:val="es-ES"/>
        </w:rPr>
      </w:pPr>
      <w:r w:rsidRPr="0026143E">
        <w:rPr>
          <w:rFonts w:ascii="Arial" w:hAnsi="Arial" w:cs="Arial"/>
          <w:b/>
          <w:bCs/>
          <w:color w:val="auto"/>
          <w:sz w:val="22"/>
          <w:szCs w:val="22"/>
          <w:lang w:val="es-ES"/>
        </w:rPr>
        <w:t>MEJORA EN LA INFORMACIÓN DE DATOS DE DESEMBARQUE DE LAS ESPECIES INCLUIDAS EN EL ANEXO 1 DEL MDE SOBRE TIBURONES</w:t>
      </w:r>
      <w:r w:rsidR="00B67B59" w:rsidRPr="00074250">
        <w:rPr>
          <w:rFonts w:ascii="Arial" w:hAnsi="Arial" w:cs="Arial"/>
          <w:b/>
          <w:bCs/>
          <w:color w:val="auto"/>
          <w:sz w:val="22"/>
          <w:szCs w:val="22"/>
          <w:lang w:val="es-ES"/>
        </w:rPr>
        <w:t xml:space="preserve"> "ANÁLISIS DE LOS DESEMBARCOS NOMINALES TAL COMO SE NOTIFICÓ A LA FAO (2015-2019)”</w:t>
      </w:r>
    </w:p>
    <w:p w14:paraId="74C55C33" w14:textId="77777777" w:rsidR="00B67B59" w:rsidRPr="00074250" w:rsidRDefault="00B67B59" w:rsidP="00A32203">
      <w:pPr>
        <w:ind w:right="252"/>
        <w:jc w:val="center"/>
        <w:rPr>
          <w:rFonts w:cs="Arial"/>
          <w:b/>
          <w:bCs/>
          <w:sz w:val="22"/>
          <w:szCs w:val="22"/>
          <w:lang w:val="es-ES"/>
        </w:rPr>
      </w:pPr>
    </w:p>
    <w:p w14:paraId="09FB8672" w14:textId="77777777" w:rsidR="00B67B59" w:rsidRPr="00074250" w:rsidRDefault="00B67B59" w:rsidP="00744507">
      <w:pPr>
        <w:ind w:right="252"/>
        <w:jc w:val="both"/>
        <w:rPr>
          <w:rFonts w:cs="Arial"/>
          <w:sz w:val="22"/>
          <w:szCs w:val="22"/>
          <w:lang w:val="es-ES"/>
        </w:rPr>
      </w:pPr>
      <w:r w:rsidRPr="00074250">
        <w:rPr>
          <w:rFonts w:cs="Arial"/>
          <w:b/>
          <w:bCs/>
          <w:sz w:val="22"/>
          <w:szCs w:val="22"/>
          <w:lang w:val="es-ES"/>
        </w:rPr>
        <w:t>Autores:</w:t>
      </w:r>
      <w:r w:rsidRPr="00074250">
        <w:rPr>
          <w:rFonts w:cs="Arial"/>
          <w:sz w:val="22"/>
          <w:szCs w:val="22"/>
          <w:lang w:val="es-ES"/>
        </w:rPr>
        <w:t xml:space="preserve"> Maria Pozo-Montoro, Mario Espinoza, Rima W. Jabado, John K. Carlson, James R. Ellis</w:t>
      </w:r>
    </w:p>
    <w:p w14:paraId="116177B8" w14:textId="77777777" w:rsidR="00B67B59" w:rsidRPr="00074250" w:rsidRDefault="00B67B59" w:rsidP="00A32203">
      <w:pPr>
        <w:ind w:right="252"/>
        <w:rPr>
          <w:rFonts w:cs="Arial"/>
          <w:b/>
          <w:bCs/>
          <w:sz w:val="22"/>
          <w:szCs w:val="22"/>
          <w:lang w:val="es-ES"/>
        </w:rPr>
      </w:pPr>
    </w:p>
    <w:p w14:paraId="633A7913" w14:textId="77777777" w:rsidR="00B67B59" w:rsidRPr="00074250" w:rsidRDefault="00B67B59" w:rsidP="00A32203">
      <w:pPr>
        <w:ind w:right="252"/>
        <w:rPr>
          <w:rFonts w:cs="Arial"/>
          <w:sz w:val="22"/>
          <w:szCs w:val="22"/>
          <w:lang w:val="es-ES"/>
        </w:rPr>
      </w:pPr>
      <w:r w:rsidRPr="00074250">
        <w:rPr>
          <w:rFonts w:cs="Arial"/>
          <w:b/>
          <w:bCs/>
          <w:sz w:val="22"/>
          <w:szCs w:val="22"/>
          <w:lang w:val="es-ES"/>
        </w:rPr>
        <w:t>Información Complementaria</w:t>
      </w:r>
      <w:r w:rsidRPr="00074250">
        <w:rPr>
          <w:rFonts w:cs="Arial"/>
          <w:sz w:val="22"/>
          <w:szCs w:val="22"/>
          <w:lang w:val="es-ES"/>
        </w:rPr>
        <w:t xml:space="preserve">: </w:t>
      </w:r>
      <w:hyperlink r:id="rId21" w:history="1">
        <w:r w:rsidRPr="00074250">
          <w:rPr>
            <w:rStyle w:val="Hyperlink"/>
            <w:rFonts w:cs="Arial"/>
            <w:sz w:val="22"/>
            <w:szCs w:val="22"/>
            <w:lang w:val="es-ES"/>
          </w:rPr>
          <w:t>https://github</w:t>
        </w:r>
      </w:hyperlink>
      <w:r w:rsidRPr="00074250">
        <w:rPr>
          <w:rStyle w:val="Hyperlink"/>
          <w:rFonts w:cs="Arial"/>
          <w:sz w:val="22"/>
          <w:szCs w:val="22"/>
          <w:lang w:val="es-ES"/>
        </w:rPr>
        <w:t>.com/mpozo-montoro/MOS4-ONU10.6</w:t>
      </w:r>
    </w:p>
    <w:p w14:paraId="5543C6B0" w14:textId="77777777" w:rsidR="00B67B59" w:rsidRPr="00074250" w:rsidRDefault="00B67B59" w:rsidP="00A32203">
      <w:pPr>
        <w:pStyle w:val="Body"/>
        <w:spacing w:after="0" w:line="240" w:lineRule="auto"/>
        <w:jc w:val="both"/>
        <w:rPr>
          <w:rFonts w:ascii="Arial" w:hAnsi="Arial" w:cs="Arial"/>
          <w:b/>
          <w:bCs/>
          <w:sz w:val="22"/>
          <w:szCs w:val="22"/>
          <w:lang w:val="es-ES"/>
        </w:rPr>
      </w:pPr>
    </w:p>
    <w:p w14:paraId="242A2049" w14:textId="130C159F" w:rsidR="00B67B59" w:rsidRPr="00074250" w:rsidRDefault="00B67B59" w:rsidP="002C7D6A">
      <w:pPr>
        <w:pStyle w:val="Heading2"/>
        <w:numPr>
          <w:ilvl w:val="0"/>
          <w:numId w:val="15"/>
        </w:numPr>
        <w:ind w:left="480" w:hanging="480"/>
        <w:rPr>
          <w:sz w:val="22"/>
          <w:szCs w:val="22"/>
          <w:u w:val="single"/>
          <w:lang w:val="es-ES"/>
        </w:rPr>
      </w:pPr>
      <w:bookmarkStart w:id="1" w:name="_Hlk122367583"/>
      <w:r w:rsidRPr="00074250">
        <w:rPr>
          <w:sz w:val="22"/>
          <w:szCs w:val="22"/>
          <w:u w:val="single"/>
          <w:lang w:val="es-ES"/>
        </w:rPr>
        <w:t>Resumen ejecutivo de los resultados y recomendaciones principales</w:t>
      </w:r>
    </w:p>
    <w:p w14:paraId="51A62278" w14:textId="77777777" w:rsidR="00A32203" w:rsidRPr="00074250" w:rsidRDefault="00A32203" w:rsidP="00A32203">
      <w:pPr>
        <w:rPr>
          <w:lang w:val="es-ES"/>
        </w:rPr>
      </w:pPr>
    </w:p>
    <w:p w14:paraId="7F255BE5" w14:textId="6D8527CA" w:rsidR="00B67B59" w:rsidRPr="00074250" w:rsidRDefault="00B67B59" w:rsidP="00A32203">
      <w:pPr>
        <w:widowControl/>
        <w:pBdr>
          <w:top w:val="nil"/>
          <w:left w:val="nil"/>
          <w:bottom w:val="nil"/>
          <w:right w:val="nil"/>
          <w:between w:val="nil"/>
          <w:bar w:val="nil"/>
        </w:pBdr>
        <w:autoSpaceDE/>
        <w:autoSpaceDN/>
        <w:adjustRightInd/>
        <w:jc w:val="both"/>
        <w:rPr>
          <w:rFonts w:cs="Arial"/>
          <w:sz w:val="22"/>
          <w:szCs w:val="22"/>
          <w:lang w:val="es-ES"/>
        </w:rPr>
      </w:pPr>
      <w:r w:rsidRPr="00074250">
        <w:rPr>
          <w:rFonts w:cs="Arial"/>
          <w:sz w:val="22"/>
          <w:szCs w:val="22"/>
          <w:lang w:val="es-ES"/>
        </w:rPr>
        <w:t>Las principales informaciones de los análisis y las recomendaciones respectivas son:</w:t>
      </w:r>
    </w:p>
    <w:p w14:paraId="28545430" w14:textId="77777777" w:rsidR="00A32203" w:rsidRPr="00074250" w:rsidRDefault="00A32203" w:rsidP="00A32203">
      <w:pPr>
        <w:widowControl/>
        <w:pBdr>
          <w:top w:val="nil"/>
          <w:left w:val="nil"/>
          <w:bottom w:val="nil"/>
          <w:right w:val="nil"/>
          <w:between w:val="nil"/>
          <w:bar w:val="nil"/>
        </w:pBdr>
        <w:autoSpaceDE/>
        <w:autoSpaceDN/>
        <w:adjustRightInd/>
        <w:jc w:val="both"/>
        <w:rPr>
          <w:rFonts w:cs="Arial"/>
          <w:sz w:val="22"/>
          <w:szCs w:val="22"/>
          <w:lang w:val="es-ES"/>
        </w:rPr>
      </w:pPr>
    </w:p>
    <w:p w14:paraId="5743560D" w14:textId="462E8D2E" w:rsidR="00B67B59" w:rsidRPr="00074250" w:rsidRDefault="00B67B59" w:rsidP="002C7D6A">
      <w:pPr>
        <w:pStyle w:val="ListParagraph"/>
        <w:widowControl/>
        <w:numPr>
          <w:ilvl w:val="1"/>
          <w:numId w:val="12"/>
        </w:numPr>
        <w:pBdr>
          <w:top w:val="nil"/>
          <w:left w:val="nil"/>
          <w:bottom w:val="nil"/>
          <w:right w:val="nil"/>
          <w:between w:val="nil"/>
          <w:bar w:val="nil"/>
        </w:pBdr>
        <w:autoSpaceDE/>
        <w:autoSpaceDN/>
        <w:adjustRightInd/>
        <w:ind w:left="567" w:hanging="567"/>
        <w:contextualSpacing w:val="0"/>
        <w:jc w:val="both"/>
        <w:rPr>
          <w:rFonts w:cs="Arial"/>
          <w:sz w:val="22"/>
          <w:szCs w:val="22"/>
          <w:lang w:val="es-ES"/>
        </w:rPr>
      </w:pPr>
      <w:r w:rsidRPr="00074250">
        <w:rPr>
          <w:rFonts w:cs="Arial"/>
          <w:b/>
          <w:bCs/>
          <w:sz w:val="22"/>
          <w:szCs w:val="22"/>
          <w:lang w:val="es-ES"/>
        </w:rPr>
        <w:t>las especies enumeradas en el Apéndice I de la CMS son todavía notificadas en las estadísticas de la FAO por diversas Partes de la CMS.</w:t>
      </w:r>
      <w:r w:rsidRPr="00074250">
        <w:rPr>
          <w:rFonts w:cs="Arial"/>
          <w:sz w:val="22"/>
          <w:szCs w:val="22"/>
          <w:lang w:val="es-ES"/>
        </w:rPr>
        <w:t xml:space="preserve"> Deben realizarse más esfuerzos para obligar al cumplimiento de la prohibición necesaria relativa a la captura</w:t>
      </w:r>
      <w:r w:rsidRPr="00074250">
        <w:rPr>
          <w:rStyle w:val="FootnoteReference"/>
          <w:rFonts w:cs="Arial"/>
          <w:sz w:val="22"/>
          <w:szCs w:val="22"/>
          <w:lang w:val="es-ES"/>
        </w:rPr>
        <w:footnoteReference w:id="3"/>
      </w:r>
      <w:r w:rsidRPr="00074250">
        <w:rPr>
          <w:rFonts w:cs="Arial"/>
          <w:sz w:val="22"/>
          <w:szCs w:val="22"/>
          <w:lang w:val="es-ES"/>
        </w:rPr>
        <w:t xml:space="preserve"> de tales especies (donde pueden incluirse la pesca de ellas, retención, transbordo, desembarco o venta) y fomentar la liberación segura con vida de las especies enumeradas en el Apéndice I cuando se capturan de forma accidental. Véase la </w:t>
      </w:r>
      <w:hyperlink w:anchor="Section3" w:history="1">
        <w:r w:rsidRPr="00074250">
          <w:rPr>
            <w:rStyle w:val="Hyperlink"/>
            <w:rFonts w:cs="Arial"/>
            <w:sz w:val="22"/>
            <w:szCs w:val="22"/>
            <w:lang w:val="es-ES"/>
          </w:rPr>
          <w:t>sección 3</w:t>
        </w:r>
      </w:hyperlink>
      <w:r w:rsidRPr="00074250">
        <w:rPr>
          <w:rFonts w:cs="Arial"/>
          <w:sz w:val="22"/>
          <w:szCs w:val="22"/>
          <w:lang w:val="es-ES"/>
        </w:rPr>
        <w:t xml:space="preserve"> para más información y </w:t>
      </w:r>
      <w:hyperlink w:anchor="Section3c" w:history="1">
        <w:r w:rsidRPr="00074250">
          <w:rPr>
            <w:rStyle w:val="Hyperlink"/>
            <w:rFonts w:cs="Arial"/>
            <w:sz w:val="22"/>
            <w:szCs w:val="22"/>
            <w:lang w:val="es-ES"/>
          </w:rPr>
          <w:t>recomendaciones</w:t>
        </w:r>
      </w:hyperlink>
      <w:r w:rsidRPr="00074250">
        <w:rPr>
          <w:rFonts w:cs="Arial"/>
          <w:sz w:val="22"/>
          <w:szCs w:val="22"/>
          <w:lang w:val="es-ES"/>
        </w:rPr>
        <w:t xml:space="preserve"> concretas.</w:t>
      </w:r>
    </w:p>
    <w:p w14:paraId="02EAEC17" w14:textId="77777777" w:rsidR="00A32203" w:rsidRPr="00074250" w:rsidRDefault="00A32203" w:rsidP="00A32203">
      <w:pPr>
        <w:pStyle w:val="ListParagraph"/>
        <w:widowControl/>
        <w:pBdr>
          <w:top w:val="nil"/>
          <w:left w:val="nil"/>
          <w:bottom w:val="nil"/>
          <w:right w:val="nil"/>
          <w:between w:val="nil"/>
          <w:bar w:val="nil"/>
        </w:pBdr>
        <w:autoSpaceDE/>
        <w:autoSpaceDN/>
        <w:adjustRightInd/>
        <w:ind w:left="567"/>
        <w:contextualSpacing w:val="0"/>
        <w:jc w:val="both"/>
        <w:rPr>
          <w:rFonts w:cs="Arial"/>
          <w:sz w:val="22"/>
          <w:szCs w:val="22"/>
          <w:lang w:val="es-ES"/>
        </w:rPr>
      </w:pPr>
    </w:p>
    <w:p w14:paraId="4D492649" w14:textId="571D60EB" w:rsidR="00B67B59" w:rsidRPr="00074250" w:rsidRDefault="00B67B59" w:rsidP="002C7D6A">
      <w:pPr>
        <w:pStyle w:val="ListParagraph"/>
        <w:widowControl/>
        <w:numPr>
          <w:ilvl w:val="1"/>
          <w:numId w:val="12"/>
        </w:numPr>
        <w:pBdr>
          <w:top w:val="nil"/>
          <w:left w:val="nil"/>
          <w:bottom w:val="nil"/>
          <w:right w:val="nil"/>
          <w:between w:val="nil"/>
          <w:bar w:val="nil"/>
        </w:pBdr>
        <w:autoSpaceDE/>
        <w:autoSpaceDN/>
        <w:adjustRightInd/>
        <w:ind w:left="567" w:hanging="567"/>
        <w:contextualSpacing w:val="0"/>
        <w:jc w:val="both"/>
        <w:rPr>
          <w:rFonts w:cs="Arial"/>
          <w:sz w:val="22"/>
          <w:szCs w:val="22"/>
          <w:lang w:val="es-ES"/>
        </w:rPr>
      </w:pPr>
      <w:r w:rsidRPr="00074250">
        <w:rPr>
          <w:rFonts w:cs="Arial"/>
          <w:b/>
          <w:bCs/>
          <w:sz w:val="22"/>
          <w:szCs w:val="22"/>
          <w:lang w:val="es-ES"/>
        </w:rPr>
        <w:t xml:space="preserve">Los Signatarios desembarcan grandes cantidades de especies enumeradas en el Anexo 1 del </w:t>
      </w:r>
      <w:proofErr w:type="spellStart"/>
      <w:r w:rsidRPr="00074250">
        <w:rPr>
          <w:rFonts w:cs="Arial"/>
          <w:b/>
          <w:bCs/>
          <w:sz w:val="22"/>
          <w:szCs w:val="22"/>
          <w:lang w:val="es-ES"/>
        </w:rPr>
        <w:t>MdE</w:t>
      </w:r>
      <w:proofErr w:type="spellEnd"/>
      <w:r w:rsidRPr="00074250">
        <w:rPr>
          <w:rFonts w:cs="Arial"/>
          <w:b/>
          <w:bCs/>
          <w:sz w:val="22"/>
          <w:szCs w:val="22"/>
          <w:lang w:val="es-ES"/>
        </w:rPr>
        <w:t xml:space="preserve"> sobre Tiburones y poseen flotas de pesca de larga distancia trabajando más allá de las principales zonas de pesca de la FAO que corresponden a sus aguas nacionales. </w:t>
      </w:r>
      <w:r w:rsidRPr="00074250">
        <w:rPr>
          <w:rFonts w:cs="Arial"/>
          <w:sz w:val="22"/>
          <w:szCs w:val="22"/>
          <w:lang w:val="es-ES"/>
        </w:rPr>
        <w:t xml:space="preserve">Se insta a que las medidas de investigación y conservación dirigidas a prioridades regionales e identificadas por el CA sean compartidas y coordinadas no solo por aquellos Signatarios que se hallen dentro de la región, sino también por aquellos Signatarios </w:t>
      </w:r>
      <w:proofErr w:type="spellStart"/>
      <w:r w:rsidRPr="00074250">
        <w:rPr>
          <w:rFonts w:cs="Arial"/>
          <w:sz w:val="22"/>
          <w:szCs w:val="22"/>
          <w:lang w:val="es-ES"/>
        </w:rPr>
        <w:t>on</w:t>
      </w:r>
      <w:proofErr w:type="spellEnd"/>
      <w:r w:rsidRPr="00074250">
        <w:rPr>
          <w:rFonts w:cs="Arial"/>
          <w:sz w:val="22"/>
          <w:szCs w:val="22"/>
          <w:lang w:val="es-ES"/>
        </w:rPr>
        <w:t xml:space="preserve"> flotas de larga distancia que trabajen en aguas internacionales y en aguas de otros Estados del Área de Distribución. Véase la </w:t>
      </w:r>
      <w:hyperlink w:anchor="Section4" w:history="1">
        <w:r w:rsidRPr="00074250">
          <w:rPr>
            <w:rStyle w:val="Hyperlink"/>
            <w:rFonts w:cs="Arial"/>
            <w:sz w:val="22"/>
            <w:szCs w:val="22"/>
            <w:lang w:val="es-ES"/>
          </w:rPr>
          <w:t>sección 4</w:t>
        </w:r>
      </w:hyperlink>
      <w:r w:rsidR="00A4291B" w:rsidRPr="00074250">
        <w:rPr>
          <w:rStyle w:val="Hyperlink"/>
          <w:rFonts w:cs="Arial"/>
          <w:sz w:val="22"/>
          <w:szCs w:val="22"/>
          <w:lang w:val="es-ES"/>
        </w:rPr>
        <w:t xml:space="preserve"> </w:t>
      </w:r>
      <w:r w:rsidRPr="00074250">
        <w:rPr>
          <w:rFonts w:cs="Arial"/>
          <w:sz w:val="22"/>
          <w:szCs w:val="22"/>
          <w:lang w:val="es-ES"/>
        </w:rPr>
        <w:t xml:space="preserve">para más </w:t>
      </w:r>
      <w:hyperlink w:anchor="Section4c" w:history="1">
        <w:r w:rsidRPr="00074250">
          <w:rPr>
            <w:rStyle w:val="Hyperlink"/>
            <w:rFonts w:cs="Arial"/>
            <w:sz w:val="22"/>
            <w:szCs w:val="22"/>
            <w:lang w:val="es-ES"/>
          </w:rPr>
          <w:t>información</w:t>
        </w:r>
      </w:hyperlink>
      <w:r w:rsidR="00A4291B" w:rsidRPr="00074250">
        <w:rPr>
          <w:rStyle w:val="Hyperlink"/>
          <w:rFonts w:cs="Arial"/>
          <w:sz w:val="22"/>
          <w:szCs w:val="22"/>
          <w:lang w:val="es-ES"/>
        </w:rPr>
        <w:t xml:space="preserve"> </w:t>
      </w:r>
      <w:r w:rsidRPr="00074250">
        <w:rPr>
          <w:rFonts w:cs="Arial"/>
          <w:sz w:val="22"/>
          <w:szCs w:val="22"/>
          <w:lang w:val="es-ES"/>
        </w:rPr>
        <w:t>y recomendaciones concretas.</w:t>
      </w:r>
    </w:p>
    <w:p w14:paraId="2431BA50" w14:textId="77777777" w:rsidR="00A32203" w:rsidRPr="00074250" w:rsidRDefault="00A32203" w:rsidP="00A32203">
      <w:pPr>
        <w:widowControl/>
        <w:pBdr>
          <w:top w:val="nil"/>
          <w:left w:val="nil"/>
          <w:bottom w:val="nil"/>
          <w:right w:val="nil"/>
          <w:between w:val="nil"/>
          <w:bar w:val="nil"/>
        </w:pBdr>
        <w:autoSpaceDE/>
        <w:autoSpaceDN/>
        <w:adjustRightInd/>
        <w:jc w:val="both"/>
        <w:rPr>
          <w:rFonts w:cs="Arial"/>
          <w:sz w:val="22"/>
          <w:szCs w:val="22"/>
          <w:lang w:val="es-ES"/>
        </w:rPr>
      </w:pPr>
    </w:p>
    <w:p w14:paraId="0A4E9823" w14:textId="2607E2AF" w:rsidR="00B67B59" w:rsidRPr="00074250" w:rsidRDefault="00B67B59" w:rsidP="002C7D6A">
      <w:pPr>
        <w:pStyle w:val="ListParagraph"/>
        <w:widowControl/>
        <w:numPr>
          <w:ilvl w:val="1"/>
          <w:numId w:val="12"/>
        </w:numPr>
        <w:pBdr>
          <w:top w:val="nil"/>
          <w:left w:val="nil"/>
          <w:bottom w:val="nil"/>
          <w:right w:val="nil"/>
          <w:between w:val="nil"/>
          <w:bar w:val="nil"/>
        </w:pBdr>
        <w:autoSpaceDE/>
        <w:autoSpaceDN/>
        <w:adjustRightInd/>
        <w:ind w:left="567" w:hanging="567"/>
        <w:contextualSpacing w:val="0"/>
        <w:jc w:val="both"/>
        <w:rPr>
          <w:rFonts w:cs="Arial"/>
          <w:sz w:val="22"/>
          <w:szCs w:val="22"/>
          <w:lang w:val="es-ES"/>
        </w:rPr>
      </w:pPr>
      <w:r w:rsidRPr="00074250">
        <w:rPr>
          <w:rFonts w:cs="Arial"/>
          <w:b/>
          <w:bCs/>
          <w:sz w:val="22"/>
          <w:szCs w:val="22"/>
          <w:lang w:val="es-ES"/>
        </w:rPr>
        <w:t xml:space="preserve">La magnitud de las especies enumeradas en el Apéndice I de la CMS y el grado de desembarcos genéricos y conjuntos fueron inferiores para los Signatarios en comparación con los Estados del Área de Distribución que no son signatarios. Al mismo tiempo, los desembarcos notificados acerca de las especies enumeradas en el Anexo 1 del </w:t>
      </w:r>
      <w:proofErr w:type="spellStart"/>
      <w:r w:rsidRPr="00074250">
        <w:rPr>
          <w:rFonts w:cs="Arial"/>
          <w:b/>
          <w:bCs/>
          <w:sz w:val="22"/>
          <w:szCs w:val="22"/>
          <w:lang w:val="es-ES"/>
        </w:rPr>
        <w:t>MdE</w:t>
      </w:r>
      <w:proofErr w:type="spellEnd"/>
      <w:r w:rsidRPr="00074250">
        <w:rPr>
          <w:rFonts w:cs="Arial"/>
          <w:b/>
          <w:bCs/>
          <w:sz w:val="22"/>
          <w:szCs w:val="22"/>
          <w:lang w:val="es-ES"/>
        </w:rPr>
        <w:t xml:space="preserve"> sobre Tiburones fueron ligeramente superiores en el caso de los Signatarios. </w:t>
      </w:r>
      <w:r w:rsidRPr="00074250">
        <w:rPr>
          <w:rFonts w:cs="Arial"/>
          <w:sz w:val="22"/>
          <w:szCs w:val="22"/>
          <w:lang w:val="es-ES"/>
        </w:rPr>
        <w:t xml:space="preserve">Los Signatarios deberían seguir instando a los Estados del Área de Distribución no signatarios a que firmaran el </w:t>
      </w:r>
      <w:proofErr w:type="spellStart"/>
      <w:r w:rsidRPr="00074250">
        <w:rPr>
          <w:rFonts w:cs="Arial"/>
          <w:sz w:val="22"/>
          <w:szCs w:val="22"/>
          <w:lang w:val="es-ES"/>
        </w:rPr>
        <w:t>MdE</w:t>
      </w:r>
      <w:proofErr w:type="spellEnd"/>
      <w:r w:rsidRPr="00074250">
        <w:rPr>
          <w:rFonts w:cs="Arial"/>
          <w:sz w:val="22"/>
          <w:szCs w:val="22"/>
          <w:lang w:val="es-ES"/>
        </w:rPr>
        <w:t xml:space="preserve"> sobre Tiburones destinándolo a una mejor coordinación de los esfuerzos de conservación y gestión en el caso de las especies enumeradas. También se insta a los Signatarios a continuar trabajando y colaborando con los Estados del Área de Distribución, por ejemplo, mediante acuerdos bilaterales, acciones concertadas y Órganos Regionales de Pesca (ORP) relevantes, sabiendo que comparten la mitad de las embarcaciones notificadas. Véase secciones 3 a 5 para más información.</w:t>
      </w:r>
    </w:p>
    <w:p w14:paraId="17902972" w14:textId="77777777" w:rsidR="00A32203" w:rsidRPr="00074250" w:rsidRDefault="00A32203" w:rsidP="00A32203">
      <w:pPr>
        <w:widowControl/>
        <w:pBdr>
          <w:top w:val="nil"/>
          <w:left w:val="nil"/>
          <w:bottom w:val="nil"/>
          <w:right w:val="nil"/>
          <w:between w:val="nil"/>
          <w:bar w:val="nil"/>
        </w:pBdr>
        <w:autoSpaceDE/>
        <w:autoSpaceDN/>
        <w:adjustRightInd/>
        <w:jc w:val="both"/>
        <w:rPr>
          <w:rFonts w:cs="Arial"/>
          <w:sz w:val="22"/>
          <w:szCs w:val="22"/>
          <w:lang w:val="es-ES"/>
        </w:rPr>
      </w:pPr>
    </w:p>
    <w:p w14:paraId="042F337C" w14:textId="111A177E" w:rsidR="00B67B59" w:rsidRPr="00074250" w:rsidRDefault="00B67B59" w:rsidP="002C7D6A">
      <w:pPr>
        <w:pStyle w:val="ListParagraph"/>
        <w:widowControl/>
        <w:numPr>
          <w:ilvl w:val="1"/>
          <w:numId w:val="12"/>
        </w:numPr>
        <w:pBdr>
          <w:top w:val="nil"/>
          <w:left w:val="nil"/>
          <w:bottom w:val="nil"/>
          <w:right w:val="nil"/>
          <w:between w:val="nil"/>
          <w:bar w:val="nil"/>
        </w:pBdr>
        <w:autoSpaceDE/>
        <w:autoSpaceDN/>
        <w:adjustRightInd/>
        <w:ind w:left="567" w:hanging="567"/>
        <w:contextualSpacing w:val="0"/>
        <w:jc w:val="both"/>
        <w:rPr>
          <w:rFonts w:cs="Arial"/>
          <w:sz w:val="22"/>
          <w:szCs w:val="22"/>
          <w:lang w:val="es-ES"/>
        </w:rPr>
      </w:pPr>
      <w:r w:rsidRPr="00074250">
        <w:rPr>
          <w:rFonts w:cs="Arial"/>
          <w:b/>
          <w:bCs/>
          <w:sz w:val="22"/>
          <w:szCs w:val="22"/>
          <w:lang w:val="es-ES"/>
        </w:rPr>
        <w:t xml:space="preserve">Los resultados y recomendaciones relacionados con la notificación de las especies enumeradas en la FAO. </w:t>
      </w:r>
      <w:r w:rsidRPr="00074250">
        <w:rPr>
          <w:rFonts w:cs="Arial"/>
          <w:sz w:val="22"/>
          <w:szCs w:val="22"/>
          <w:lang w:val="es-ES"/>
        </w:rPr>
        <w:t xml:space="preserve">Para que los datos de la FAO se usen eficazmente en la supervisión de las tendencias globales de los desembarcos notificados de especies enumeradas, </w:t>
      </w:r>
      <w:bookmarkStart w:id="2" w:name="_Hlk119396122"/>
      <w:r w:rsidRPr="00074250">
        <w:rPr>
          <w:rFonts w:cs="Arial"/>
          <w:sz w:val="22"/>
          <w:szCs w:val="22"/>
          <w:lang w:val="es-ES"/>
        </w:rPr>
        <w:t>se necesita mejorar la calidad de los datos en relación con (i) la resolución taxonómica, (</w:t>
      </w:r>
      <w:proofErr w:type="spellStart"/>
      <w:r w:rsidRPr="00074250">
        <w:rPr>
          <w:rFonts w:cs="Arial"/>
          <w:sz w:val="22"/>
          <w:szCs w:val="22"/>
          <w:lang w:val="es-ES"/>
        </w:rPr>
        <w:t>ii</w:t>
      </w:r>
      <w:proofErr w:type="spellEnd"/>
      <w:r w:rsidRPr="00074250">
        <w:rPr>
          <w:rFonts w:cs="Arial"/>
          <w:sz w:val="22"/>
          <w:szCs w:val="22"/>
          <w:lang w:val="es-ES"/>
        </w:rPr>
        <w:t>) la integridad de los datos, y (</w:t>
      </w:r>
      <w:proofErr w:type="spellStart"/>
      <w:r w:rsidRPr="00074250">
        <w:rPr>
          <w:rFonts w:cs="Arial"/>
          <w:sz w:val="22"/>
          <w:szCs w:val="22"/>
          <w:lang w:val="es-ES"/>
        </w:rPr>
        <w:t>iii</w:t>
      </w:r>
      <w:proofErr w:type="spellEnd"/>
      <w:r w:rsidRPr="00074250">
        <w:rPr>
          <w:rFonts w:cs="Arial"/>
          <w:sz w:val="22"/>
          <w:szCs w:val="22"/>
          <w:lang w:val="es-ES"/>
        </w:rPr>
        <w:t xml:space="preserve">) el control de calidad. </w:t>
      </w:r>
      <w:bookmarkEnd w:id="2"/>
    </w:p>
    <w:p w14:paraId="3103EC04" w14:textId="6DA1BB6F" w:rsidR="00FA667F" w:rsidRDefault="00FA667F">
      <w:pPr>
        <w:widowControl/>
        <w:autoSpaceDE/>
        <w:autoSpaceDN/>
        <w:adjustRightInd/>
        <w:spacing w:after="160" w:line="259" w:lineRule="auto"/>
        <w:rPr>
          <w:rFonts w:cs="Arial"/>
          <w:sz w:val="22"/>
          <w:szCs w:val="22"/>
          <w:lang w:val="es-ES"/>
        </w:rPr>
      </w:pPr>
      <w:r>
        <w:rPr>
          <w:rFonts w:cs="Arial"/>
          <w:sz w:val="22"/>
          <w:szCs w:val="22"/>
          <w:lang w:val="es-ES"/>
        </w:rPr>
        <w:br w:type="page"/>
      </w:r>
    </w:p>
    <w:p w14:paraId="70A0860F" w14:textId="77777777" w:rsidR="00A32203" w:rsidRPr="00074250" w:rsidRDefault="00A32203" w:rsidP="00A32203">
      <w:pPr>
        <w:widowControl/>
        <w:pBdr>
          <w:top w:val="nil"/>
          <w:left w:val="nil"/>
          <w:bottom w:val="nil"/>
          <w:right w:val="nil"/>
          <w:between w:val="nil"/>
          <w:bar w:val="nil"/>
        </w:pBdr>
        <w:autoSpaceDE/>
        <w:autoSpaceDN/>
        <w:adjustRightInd/>
        <w:jc w:val="both"/>
        <w:rPr>
          <w:rFonts w:cs="Arial"/>
          <w:sz w:val="22"/>
          <w:szCs w:val="22"/>
          <w:lang w:val="es-ES"/>
        </w:rPr>
      </w:pPr>
    </w:p>
    <w:p w14:paraId="21D6DB70" w14:textId="121DFDB8" w:rsidR="00B67B59" w:rsidRPr="00074250" w:rsidRDefault="00B67B59" w:rsidP="002C7D6A">
      <w:pPr>
        <w:pStyle w:val="ListParagraph"/>
        <w:widowControl/>
        <w:numPr>
          <w:ilvl w:val="2"/>
          <w:numId w:val="12"/>
        </w:numPr>
        <w:pBdr>
          <w:top w:val="nil"/>
          <w:left w:val="nil"/>
          <w:bottom w:val="nil"/>
          <w:right w:val="nil"/>
          <w:between w:val="nil"/>
          <w:bar w:val="nil"/>
        </w:pBdr>
        <w:autoSpaceDE/>
        <w:autoSpaceDN/>
        <w:adjustRightInd/>
        <w:ind w:left="1134" w:hanging="567"/>
        <w:contextualSpacing w:val="0"/>
        <w:jc w:val="both"/>
        <w:rPr>
          <w:rFonts w:cs="Arial"/>
          <w:sz w:val="22"/>
          <w:szCs w:val="22"/>
          <w:lang w:val="es-ES"/>
        </w:rPr>
      </w:pPr>
      <w:r w:rsidRPr="00074250">
        <w:rPr>
          <w:rFonts w:cs="Arial"/>
          <w:b/>
          <w:bCs/>
          <w:sz w:val="22"/>
          <w:szCs w:val="22"/>
          <w:u w:val="single"/>
          <w:lang w:val="es-ES"/>
        </w:rPr>
        <w:t>Resolución taxonómica.</w:t>
      </w:r>
      <w:r w:rsidRPr="00074250">
        <w:rPr>
          <w:rFonts w:cs="Arial"/>
          <w:b/>
          <w:bCs/>
          <w:sz w:val="22"/>
          <w:szCs w:val="22"/>
          <w:lang w:val="es-ES"/>
        </w:rPr>
        <w:t xml:space="preserve"> El nivel de incertidumbre de los desembarcos notificados que puedan incluir las especies enumeradas en el Anexo 1 del </w:t>
      </w:r>
      <w:proofErr w:type="spellStart"/>
      <w:r w:rsidRPr="00074250">
        <w:rPr>
          <w:rFonts w:cs="Arial"/>
          <w:b/>
          <w:bCs/>
          <w:sz w:val="22"/>
          <w:szCs w:val="22"/>
          <w:lang w:val="es-ES"/>
        </w:rPr>
        <w:t>MdE</w:t>
      </w:r>
      <w:proofErr w:type="spellEnd"/>
      <w:r w:rsidRPr="00074250">
        <w:rPr>
          <w:rFonts w:cs="Arial"/>
          <w:b/>
          <w:bCs/>
          <w:sz w:val="22"/>
          <w:szCs w:val="22"/>
          <w:lang w:val="es-ES"/>
        </w:rPr>
        <w:t xml:space="preserve"> sobre Tiburones es bastante alto en algunas regiones.</w:t>
      </w:r>
      <w:r w:rsidRPr="00074250">
        <w:rPr>
          <w:rFonts w:cs="Arial"/>
          <w:sz w:val="22"/>
          <w:szCs w:val="22"/>
          <w:lang w:val="es-ES"/>
        </w:rPr>
        <w:t xml:space="preserve"> Se insta a los Signatarios a notificar los desembarcos a nivel de especie (o género, cuando sea más apropiado</w:t>
      </w:r>
      <w:bookmarkStart w:id="3" w:name="_Hlk119396111"/>
      <w:r w:rsidRPr="00074250">
        <w:rPr>
          <w:rFonts w:cs="Arial"/>
          <w:sz w:val="22"/>
          <w:szCs w:val="22"/>
          <w:lang w:val="es-ES"/>
        </w:rPr>
        <w:t xml:space="preserve">). Deberían instarse esfuerzos colaborativos entre </w:t>
      </w:r>
      <w:bookmarkEnd w:id="3"/>
      <w:r w:rsidRPr="00074250">
        <w:rPr>
          <w:rFonts w:cs="Arial"/>
          <w:sz w:val="22"/>
          <w:szCs w:val="22"/>
          <w:lang w:val="es-ES"/>
        </w:rPr>
        <w:t xml:space="preserve">los Signatarios y otros Estados del Área de Distribución relevantes que notifiquen una alta proporción de estadísticas de captura nacionales de tiburones y rayas según categorías de desembarco más genéricas para mejorar la resolución taxonómica de los desembarcos de tiburones. Véase la </w:t>
      </w:r>
      <w:hyperlink w:anchor="Section5" w:history="1">
        <w:r w:rsidRPr="00074250">
          <w:rPr>
            <w:rStyle w:val="Hyperlink"/>
            <w:rFonts w:cs="Arial"/>
            <w:sz w:val="22"/>
            <w:szCs w:val="22"/>
            <w:lang w:val="es-ES"/>
          </w:rPr>
          <w:t>sección 5</w:t>
        </w:r>
      </w:hyperlink>
      <w:r w:rsidRPr="00074250">
        <w:rPr>
          <w:rFonts w:cs="Arial"/>
          <w:sz w:val="22"/>
          <w:szCs w:val="22"/>
          <w:lang w:val="es-ES"/>
        </w:rPr>
        <w:t xml:space="preserve"> para más</w:t>
      </w:r>
      <w:r w:rsidR="00126756" w:rsidRPr="00074250">
        <w:rPr>
          <w:rFonts w:cs="Arial"/>
          <w:sz w:val="22"/>
          <w:szCs w:val="22"/>
          <w:lang w:val="es-ES"/>
        </w:rPr>
        <w:t xml:space="preserve"> </w:t>
      </w:r>
      <w:hyperlink w:anchor="Section5c" w:history="1">
        <w:r w:rsidRPr="00074250">
          <w:rPr>
            <w:rStyle w:val="Hyperlink"/>
            <w:rFonts w:cs="Arial"/>
            <w:sz w:val="22"/>
            <w:szCs w:val="22"/>
            <w:lang w:val="es-ES"/>
          </w:rPr>
          <w:t>información</w:t>
        </w:r>
      </w:hyperlink>
      <w:r w:rsidRPr="00074250">
        <w:rPr>
          <w:rFonts w:cs="Arial"/>
          <w:sz w:val="22"/>
          <w:szCs w:val="22"/>
          <w:lang w:val="es-ES"/>
        </w:rPr>
        <w:t xml:space="preserve"> y recomendaciones concretas. </w:t>
      </w:r>
    </w:p>
    <w:p w14:paraId="1EFDC02B" w14:textId="77777777" w:rsidR="00A32203" w:rsidRPr="00074250" w:rsidRDefault="00A32203" w:rsidP="00A32203">
      <w:pPr>
        <w:widowControl/>
        <w:pBdr>
          <w:top w:val="nil"/>
          <w:left w:val="nil"/>
          <w:bottom w:val="nil"/>
          <w:right w:val="nil"/>
          <w:between w:val="nil"/>
          <w:bar w:val="nil"/>
        </w:pBdr>
        <w:autoSpaceDE/>
        <w:autoSpaceDN/>
        <w:adjustRightInd/>
        <w:ind w:left="567"/>
        <w:jc w:val="both"/>
        <w:rPr>
          <w:rFonts w:cs="Arial"/>
          <w:sz w:val="22"/>
          <w:szCs w:val="22"/>
          <w:lang w:val="es-ES"/>
        </w:rPr>
      </w:pPr>
    </w:p>
    <w:p w14:paraId="4AAD24CA" w14:textId="721532CC" w:rsidR="00B67B59" w:rsidRPr="00074250" w:rsidRDefault="00B67B59" w:rsidP="002C7D6A">
      <w:pPr>
        <w:pStyle w:val="ListParagraph"/>
        <w:widowControl/>
        <w:numPr>
          <w:ilvl w:val="2"/>
          <w:numId w:val="12"/>
        </w:numPr>
        <w:pBdr>
          <w:top w:val="nil"/>
          <w:left w:val="nil"/>
          <w:bottom w:val="nil"/>
          <w:right w:val="nil"/>
          <w:between w:val="nil"/>
          <w:bar w:val="nil"/>
        </w:pBdr>
        <w:autoSpaceDE/>
        <w:autoSpaceDN/>
        <w:adjustRightInd/>
        <w:ind w:left="1134" w:hanging="567"/>
        <w:contextualSpacing w:val="0"/>
        <w:jc w:val="both"/>
        <w:rPr>
          <w:rFonts w:cs="Arial"/>
          <w:sz w:val="22"/>
          <w:szCs w:val="22"/>
          <w:lang w:val="es-ES"/>
        </w:rPr>
      </w:pPr>
      <w:r w:rsidRPr="00074250">
        <w:rPr>
          <w:rFonts w:cs="Arial"/>
          <w:b/>
          <w:bCs/>
          <w:sz w:val="22"/>
          <w:szCs w:val="22"/>
          <w:u w:val="single"/>
          <w:lang w:val="es-ES"/>
        </w:rPr>
        <w:t>Integridad de datos.</w:t>
      </w:r>
      <w:r w:rsidRPr="00074250">
        <w:rPr>
          <w:rFonts w:cs="Arial"/>
          <w:b/>
          <w:bCs/>
          <w:sz w:val="22"/>
          <w:szCs w:val="22"/>
          <w:lang w:val="es-ES"/>
        </w:rPr>
        <w:t xml:space="preserve"> Los datos notificados a la FAO se consideraron incompletos debido a carencias e inconsistencia para diferentes especies y naciones, por lo cual, se necesita una notificación de datos más estandarizada. </w:t>
      </w:r>
      <w:r w:rsidRPr="00074250">
        <w:rPr>
          <w:rFonts w:cs="Arial"/>
          <w:sz w:val="22"/>
          <w:szCs w:val="22"/>
          <w:lang w:val="es-ES"/>
        </w:rPr>
        <w:t xml:space="preserve">Se insta a los Signatarios a comparar los datos de desembarcos nacionales con aquellos datos reunidos por la FAO (y otras bases de datos regionales) y también a revisar y armonizar fuentes para ofrecer datos más precisos en términos temporales y espaciales. Se insta a aquellos Signatarios que actualmente no notifiquen datos a la FAO a que entreguen sus datos. se insta a los Signatarios a notificar a la FAO los desembarcos de todas las especies enumeradas en el Anexo I. Deberán realizarse más esfuerzos para aumentar la notificación de capturas desde pesquerías artesanales, de subsistencia y recreativas. Véase </w:t>
      </w:r>
      <w:hyperlink w:anchor="Section6" w:history="1">
        <w:r w:rsidRPr="00074250">
          <w:rPr>
            <w:rStyle w:val="Hyperlink"/>
            <w:rFonts w:cs="Arial"/>
            <w:sz w:val="22"/>
            <w:szCs w:val="22"/>
            <w:lang w:val="es-ES"/>
          </w:rPr>
          <w:t>la sección 6</w:t>
        </w:r>
      </w:hyperlink>
      <w:r w:rsidRPr="00074250">
        <w:rPr>
          <w:rFonts w:cs="Arial"/>
          <w:sz w:val="22"/>
          <w:szCs w:val="22"/>
          <w:lang w:val="es-ES"/>
        </w:rPr>
        <w:t xml:space="preserve"> para más </w:t>
      </w:r>
      <w:hyperlink w:anchor="Section6c" w:history="1">
        <w:r w:rsidRPr="00074250">
          <w:rPr>
            <w:rStyle w:val="Hyperlink"/>
            <w:rFonts w:cs="Arial"/>
            <w:sz w:val="22"/>
            <w:szCs w:val="22"/>
            <w:lang w:val="es-ES"/>
          </w:rPr>
          <w:t>información y recomendaciones</w:t>
        </w:r>
      </w:hyperlink>
      <w:r w:rsidRPr="00074250">
        <w:rPr>
          <w:rFonts w:cs="Arial"/>
          <w:sz w:val="22"/>
          <w:szCs w:val="22"/>
          <w:lang w:val="es-ES"/>
        </w:rPr>
        <w:t xml:space="preserve"> concretas.</w:t>
      </w:r>
    </w:p>
    <w:p w14:paraId="324AA8D5" w14:textId="77777777" w:rsidR="00A32203" w:rsidRPr="00074250" w:rsidRDefault="00A32203" w:rsidP="00A32203">
      <w:pPr>
        <w:pStyle w:val="ListParagraph"/>
        <w:widowControl/>
        <w:pBdr>
          <w:top w:val="nil"/>
          <w:left w:val="nil"/>
          <w:bottom w:val="nil"/>
          <w:right w:val="nil"/>
          <w:between w:val="nil"/>
          <w:bar w:val="nil"/>
        </w:pBdr>
        <w:autoSpaceDE/>
        <w:autoSpaceDN/>
        <w:adjustRightInd/>
        <w:ind w:left="1134"/>
        <w:contextualSpacing w:val="0"/>
        <w:jc w:val="both"/>
        <w:rPr>
          <w:rFonts w:cs="Arial"/>
          <w:sz w:val="22"/>
          <w:szCs w:val="22"/>
          <w:lang w:val="es-ES"/>
        </w:rPr>
      </w:pPr>
    </w:p>
    <w:p w14:paraId="6F692FB3" w14:textId="753BBC6E" w:rsidR="00B67B59" w:rsidRPr="00074250" w:rsidRDefault="00B67B59" w:rsidP="002C7D6A">
      <w:pPr>
        <w:pStyle w:val="ListParagraph"/>
        <w:widowControl/>
        <w:numPr>
          <w:ilvl w:val="2"/>
          <w:numId w:val="12"/>
        </w:numPr>
        <w:pBdr>
          <w:top w:val="nil"/>
          <w:left w:val="nil"/>
          <w:bottom w:val="nil"/>
          <w:right w:val="nil"/>
          <w:between w:val="nil"/>
          <w:bar w:val="nil"/>
        </w:pBdr>
        <w:autoSpaceDE/>
        <w:autoSpaceDN/>
        <w:adjustRightInd/>
        <w:ind w:left="1134" w:hanging="567"/>
        <w:contextualSpacing w:val="0"/>
        <w:jc w:val="both"/>
        <w:rPr>
          <w:rFonts w:cs="Arial"/>
          <w:sz w:val="22"/>
          <w:szCs w:val="22"/>
          <w:lang w:val="es-ES"/>
        </w:rPr>
      </w:pPr>
      <w:r w:rsidRPr="00074250">
        <w:rPr>
          <w:rFonts w:cs="Arial"/>
          <w:b/>
          <w:bCs/>
          <w:sz w:val="22"/>
          <w:szCs w:val="22"/>
          <w:u w:val="single"/>
          <w:lang w:val="es-ES"/>
        </w:rPr>
        <w:t>Control de calidad:</w:t>
      </w:r>
      <w:r w:rsidRPr="00074250">
        <w:rPr>
          <w:rFonts w:cs="Arial"/>
          <w:b/>
          <w:bCs/>
          <w:sz w:val="22"/>
          <w:szCs w:val="22"/>
          <w:lang w:val="es-ES"/>
        </w:rPr>
        <w:t xml:space="preserve"> también se identificaron errores potenciales de entrada de datos, algo que indica la necesidad de un control de datos de desembarcos antes de cada entrega. </w:t>
      </w:r>
      <w:r w:rsidRPr="00074250">
        <w:rPr>
          <w:rFonts w:cs="Arial"/>
          <w:sz w:val="22"/>
          <w:szCs w:val="22"/>
          <w:lang w:val="es-ES"/>
        </w:rPr>
        <w:t xml:space="preserve">Se insta a los Signatarios a revisar y llevar a cabo un control de calidad más detallado de estos datos de desembarcos nacionales, incluidos aquellos notificados a la FAO (y a otras bases de datos regionales). Deberían reexaminarse las categorías para enviar datos de desembarcos de especies a fin de evitar la permanencia de errores taxonómicos. Véase </w:t>
      </w:r>
      <w:hyperlink w:anchor="Section6" w:history="1">
        <w:r w:rsidRPr="00074250">
          <w:rPr>
            <w:rStyle w:val="Hyperlink"/>
            <w:rFonts w:cs="Arial"/>
            <w:sz w:val="22"/>
            <w:szCs w:val="22"/>
            <w:lang w:val="es-ES"/>
          </w:rPr>
          <w:t>la sección 6</w:t>
        </w:r>
      </w:hyperlink>
      <w:r w:rsidRPr="00074250">
        <w:rPr>
          <w:rFonts w:cs="Arial"/>
          <w:sz w:val="22"/>
          <w:szCs w:val="22"/>
          <w:lang w:val="es-ES"/>
        </w:rPr>
        <w:t xml:space="preserve"> para más </w:t>
      </w:r>
      <w:hyperlink w:anchor="Section6c" w:history="1">
        <w:r w:rsidRPr="00074250">
          <w:rPr>
            <w:rStyle w:val="Hyperlink"/>
            <w:rFonts w:cs="Arial"/>
            <w:sz w:val="22"/>
            <w:szCs w:val="22"/>
            <w:lang w:val="es-ES"/>
          </w:rPr>
          <w:t>información y recomendaciones</w:t>
        </w:r>
      </w:hyperlink>
      <w:r w:rsidRPr="00074250">
        <w:rPr>
          <w:rFonts w:cs="Arial"/>
          <w:sz w:val="22"/>
          <w:szCs w:val="22"/>
          <w:lang w:val="es-ES"/>
        </w:rPr>
        <w:t xml:space="preserve"> concretas.</w:t>
      </w:r>
    </w:p>
    <w:p w14:paraId="0FB8CBFD" w14:textId="77777777" w:rsidR="00A32203" w:rsidRPr="00074250" w:rsidRDefault="00A32203" w:rsidP="00A32203">
      <w:pPr>
        <w:widowControl/>
        <w:pBdr>
          <w:top w:val="nil"/>
          <w:left w:val="nil"/>
          <w:bottom w:val="nil"/>
          <w:right w:val="nil"/>
          <w:between w:val="nil"/>
          <w:bar w:val="nil"/>
        </w:pBdr>
        <w:autoSpaceDE/>
        <w:autoSpaceDN/>
        <w:adjustRightInd/>
        <w:jc w:val="both"/>
        <w:rPr>
          <w:rFonts w:cs="Arial"/>
          <w:sz w:val="22"/>
          <w:szCs w:val="22"/>
          <w:lang w:val="es-ES"/>
        </w:rPr>
      </w:pPr>
    </w:p>
    <w:p w14:paraId="3157C975" w14:textId="77777777" w:rsidR="00B67B59" w:rsidRPr="00074250" w:rsidRDefault="00B67B59" w:rsidP="002C7D6A">
      <w:pPr>
        <w:pStyle w:val="ListParagraph"/>
        <w:widowControl/>
        <w:numPr>
          <w:ilvl w:val="1"/>
          <w:numId w:val="12"/>
        </w:numPr>
        <w:pBdr>
          <w:top w:val="nil"/>
          <w:left w:val="nil"/>
          <w:bottom w:val="nil"/>
          <w:right w:val="nil"/>
          <w:between w:val="nil"/>
          <w:bar w:val="nil"/>
        </w:pBdr>
        <w:autoSpaceDE/>
        <w:autoSpaceDN/>
        <w:adjustRightInd/>
        <w:ind w:left="567" w:hanging="567"/>
        <w:contextualSpacing w:val="0"/>
        <w:jc w:val="both"/>
        <w:rPr>
          <w:rFonts w:cs="Arial"/>
          <w:sz w:val="22"/>
          <w:szCs w:val="22"/>
          <w:lang w:val="es-ES"/>
        </w:rPr>
      </w:pPr>
      <w:r w:rsidRPr="00074250">
        <w:rPr>
          <w:rFonts w:cs="Arial"/>
          <w:b/>
          <w:bCs/>
          <w:sz w:val="22"/>
          <w:szCs w:val="22"/>
          <w:lang w:val="es-ES"/>
        </w:rPr>
        <w:t xml:space="preserve">A pesar de ser una herramienta poderosa, la base de datos de la FAO carece de información relativa a las capturas descartadas, necesitándose complementar con otras fuentes de recopilación de datos. </w:t>
      </w:r>
      <w:r w:rsidRPr="00074250">
        <w:rPr>
          <w:rFonts w:cs="Arial"/>
          <w:sz w:val="22"/>
          <w:szCs w:val="22"/>
          <w:lang w:val="es-ES"/>
        </w:rPr>
        <w:t xml:space="preserve">Todavía existe una necesidad clave para recopilar información a nivel global y regional y </w:t>
      </w:r>
      <w:proofErr w:type="gramStart"/>
      <w:r w:rsidRPr="00074250">
        <w:rPr>
          <w:rFonts w:cs="Arial"/>
          <w:sz w:val="22"/>
          <w:szCs w:val="22"/>
          <w:lang w:val="es-ES"/>
        </w:rPr>
        <w:t>en relación a</w:t>
      </w:r>
      <w:proofErr w:type="gramEnd"/>
      <w:r w:rsidRPr="00074250">
        <w:rPr>
          <w:rFonts w:cs="Arial"/>
          <w:sz w:val="22"/>
          <w:szCs w:val="22"/>
          <w:lang w:val="es-ES"/>
        </w:rPr>
        <w:t xml:space="preserve"> los niveles de capturas descartadas y su destino (proporción de capturas muertas y vivas y nivel de mortalidad posterior a su liberación para cada especie enumerada). También puede consultar </w:t>
      </w:r>
      <w:hyperlink r:id="rId22" w:history="1">
        <w:r w:rsidRPr="00074250">
          <w:rPr>
            <w:rStyle w:val="Hyperlink"/>
            <w:rFonts w:cs="Arial"/>
            <w:sz w:val="22"/>
            <w:szCs w:val="22"/>
            <w:lang w:val="es-ES"/>
          </w:rPr>
          <w:t>CMS/</w:t>
        </w:r>
        <w:proofErr w:type="spellStart"/>
        <w:r w:rsidRPr="00074250">
          <w:rPr>
            <w:rStyle w:val="Hyperlink"/>
            <w:rFonts w:cs="Arial"/>
            <w:sz w:val="22"/>
            <w:szCs w:val="22"/>
            <w:lang w:val="es-ES"/>
          </w:rPr>
          <w:t>Sharks</w:t>
        </w:r>
        <w:proofErr w:type="spellEnd"/>
        <w:r w:rsidRPr="00074250">
          <w:rPr>
            <w:rStyle w:val="Hyperlink"/>
            <w:rFonts w:cs="Arial"/>
            <w:sz w:val="22"/>
            <w:szCs w:val="22"/>
            <w:lang w:val="es-ES"/>
          </w:rPr>
          <w:t>/MOS4/Doc.10.7</w:t>
        </w:r>
      </w:hyperlink>
      <w:r w:rsidRPr="00074250">
        <w:rPr>
          <w:rFonts w:cs="Arial"/>
          <w:sz w:val="22"/>
          <w:szCs w:val="22"/>
          <w:lang w:val="es-ES"/>
        </w:rPr>
        <w:t>.</w:t>
      </w:r>
    </w:p>
    <w:p w14:paraId="0FD868D8" w14:textId="77777777" w:rsidR="00B67B59" w:rsidRPr="00074250" w:rsidRDefault="00B67B59" w:rsidP="00A32203">
      <w:pPr>
        <w:pStyle w:val="ListParagraph"/>
        <w:widowControl/>
        <w:pBdr>
          <w:top w:val="nil"/>
          <w:left w:val="nil"/>
          <w:bottom w:val="nil"/>
          <w:right w:val="nil"/>
          <w:between w:val="nil"/>
          <w:bar w:val="nil"/>
        </w:pBdr>
        <w:autoSpaceDE/>
        <w:autoSpaceDN/>
        <w:adjustRightInd/>
        <w:ind w:left="567"/>
        <w:contextualSpacing w:val="0"/>
        <w:jc w:val="both"/>
        <w:rPr>
          <w:rFonts w:cs="Arial"/>
          <w:sz w:val="22"/>
          <w:szCs w:val="22"/>
          <w:lang w:val="es-ES"/>
        </w:rPr>
      </w:pPr>
    </w:p>
    <w:bookmarkEnd w:id="1"/>
    <w:p w14:paraId="7C3AEA0D" w14:textId="65C2FB48" w:rsidR="00B67B59" w:rsidRPr="00074250" w:rsidRDefault="00B67B59" w:rsidP="002C7D6A">
      <w:pPr>
        <w:pStyle w:val="Style1"/>
        <w:numPr>
          <w:ilvl w:val="0"/>
          <w:numId w:val="12"/>
        </w:numPr>
        <w:spacing w:after="0" w:line="240" w:lineRule="auto"/>
        <w:rPr>
          <w:lang w:val="es-ES"/>
        </w:rPr>
      </w:pPr>
      <w:r w:rsidRPr="00074250">
        <w:rPr>
          <w:lang w:val="es-ES"/>
        </w:rPr>
        <w:t xml:space="preserve">Metodología </w:t>
      </w:r>
    </w:p>
    <w:p w14:paraId="042EEF52" w14:textId="77777777" w:rsidR="00A32203" w:rsidRPr="00074250" w:rsidRDefault="00A32203" w:rsidP="00A32203">
      <w:pPr>
        <w:pStyle w:val="Style1"/>
        <w:spacing w:after="0" w:line="240" w:lineRule="auto"/>
        <w:ind w:firstLine="0"/>
        <w:rPr>
          <w:lang w:val="es-ES"/>
        </w:rPr>
      </w:pPr>
    </w:p>
    <w:p w14:paraId="7B31EEC7" w14:textId="179FE16D" w:rsidR="00B67B59" w:rsidRPr="00074250" w:rsidRDefault="00B67B59" w:rsidP="002C7D6A">
      <w:pPr>
        <w:pStyle w:val="ListParagraph"/>
        <w:widowControl/>
        <w:numPr>
          <w:ilvl w:val="1"/>
          <w:numId w:val="12"/>
        </w:numPr>
        <w:pBdr>
          <w:top w:val="nil"/>
          <w:left w:val="nil"/>
          <w:bottom w:val="nil"/>
          <w:right w:val="nil"/>
          <w:between w:val="nil"/>
          <w:bar w:val="nil"/>
        </w:pBdr>
        <w:autoSpaceDE/>
        <w:autoSpaceDN/>
        <w:adjustRightInd/>
        <w:ind w:left="540" w:hanging="540"/>
        <w:contextualSpacing w:val="0"/>
        <w:jc w:val="both"/>
        <w:rPr>
          <w:rFonts w:cs="Arial"/>
          <w:b/>
          <w:bCs/>
          <w:sz w:val="22"/>
          <w:szCs w:val="22"/>
          <w:u w:val="single"/>
          <w:lang w:val="es-ES"/>
        </w:rPr>
      </w:pPr>
      <w:r w:rsidRPr="00074250">
        <w:rPr>
          <w:rFonts w:cs="Arial"/>
          <w:b/>
          <w:bCs/>
          <w:sz w:val="22"/>
          <w:szCs w:val="22"/>
          <w:lang w:val="es-ES"/>
        </w:rPr>
        <w:t>Obtención de los datos</w:t>
      </w:r>
    </w:p>
    <w:p w14:paraId="6B97D4C2" w14:textId="77777777" w:rsidR="00A32203" w:rsidRPr="00074250" w:rsidRDefault="00A32203" w:rsidP="00A32203">
      <w:pPr>
        <w:pStyle w:val="ListParagraph"/>
        <w:widowControl/>
        <w:pBdr>
          <w:top w:val="nil"/>
          <w:left w:val="nil"/>
          <w:bottom w:val="nil"/>
          <w:right w:val="nil"/>
          <w:between w:val="nil"/>
          <w:bar w:val="nil"/>
        </w:pBdr>
        <w:autoSpaceDE/>
        <w:autoSpaceDN/>
        <w:adjustRightInd/>
        <w:ind w:left="360"/>
        <w:contextualSpacing w:val="0"/>
        <w:jc w:val="both"/>
        <w:rPr>
          <w:rFonts w:cs="Arial"/>
          <w:b/>
          <w:bCs/>
          <w:sz w:val="22"/>
          <w:szCs w:val="22"/>
          <w:u w:val="single"/>
          <w:lang w:val="es-ES"/>
        </w:rPr>
      </w:pPr>
    </w:p>
    <w:p w14:paraId="45A24473" w14:textId="3AC9FF3A" w:rsidR="00B67B59" w:rsidRPr="00074250" w:rsidRDefault="00B67B59" w:rsidP="00A32203">
      <w:pPr>
        <w:pStyle w:val="Body"/>
        <w:spacing w:after="0" w:line="240" w:lineRule="auto"/>
        <w:jc w:val="both"/>
        <w:rPr>
          <w:rFonts w:ascii="Arial" w:hAnsi="Arial" w:cs="Arial"/>
          <w:sz w:val="22"/>
          <w:szCs w:val="22"/>
          <w:lang w:val="es-ES"/>
        </w:rPr>
      </w:pPr>
      <w:r w:rsidRPr="00074250">
        <w:rPr>
          <w:rFonts w:ascii="Arial" w:hAnsi="Arial" w:cs="Arial"/>
          <w:sz w:val="22"/>
          <w:szCs w:val="22"/>
          <w:lang w:val="es-ES"/>
        </w:rPr>
        <w:t>Los datos se obtuvieron del conjunto de datos de la producción de capturas globales de la FAO liberadas en marzo de 2021 para cada una de las 19 zonas marinas y principales de pesca de la FAO (en adelante las Zonas FAO) durante los últimos cinco años con constancia (2015</w:t>
      </w:r>
      <w:r w:rsidRPr="00074250">
        <w:rPr>
          <w:rFonts w:ascii="Arial" w:hAnsi="Arial" w:cs="Arial"/>
          <w:sz w:val="22"/>
          <w:szCs w:val="22"/>
          <w:lang w:val="es-ES"/>
        </w:rPr>
        <w:softHyphen/>
        <w:t xml:space="preserve">–2019). Sabiendo su limitado alcance y aquellos desembarcos de tiburones y rayas en las tres zonas antárticas (Zonas FAO 48, 58 y 88), estas se combinaron en una sola zona para el océano Austral. </w:t>
      </w:r>
    </w:p>
    <w:p w14:paraId="72512B82" w14:textId="77777777" w:rsidR="00A32203" w:rsidRPr="00074250" w:rsidRDefault="00A32203" w:rsidP="00A32203">
      <w:pPr>
        <w:pStyle w:val="Body"/>
        <w:spacing w:after="0" w:line="240" w:lineRule="auto"/>
        <w:jc w:val="both"/>
        <w:rPr>
          <w:rFonts w:ascii="Arial" w:hAnsi="Arial" w:cs="Arial"/>
          <w:sz w:val="22"/>
          <w:szCs w:val="22"/>
          <w:lang w:val="es-ES"/>
        </w:rPr>
      </w:pPr>
    </w:p>
    <w:p w14:paraId="53E08792" w14:textId="3B7F45DA" w:rsidR="00B67B59" w:rsidRPr="00074250" w:rsidRDefault="00B67B59" w:rsidP="00A32203">
      <w:pPr>
        <w:ind w:right="26"/>
        <w:jc w:val="both"/>
        <w:rPr>
          <w:rFonts w:cs="Arial"/>
          <w:sz w:val="22"/>
          <w:szCs w:val="22"/>
          <w:lang w:val="es-ES"/>
        </w:rPr>
      </w:pPr>
      <w:r w:rsidRPr="00074250">
        <w:rPr>
          <w:rFonts w:cs="Arial"/>
          <w:sz w:val="22"/>
          <w:szCs w:val="22"/>
          <w:lang w:val="es-ES"/>
        </w:rPr>
        <w:t xml:space="preserve">Se obtuvieron datos para el grupo 38 de CEIUAPA "Tiburones, rayas y quimeras". Las categorías referidas a especies </w:t>
      </w:r>
      <w:proofErr w:type="spellStart"/>
      <w:r w:rsidRPr="00074250">
        <w:rPr>
          <w:rFonts w:cs="Arial"/>
          <w:sz w:val="22"/>
          <w:szCs w:val="22"/>
          <w:lang w:val="es-ES"/>
        </w:rPr>
        <w:t>chimaeriformes</w:t>
      </w:r>
      <w:proofErr w:type="spellEnd"/>
      <w:r w:rsidRPr="00074250">
        <w:rPr>
          <w:rFonts w:cs="Arial"/>
          <w:sz w:val="22"/>
          <w:szCs w:val="22"/>
          <w:lang w:val="es-ES"/>
        </w:rPr>
        <w:t xml:space="preserve"> fueron eliminadas del conjunto de datos (es decir, doce categorías relacionadas con quimeras, como: "Quimeras, etc. </w:t>
      </w:r>
      <w:proofErr w:type="spellStart"/>
      <w:r w:rsidRPr="00074250">
        <w:rPr>
          <w:rFonts w:cs="Arial"/>
          <w:sz w:val="22"/>
          <w:szCs w:val="22"/>
          <w:lang w:val="es-ES"/>
        </w:rPr>
        <w:t>nep</w:t>
      </w:r>
      <w:proofErr w:type="spellEnd"/>
      <w:r w:rsidRPr="00074250">
        <w:rPr>
          <w:rFonts w:cs="Arial"/>
          <w:sz w:val="22"/>
          <w:szCs w:val="22"/>
          <w:lang w:val="es-ES"/>
        </w:rPr>
        <w:t xml:space="preserve">" - </w:t>
      </w:r>
      <w:proofErr w:type="spellStart"/>
      <w:r w:rsidRPr="00074250">
        <w:rPr>
          <w:rFonts w:cs="Arial"/>
          <w:sz w:val="22"/>
          <w:szCs w:val="22"/>
          <w:lang w:val="es-ES"/>
        </w:rPr>
        <w:t>chimaeriformes</w:t>
      </w:r>
      <w:proofErr w:type="spellEnd"/>
      <w:r w:rsidRPr="00074250">
        <w:rPr>
          <w:rFonts w:cs="Arial"/>
          <w:sz w:val="22"/>
          <w:szCs w:val="22"/>
          <w:lang w:val="es-ES"/>
        </w:rPr>
        <w:t>, “</w:t>
      </w:r>
      <w:proofErr w:type="spellStart"/>
      <w:r w:rsidRPr="00074250">
        <w:rPr>
          <w:rFonts w:cs="Arial"/>
          <w:sz w:val="22"/>
          <w:szCs w:val="22"/>
          <w:lang w:val="es-ES"/>
        </w:rPr>
        <w:t>Ratfishes</w:t>
      </w:r>
      <w:proofErr w:type="spellEnd"/>
      <w:r w:rsidRPr="00074250">
        <w:rPr>
          <w:rFonts w:cs="Arial"/>
          <w:sz w:val="22"/>
          <w:szCs w:val="22"/>
          <w:lang w:val="es-ES"/>
        </w:rPr>
        <w:t xml:space="preserve"> </w:t>
      </w:r>
      <w:proofErr w:type="spellStart"/>
      <w:r w:rsidRPr="00074250">
        <w:rPr>
          <w:rFonts w:cs="Arial"/>
          <w:sz w:val="22"/>
          <w:szCs w:val="22"/>
          <w:lang w:val="es-ES"/>
        </w:rPr>
        <w:t>nei</w:t>
      </w:r>
      <w:proofErr w:type="spellEnd"/>
      <w:r w:rsidRPr="00074250">
        <w:rPr>
          <w:rFonts w:cs="Arial"/>
          <w:sz w:val="22"/>
          <w:szCs w:val="22"/>
          <w:lang w:val="es-ES"/>
        </w:rPr>
        <w:t xml:space="preserve">” – </w:t>
      </w:r>
      <w:proofErr w:type="spellStart"/>
      <w:r w:rsidRPr="00074250">
        <w:rPr>
          <w:rFonts w:cs="Arial"/>
          <w:i/>
          <w:iCs/>
          <w:sz w:val="22"/>
          <w:szCs w:val="22"/>
          <w:lang w:val="es-ES"/>
        </w:rPr>
        <w:t>Hydrolagus</w:t>
      </w:r>
      <w:proofErr w:type="spellEnd"/>
      <w:r w:rsidRPr="00074250">
        <w:rPr>
          <w:rFonts w:cs="Arial"/>
          <w:i/>
          <w:iCs/>
          <w:sz w:val="22"/>
          <w:szCs w:val="22"/>
          <w:lang w:val="es-ES"/>
        </w:rPr>
        <w:t xml:space="preserve"> </w:t>
      </w:r>
      <w:proofErr w:type="spellStart"/>
      <w:r w:rsidRPr="00074250">
        <w:rPr>
          <w:rFonts w:cs="Arial"/>
          <w:sz w:val="22"/>
          <w:szCs w:val="22"/>
          <w:lang w:val="es-ES"/>
        </w:rPr>
        <w:t>spp</w:t>
      </w:r>
      <w:proofErr w:type="spellEnd"/>
      <w:r w:rsidRPr="00074250">
        <w:rPr>
          <w:rFonts w:cs="Arial"/>
          <w:sz w:val="22"/>
          <w:szCs w:val="22"/>
          <w:lang w:val="es-ES"/>
        </w:rPr>
        <w:t>.</w:t>
      </w:r>
      <w:r w:rsidRPr="00074250">
        <w:rPr>
          <w:rFonts w:cs="Arial"/>
          <w:i/>
          <w:iCs/>
          <w:sz w:val="22"/>
          <w:szCs w:val="22"/>
          <w:lang w:val="es-ES"/>
        </w:rPr>
        <w:t xml:space="preserve">, </w:t>
      </w:r>
      <w:r w:rsidRPr="00074250">
        <w:rPr>
          <w:rFonts w:cs="Arial"/>
          <w:sz w:val="22"/>
          <w:szCs w:val="22"/>
          <w:lang w:val="es-ES"/>
        </w:rPr>
        <w:t>o "</w:t>
      </w:r>
      <w:proofErr w:type="spellStart"/>
      <w:r w:rsidRPr="00074250">
        <w:rPr>
          <w:rFonts w:cs="Arial"/>
          <w:sz w:val="22"/>
          <w:szCs w:val="22"/>
          <w:lang w:val="es-ES"/>
        </w:rPr>
        <w:t>Rabbit</w:t>
      </w:r>
      <w:proofErr w:type="spellEnd"/>
      <w:r w:rsidRPr="00074250">
        <w:rPr>
          <w:rFonts w:cs="Arial"/>
          <w:sz w:val="22"/>
          <w:szCs w:val="22"/>
          <w:lang w:val="es-ES"/>
        </w:rPr>
        <w:t xml:space="preserve"> </w:t>
      </w:r>
      <w:proofErr w:type="spellStart"/>
      <w:r w:rsidRPr="00074250">
        <w:rPr>
          <w:rFonts w:cs="Arial"/>
          <w:sz w:val="22"/>
          <w:szCs w:val="22"/>
          <w:lang w:val="es-ES"/>
        </w:rPr>
        <w:t>fish</w:t>
      </w:r>
      <w:proofErr w:type="spellEnd"/>
      <w:r w:rsidRPr="00074250">
        <w:rPr>
          <w:rFonts w:cs="Arial"/>
          <w:sz w:val="22"/>
          <w:szCs w:val="22"/>
          <w:lang w:val="es-ES"/>
        </w:rPr>
        <w:t xml:space="preserve">" – </w:t>
      </w:r>
      <w:proofErr w:type="spellStart"/>
      <w:r w:rsidRPr="00074250">
        <w:rPr>
          <w:rFonts w:cs="Arial"/>
          <w:i/>
          <w:iCs/>
          <w:sz w:val="22"/>
          <w:szCs w:val="22"/>
          <w:lang w:val="es-ES"/>
        </w:rPr>
        <w:t>Chimaera</w:t>
      </w:r>
      <w:proofErr w:type="spellEnd"/>
      <w:r w:rsidRPr="00074250">
        <w:rPr>
          <w:rFonts w:cs="Arial"/>
          <w:i/>
          <w:iCs/>
          <w:sz w:val="22"/>
          <w:szCs w:val="22"/>
          <w:lang w:val="es-ES"/>
        </w:rPr>
        <w:t xml:space="preserve"> </w:t>
      </w:r>
      <w:proofErr w:type="spellStart"/>
      <w:r w:rsidRPr="00074250">
        <w:rPr>
          <w:rFonts w:cs="Arial"/>
          <w:i/>
          <w:iCs/>
          <w:sz w:val="22"/>
          <w:szCs w:val="22"/>
          <w:lang w:val="es-ES"/>
        </w:rPr>
        <w:t>monstrosa</w:t>
      </w:r>
      <w:proofErr w:type="spellEnd"/>
      <w:r w:rsidRPr="00074250">
        <w:rPr>
          <w:rFonts w:cs="Arial"/>
          <w:sz w:val="22"/>
          <w:szCs w:val="22"/>
          <w:lang w:val="es-ES"/>
        </w:rPr>
        <w:t xml:space="preserve">). En la tabla 1 siguiente se ofrece un resumen de los códigos taxonómicos de especies, nombres científicos y nombres comunes en inglés, francés y español utilizados en la identificación de las especies enumeradas en el Anexo I del </w:t>
      </w:r>
      <w:proofErr w:type="spellStart"/>
      <w:r w:rsidRPr="00074250">
        <w:rPr>
          <w:rFonts w:cs="Arial"/>
          <w:sz w:val="22"/>
          <w:szCs w:val="22"/>
          <w:lang w:val="es-ES"/>
        </w:rPr>
        <w:t>MdE</w:t>
      </w:r>
      <w:proofErr w:type="spellEnd"/>
      <w:r w:rsidRPr="00074250">
        <w:rPr>
          <w:rFonts w:cs="Arial"/>
          <w:sz w:val="22"/>
          <w:szCs w:val="22"/>
          <w:lang w:val="es-ES"/>
        </w:rPr>
        <w:t xml:space="preserve"> sobre Tiburones y/o el Apéndice I de la CMS.</w:t>
      </w:r>
    </w:p>
    <w:p w14:paraId="752301E8" w14:textId="77777777" w:rsidR="00A32203" w:rsidRPr="00074250" w:rsidRDefault="00A32203" w:rsidP="00A32203">
      <w:pPr>
        <w:ind w:right="26"/>
        <w:jc w:val="both"/>
        <w:rPr>
          <w:rFonts w:cs="Arial"/>
          <w:bCs/>
          <w:iCs/>
          <w:sz w:val="22"/>
          <w:szCs w:val="22"/>
          <w:lang w:val="es-ES"/>
        </w:rPr>
        <w:sectPr w:rsidR="00A32203" w:rsidRPr="00074250" w:rsidSect="00B67B59">
          <w:headerReference w:type="even" r:id="rId23"/>
          <w:headerReference w:type="default" r:id="rId24"/>
          <w:headerReference w:type="first" r:id="rId25"/>
          <w:footerReference w:type="first" r:id="rId26"/>
          <w:pgSz w:w="11906" w:h="16838" w:code="9"/>
          <w:pgMar w:top="1138" w:right="1138" w:bottom="1138" w:left="1138" w:header="706" w:footer="706" w:gutter="0"/>
          <w:cols w:space="720"/>
          <w:titlePg/>
          <w:docGrid w:linePitch="245"/>
        </w:sectPr>
      </w:pPr>
    </w:p>
    <w:p w14:paraId="3ECB8443" w14:textId="77777777" w:rsidR="00A32203" w:rsidRPr="00074250" w:rsidRDefault="00A32203" w:rsidP="00620032">
      <w:pPr>
        <w:pStyle w:val="Caption"/>
        <w:keepNext/>
        <w:jc w:val="both"/>
        <w:rPr>
          <w:rFonts w:ascii="Arial" w:hAnsi="Arial" w:cs="Arial"/>
          <w:i w:val="0"/>
          <w:iCs w:val="0"/>
          <w:color w:val="000000"/>
          <w:sz w:val="22"/>
          <w:szCs w:val="22"/>
          <w:u w:color="000000"/>
          <w:lang w:val="es-ES"/>
        </w:rPr>
      </w:pPr>
      <w:r w:rsidRPr="00074250">
        <w:rPr>
          <w:rFonts w:ascii="Arial" w:hAnsi="Arial" w:cs="Arial"/>
          <w:b/>
          <w:bCs/>
          <w:i w:val="0"/>
          <w:iCs w:val="0"/>
          <w:color w:val="000000"/>
          <w:sz w:val="22"/>
          <w:szCs w:val="22"/>
          <w:u w:color="000000"/>
          <w:lang w:val="es-ES"/>
        </w:rPr>
        <w:lastRenderedPageBreak/>
        <w:t>Tabla 1.</w:t>
      </w:r>
      <w:r w:rsidRPr="00074250">
        <w:rPr>
          <w:rFonts w:ascii="Arial" w:hAnsi="Arial" w:cs="Arial"/>
          <w:i w:val="0"/>
          <w:iCs w:val="0"/>
          <w:color w:val="000000"/>
          <w:sz w:val="22"/>
          <w:szCs w:val="22"/>
          <w:u w:color="000000"/>
          <w:lang w:val="es-ES"/>
        </w:rPr>
        <w:t xml:space="preserve"> Códigos taxonómicos disponibles para la FAO para un registro de los desembarcos de las especies enumeradas en el Apéndice I y el Anexo 1 del </w:t>
      </w:r>
      <w:proofErr w:type="spellStart"/>
      <w:r w:rsidRPr="00074250">
        <w:rPr>
          <w:rFonts w:ascii="Arial" w:hAnsi="Arial" w:cs="Arial"/>
          <w:i w:val="0"/>
          <w:iCs w:val="0"/>
          <w:color w:val="000000"/>
          <w:sz w:val="22"/>
          <w:szCs w:val="22"/>
          <w:u w:color="000000"/>
          <w:lang w:val="es-ES"/>
        </w:rPr>
        <w:t>MdE</w:t>
      </w:r>
      <w:proofErr w:type="spellEnd"/>
      <w:r w:rsidRPr="00074250">
        <w:rPr>
          <w:rFonts w:ascii="Arial" w:hAnsi="Arial" w:cs="Arial"/>
          <w:i w:val="0"/>
          <w:iCs w:val="0"/>
          <w:color w:val="000000"/>
          <w:sz w:val="22"/>
          <w:szCs w:val="22"/>
          <w:u w:color="000000"/>
          <w:lang w:val="es-ES"/>
        </w:rPr>
        <w:t xml:space="preserve"> sobre Tiburones. Estos códigos están disponibles en la lista de especies para fines estadísticos de las pesquerías del ASFIS perteneciente a la FAO y que se publicó en 2021. Algunos de los nombres aquí indicados podrían no ser actualmente nombres científicos válidos. Los códigos del ASFIS disponibles han cambiado a lo largo del tiempo y algunos de estos códigos puede que ya no estén disponibles para análisis a más largo plazo.</w:t>
      </w:r>
    </w:p>
    <w:p w14:paraId="1CA785B4" w14:textId="5A8439A2" w:rsidR="00A32203" w:rsidRPr="00074250" w:rsidRDefault="00A32203" w:rsidP="00A32203">
      <w:pPr>
        <w:ind w:right="26"/>
        <w:jc w:val="both"/>
        <w:rPr>
          <w:rFonts w:cs="Arial"/>
          <w:bCs/>
          <w:iCs/>
          <w:sz w:val="22"/>
          <w:szCs w:val="22"/>
          <w:lang w:val="es-ES"/>
        </w:rPr>
      </w:pPr>
    </w:p>
    <w:tbl>
      <w:tblPr>
        <w:tblStyle w:val="PlainTable21"/>
        <w:tblW w:w="5000" w:type="pct"/>
        <w:tblLook w:val="04A0" w:firstRow="1" w:lastRow="0" w:firstColumn="1" w:lastColumn="0" w:noHBand="0" w:noVBand="1"/>
      </w:tblPr>
      <w:tblGrid>
        <w:gridCol w:w="2703"/>
        <w:gridCol w:w="2231"/>
        <w:gridCol w:w="1229"/>
        <w:gridCol w:w="2225"/>
        <w:gridCol w:w="2094"/>
        <w:gridCol w:w="2094"/>
        <w:gridCol w:w="1986"/>
      </w:tblGrid>
      <w:tr w:rsidR="00A32203" w:rsidRPr="00074250" w14:paraId="1CC14248" w14:textId="77777777" w:rsidTr="00A32203">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928" w:type="pct"/>
            <w:hideMark/>
          </w:tcPr>
          <w:p w14:paraId="03C1DAF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bookmarkStart w:id="4" w:name="_Hlk118370378"/>
            <w:r w:rsidRPr="00074250">
              <w:rPr>
                <w:rFonts w:eastAsia="Arial Unicode MS" w:cs="Arial"/>
                <w:color w:val="000000"/>
                <w:szCs w:val="18"/>
                <w:u w:color="000000"/>
                <w:bdr w:val="nil"/>
                <w:lang w:val="es-ES" w:eastAsia="es-ES"/>
                <w14:textOutline w14:w="0" w14:cap="flat" w14:cmpd="sng" w14:algn="ctr">
                  <w14:noFill/>
                  <w14:prstDash w14:val="solid"/>
                  <w14:bevel/>
                </w14:textOutline>
              </w:rPr>
              <w:t>Tipo de categoría</w:t>
            </w:r>
          </w:p>
        </w:tc>
        <w:tc>
          <w:tcPr>
            <w:tcW w:w="766" w:type="pct"/>
            <w:hideMark/>
          </w:tcPr>
          <w:p w14:paraId="3EFAF2FA"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100000000000" w:firstRow="1"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Código taxonómico</w:t>
            </w:r>
          </w:p>
        </w:tc>
        <w:tc>
          <w:tcPr>
            <w:tcW w:w="422" w:type="pct"/>
            <w:hideMark/>
          </w:tcPr>
          <w:p w14:paraId="3C483D35"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100000000000" w:firstRow="1"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Código 3-alfa</w:t>
            </w:r>
          </w:p>
        </w:tc>
        <w:tc>
          <w:tcPr>
            <w:tcW w:w="764" w:type="pct"/>
            <w:hideMark/>
          </w:tcPr>
          <w:p w14:paraId="3A60F2AC"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100000000000" w:firstRow="1"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Nombre científico</w:t>
            </w:r>
          </w:p>
        </w:tc>
        <w:tc>
          <w:tcPr>
            <w:tcW w:w="719" w:type="pct"/>
            <w:hideMark/>
          </w:tcPr>
          <w:p w14:paraId="344A70D9"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100000000000" w:firstRow="1"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Nombre en inglés</w:t>
            </w:r>
          </w:p>
        </w:tc>
        <w:tc>
          <w:tcPr>
            <w:tcW w:w="719" w:type="pct"/>
            <w:hideMark/>
          </w:tcPr>
          <w:p w14:paraId="26D80FCC"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100000000000" w:firstRow="1"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Nombre en francés</w:t>
            </w:r>
          </w:p>
        </w:tc>
        <w:tc>
          <w:tcPr>
            <w:tcW w:w="682" w:type="pct"/>
            <w:hideMark/>
          </w:tcPr>
          <w:p w14:paraId="49E2CC37"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100000000000" w:firstRow="1"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Nombre en español</w:t>
            </w:r>
          </w:p>
        </w:tc>
      </w:tr>
      <w:tr w:rsidR="00A32203" w:rsidRPr="00074250" w14:paraId="5DF481CA"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3D189800"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Conjunto incierto</w:t>
            </w:r>
          </w:p>
        </w:tc>
        <w:tc>
          <w:tcPr>
            <w:tcW w:w="766" w:type="pct"/>
            <w:hideMark/>
          </w:tcPr>
          <w:p w14:paraId="738C1BA7"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199XXXXXXX054</w:t>
            </w:r>
          </w:p>
        </w:tc>
        <w:tc>
          <w:tcPr>
            <w:tcW w:w="422" w:type="pct"/>
            <w:hideMark/>
          </w:tcPr>
          <w:p w14:paraId="610DC5D5"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SKX</w:t>
            </w:r>
          </w:p>
        </w:tc>
        <w:tc>
          <w:tcPr>
            <w:tcW w:w="764" w:type="pct"/>
            <w:hideMark/>
          </w:tcPr>
          <w:p w14:paraId="686B796F"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Elasmobranchii</w:t>
            </w:r>
            <w:proofErr w:type="spellEnd"/>
          </w:p>
        </w:tc>
        <w:tc>
          <w:tcPr>
            <w:tcW w:w="719" w:type="pct"/>
            <w:hideMark/>
          </w:tcPr>
          <w:p w14:paraId="7E1E773B"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Sharks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rays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skates, etc.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nei</w:t>
            </w:r>
            <w:proofErr w:type="spellEnd"/>
            <w:r w:rsidRPr="00074250">
              <w:rPr>
                <w:rFonts w:eastAsia="Arial Unicode MS" w:cs="Arial"/>
                <w:color w:val="000000"/>
                <w:szCs w:val="18"/>
                <w:u w:color="000000"/>
                <w:bdr w:val="nil"/>
                <w:vertAlign w:val="superscript"/>
                <w:lang w:val="es-ES" w:eastAsia="es-ES"/>
                <w14:textOutline w14:w="0" w14:cap="flat" w14:cmpd="sng" w14:algn="ctr">
                  <w14:noFill/>
                  <w14:prstDash w14:val="solid"/>
                  <w14:bevel/>
                </w14:textOutline>
              </w:rPr>
              <w:footnoteReference w:id="4"/>
            </w:r>
          </w:p>
        </w:tc>
        <w:tc>
          <w:tcPr>
            <w:tcW w:w="719" w:type="pct"/>
            <w:hideMark/>
          </w:tcPr>
          <w:p w14:paraId="71D0FF74"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Requins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raies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etc.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nca</w:t>
            </w:r>
            <w:proofErr w:type="spellEnd"/>
          </w:p>
        </w:tc>
        <w:tc>
          <w:tcPr>
            <w:tcW w:w="682" w:type="pct"/>
            <w:hideMark/>
          </w:tcPr>
          <w:p w14:paraId="79E4EA11"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Tiburones, rayas, etc.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nep</w:t>
            </w:r>
            <w:proofErr w:type="spellEnd"/>
          </w:p>
        </w:tc>
      </w:tr>
      <w:tr w:rsidR="00A32203" w:rsidRPr="00074250" w14:paraId="58127035"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082406B7"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Conjunto incierto</w:t>
            </w:r>
          </w:p>
        </w:tc>
        <w:tc>
          <w:tcPr>
            <w:tcW w:w="766" w:type="pct"/>
            <w:hideMark/>
          </w:tcPr>
          <w:p w14:paraId="69225645"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199XXXXXXX053</w:t>
            </w:r>
          </w:p>
        </w:tc>
        <w:tc>
          <w:tcPr>
            <w:tcW w:w="422" w:type="pct"/>
            <w:hideMark/>
          </w:tcPr>
          <w:p w14:paraId="65549352"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SKH</w:t>
            </w:r>
          </w:p>
        </w:tc>
        <w:tc>
          <w:tcPr>
            <w:tcW w:w="764" w:type="pct"/>
            <w:hideMark/>
          </w:tcPr>
          <w:p w14:paraId="78A48D19"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Selachimorpha</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Pleurotremata</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c>
          <w:tcPr>
            <w:tcW w:w="719" w:type="pct"/>
            <w:hideMark/>
          </w:tcPr>
          <w:p w14:paraId="5BC5EFE4"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Various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sharks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nei</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br/>
            </w:r>
          </w:p>
        </w:tc>
        <w:tc>
          <w:tcPr>
            <w:tcW w:w="719" w:type="pct"/>
            <w:hideMark/>
          </w:tcPr>
          <w:p w14:paraId="5390E8C0"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Requins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divers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nca</w:t>
            </w:r>
            <w:proofErr w:type="spellEnd"/>
          </w:p>
        </w:tc>
        <w:tc>
          <w:tcPr>
            <w:tcW w:w="682" w:type="pct"/>
            <w:hideMark/>
          </w:tcPr>
          <w:p w14:paraId="793DEF4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Escualos diversos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nep</w:t>
            </w:r>
            <w:proofErr w:type="spellEnd"/>
          </w:p>
        </w:tc>
      </w:tr>
      <w:tr w:rsidR="00A32203" w:rsidRPr="00074250" w14:paraId="0D5C78A8"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5667783F"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Sin datos</w:t>
            </w:r>
          </w:p>
        </w:tc>
        <w:tc>
          <w:tcPr>
            <w:tcW w:w="766" w:type="pct"/>
            <w:hideMark/>
          </w:tcPr>
          <w:p w14:paraId="5A7CDE4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108XXXXXXX</w:t>
            </w:r>
          </w:p>
        </w:tc>
        <w:tc>
          <w:tcPr>
            <w:tcW w:w="422" w:type="pct"/>
            <w:hideMark/>
          </w:tcPr>
          <w:p w14:paraId="036932E0"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CVX</w:t>
            </w:r>
          </w:p>
        </w:tc>
        <w:tc>
          <w:tcPr>
            <w:tcW w:w="764" w:type="pct"/>
            <w:hideMark/>
          </w:tcPr>
          <w:p w14:paraId="75D17B5C"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Carcharhiniformes</w:t>
            </w:r>
            <w:proofErr w:type="spellEnd"/>
          </w:p>
        </w:tc>
        <w:tc>
          <w:tcPr>
            <w:tcW w:w="719" w:type="pct"/>
            <w:hideMark/>
          </w:tcPr>
          <w:p w14:paraId="00767D46"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Ground</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sharks</w:t>
            </w:r>
            <w:proofErr w:type="spellEnd"/>
          </w:p>
        </w:tc>
        <w:tc>
          <w:tcPr>
            <w:tcW w:w="719" w:type="pct"/>
            <w:hideMark/>
          </w:tcPr>
          <w:p w14:paraId="5CB09BDA"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c>
          <w:tcPr>
            <w:tcW w:w="682" w:type="pct"/>
            <w:hideMark/>
          </w:tcPr>
          <w:p w14:paraId="7E57E797"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r>
      <w:tr w:rsidR="00A32203" w:rsidRPr="00074250" w14:paraId="4B1B5C63"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2F8D6E9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Conjunto incierto</w:t>
            </w:r>
          </w:p>
        </w:tc>
        <w:tc>
          <w:tcPr>
            <w:tcW w:w="766" w:type="pct"/>
            <w:hideMark/>
          </w:tcPr>
          <w:p w14:paraId="5FD975F8"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10802XXXXX</w:t>
            </w:r>
          </w:p>
        </w:tc>
        <w:tc>
          <w:tcPr>
            <w:tcW w:w="422" w:type="pct"/>
            <w:hideMark/>
          </w:tcPr>
          <w:p w14:paraId="348F8B61"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RSK</w:t>
            </w:r>
          </w:p>
        </w:tc>
        <w:tc>
          <w:tcPr>
            <w:tcW w:w="764" w:type="pct"/>
            <w:hideMark/>
          </w:tcPr>
          <w:p w14:paraId="01E2CB61"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Carcharhinidae</w:t>
            </w:r>
            <w:proofErr w:type="spellEnd"/>
          </w:p>
        </w:tc>
        <w:tc>
          <w:tcPr>
            <w:tcW w:w="719" w:type="pct"/>
            <w:hideMark/>
          </w:tcPr>
          <w:p w14:paraId="74A0F21F"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Requiem</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sharks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nei</w:t>
            </w:r>
            <w:proofErr w:type="spellEnd"/>
          </w:p>
        </w:tc>
        <w:tc>
          <w:tcPr>
            <w:tcW w:w="719" w:type="pct"/>
            <w:hideMark/>
          </w:tcPr>
          <w:p w14:paraId="5D757DB5"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Requins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nca</w:t>
            </w:r>
            <w:proofErr w:type="spellEnd"/>
          </w:p>
        </w:tc>
        <w:tc>
          <w:tcPr>
            <w:tcW w:w="682" w:type="pct"/>
            <w:hideMark/>
          </w:tcPr>
          <w:p w14:paraId="7F646FA0"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Cazones picudos, tintoreras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nep</w:t>
            </w:r>
            <w:proofErr w:type="spellEnd"/>
          </w:p>
        </w:tc>
      </w:tr>
      <w:tr w:rsidR="00A32203" w:rsidRPr="00074250" w14:paraId="73663980"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73B42731"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Conjunto incierto</w:t>
            </w:r>
          </w:p>
        </w:tc>
        <w:tc>
          <w:tcPr>
            <w:tcW w:w="766" w:type="pct"/>
            <w:hideMark/>
          </w:tcPr>
          <w:p w14:paraId="61506BD9"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10802010XX</w:t>
            </w:r>
          </w:p>
        </w:tc>
        <w:tc>
          <w:tcPr>
            <w:tcW w:w="422" w:type="pct"/>
            <w:hideMark/>
          </w:tcPr>
          <w:p w14:paraId="65465725"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CWZ</w:t>
            </w:r>
          </w:p>
        </w:tc>
        <w:tc>
          <w:tcPr>
            <w:tcW w:w="764" w:type="pct"/>
            <w:hideMark/>
          </w:tcPr>
          <w:p w14:paraId="568A152F"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Carcharhinus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spp</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c>
          <w:tcPr>
            <w:tcW w:w="719" w:type="pct"/>
            <w:hideMark/>
          </w:tcPr>
          <w:p w14:paraId="0A5B97C0"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Carcharhinus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sharks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nei</w:t>
            </w:r>
            <w:proofErr w:type="spellEnd"/>
          </w:p>
        </w:tc>
        <w:tc>
          <w:tcPr>
            <w:tcW w:w="719" w:type="pct"/>
            <w:hideMark/>
          </w:tcPr>
          <w:p w14:paraId="76D954E6"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Requins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Carcharhinus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nca</w:t>
            </w:r>
            <w:proofErr w:type="spellEnd"/>
          </w:p>
        </w:tc>
        <w:tc>
          <w:tcPr>
            <w:tcW w:w="682" w:type="pct"/>
            <w:hideMark/>
          </w:tcPr>
          <w:p w14:paraId="0A9AE595"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Cazones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Carcharhinus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nep</w:t>
            </w:r>
            <w:proofErr w:type="spellEnd"/>
          </w:p>
        </w:tc>
      </w:tr>
      <w:tr w:rsidR="00A32203" w:rsidRPr="00074250" w14:paraId="4E7E6BC9"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33B8E26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Específico de especie</w:t>
            </w:r>
          </w:p>
        </w:tc>
        <w:tc>
          <w:tcPr>
            <w:tcW w:w="766" w:type="pct"/>
            <w:hideMark/>
          </w:tcPr>
          <w:p w14:paraId="56D36469"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1080201017</w:t>
            </w:r>
          </w:p>
        </w:tc>
        <w:tc>
          <w:tcPr>
            <w:tcW w:w="422" w:type="pct"/>
            <w:hideMark/>
          </w:tcPr>
          <w:p w14:paraId="06BFF0C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FAL</w:t>
            </w:r>
          </w:p>
        </w:tc>
        <w:tc>
          <w:tcPr>
            <w:tcW w:w="764" w:type="pct"/>
            <w:hideMark/>
          </w:tcPr>
          <w:p w14:paraId="0C85CE74"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Carcharhinus</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falciformis</w:t>
            </w:r>
            <w:proofErr w:type="spellEnd"/>
          </w:p>
        </w:tc>
        <w:tc>
          <w:tcPr>
            <w:tcW w:w="719" w:type="pct"/>
            <w:hideMark/>
          </w:tcPr>
          <w:p w14:paraId="044DF3CA"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Silky</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shark</w:t>
            </w:r>
            <w:proofErr w:type="spellEnd"/>
          </w:p>
        </w:tc>
        <w:tc>
          <w:tcPr>
            <w:tcW w:w="719" w:type="pct"/>
            <w:hideMark/>
          </w:tcPr>
          <w:p w14:paraId="3D8E2FF9"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Requin</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soyeux</w:t>
            </w:r>
            <w:proofErr w:type="spellEnd"/>
          </w:p>
        </w:tc>
        <w:tc>
          <w:tcPr>
            <w:tcW w:w="682" w:type="pct"/>
            <w:hideMark/>
          </w:tcPr>
          <w:p w14:paraId="12D34804"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Tiburón jaquetón</w:t>
            </w:r>
          </w:p>
        </w:tc>
      </w:tr>
      <w:tr w:rsidR="00A32203" w:rsidRPr="00074250" w14:paraId="5AB39AC4"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62F9EFE9"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Específico de especie</w:t>
            </w:r>
          </w:p>
        </w:tc>
        <w:tc>
          <w:tcPr>
            <w:tcW w:w="766" w:type="pct"/>
            <w:hideMark/>
          </w:tcPr>
          <w:p w14:paraId="29759B15"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1080201011</w:t>
            </w:r>
          </w:p>
        </w:tc>
        <w:tc>
          <w:tcPr>
            <w:tcW w:w="422" w:type="pct"/>
            <w:hideMark/>
          </w:tcPr>
          <w:p w14:paraId="1FCB3B83"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OCS</w:t>
            </w:r>
          </w:p>
        </w:tc>
        <w:tc>
          <w:tcPr>
            <w:tcW w:w="764" w:type="pct"/>
            <w:hideMark/>
          </w:tcPr>
          <w:p w14:paraId="52B6E3FC"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Carcharhinus</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longimanus</w:t>
            </w:r>
            <w:proofErr w:type="spellEnd"/>
          </w:p>
        </w:tc>
        <w:tc>
          <w:tcPr>
            <w:tcW w:w="719" w:type="pct"/>
            <w:hideMark/>
          </w:tcPr>
          <w:p w14:paraId="4D551AC1"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Oceanic</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whitetip</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shark</w:t>
            </w:r>
            <w:proofErr w:type="spellEnd"/>
          </w:p>
        </w:tc>
        <w:tc>
          <w:tcPr>
            <w:tcW w:w="719" w:type="pct"/>
            <w:hideMark/>
          </w:tcPr>
          <w:p w14:paraId="54F040A5"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Requin</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océanique</w:t>
            </w:r>
            <w:proofErr w:type="spellEnd"/>
          </w:p>
        </w:tc>
        <w:tc>
          <w:tcPr>
            <w:tcW w:w="682" w:type="pct"/>
            <w:hideMark/>
          </w:tcPr>
          <w:p w14:paraId="1FECCE50"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Tiburón oceánico</w:t>
            </w:r>
          </w:p>
        </w:tc>
      </w:tr>
      <w:tr w:rsidR="00A32203" w:rsidRPr="00074250" w14:paraId="0A39B14D"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37454AE3"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Específico de especie</w:t>
            </w:r>
          </w:p>
        </w:tc>
        <w:tc>
          <w:tcPr>
            <w:tcW w:w="766" w:type="pct"/>
            <w:hideMark/>
          </w:tcPr>
          <w:p w14:paraId="7856BFB4"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1080201016</w:t>
            </w:r>
          </w:p>
        </w:tc>
        <w:tc>
          <w:tcPr>
            <w:tcW w:w="422" w:type="pct"/>
            <w:hideMark/>
          </w:tcPr>
          <w:p w14:paraId="3305430B"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DUS</w:t>
            </w:r>
          </w:p>
        </w:tc>
        <w:tc>
          <w:tcPr>
            <w:tcW w:w="764" w:type="pct"/>
            <w:hideMark/>
          </w:tcPr>
          <w:p w14:paraId="6BE9D123"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Carcharhinus</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obscurus</w:t>
            </w:r>
            <w:proofErr w:type="spellEnd"/>
          </w:p>
        </w:tc>
        <w:tc>
          <w:tcPr>
            <w:tcW w:w="719" w:type="pct"/>
            <w:hideMark/>
          </w:tcPr>
          <w:p w14:paraId="04092B3F"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Dusky</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shark</w:t>
            </w:r>
            <w:proofErr w:type="spellEnd"/>
          </w:p>
        </w:tc>
        <w:tc>
          <w:tcPr>
            <w:tcW w:w="719" w:type="pct"/>
            <w:hideMark/>
          </w:tcPr>
          <w:p w14:paraId="6ECCC95B"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Requin</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de sable</w:t>
            </w:r>
          </w:p>
        </w:tc>
        <w:tc>
          <w:tcPr>
            <w:tcW w:w="682" w:type="pct"/>
            <w:hideMark/>
          </w:tcPr>
          <w:p w14:paraId="41558E1C"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Tiburón arenero</w:t>
            </w:r>
          </w:p>
        </w:tc>
      </w:tr>
      <w:tr w:rsidR="00A32203" w:rsidRPr="00074250" w14:paraId="739B22D9"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62538461"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Conjunto incierto</w:t>
            </w:r>
          </w:p>
        </w:tc>
        <w:tc>
          <w:tcPr>
            <w:tcW w:w="766" w:type="pct"/>
            <w:hideMark/>
          </w:tcPr>
          <w:p w14:paraId="390A59ED"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10803XXXXX</w:t>
            </w:r>
          </w:p>
        </w:tc>
        <w:tc>
          <w:tcPr>
            <w:tcW w:w="422" w:type="pct"/>
            <w:hideMark/>
          </w:tcPr>
          <w:p w14:paraId="5D28A706"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SPY</w:t>
            </w:r>
          </w:p>
        </w:tc>
        <w:tc>
          <w:tcPr>
            <w:tcW w:w="764" w:type="pct"/>
            <w:hideMark/>
          </w:tcPr>
          <w:p w14:paraId="7B9C676B"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Sphyrnidae</w:t>
            </w:r>
            <w:proofErr w:type="spellEnd"/>
          </w:p>
        </w:tc>
        <w:tc>
          <w:tcPr>
            <w:tcW w:w="719" w:type="pct"/>
            <w:hideMark/>
          </w:tcPr>
          <w:p w14:paraId="3A3876B2"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Hammerhead</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sharks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etc.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nei</w:t>
            </w:r>
            <w:proofErr w:type="spellEnd"/>
          </w:p>
        </w:tc>
        <w:tc>
          <w:tcPr>
            <w:tcW w:w="719" w:type="pct"/>
            <w:hideMark/>
          </w:tcPr>
          <w:p w14:paraId="232E6A33"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Requins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marteau</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etc.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nca</w:t>
            </w:r>
            <w:proofErr w:type="spellEnd"/>
          </w:p>
        </w:tc>
        <w:tc>
          <w:tcPr>
            <w:tcW w:w="682" w:type="pct"/>
            <w:hideMark/>
          </w:tcPr>
          <w:p w14:paraId="46ACF0B5"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Cornudas, cachudas etc.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nep</w:t>
            </w:r>
            <w:proofErr w:type="spellEnd"/>
          </w:p>
        </w:tc>
      </w:tr>
      <w:tr w:rsidR="00A32203" w:rsidRPr="0026143E" w14:paraId="5AE7635D"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2194C988"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Conjunto incierto</w:t>
            </w:r>
          </w:p>
        </w:tc>
        <w:tc>
          <w:tcPr>
            <w:tcW w:w="766" w:type="pct"/>
            <w:hideMark/>
          </w:tcPr>
          <w:p w14:paraId="6404330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10803005XX</w:t>
            </w:r>
          </w:p>
        </w:tc>
        <w:tc>
          <w:tcPr>
            <w:tcW w:w="422" w:type="pct"/>
            <w:hideMark/>
          </w:tcPr>
          <w:p w14:paraId="10279953"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SPN</w:t>
            </w:r>
          </w:p>
        </w:tc>
        <w:tc>
          <w:tcPr>
            <w:tcW w:w="764" w:type="pct"/>
            <w:hideMark/>
          </w:tcPr>
          <w:p w14:paraId="5A31B495"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Sphyrna</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spp</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c>
          <w:tcPr>
            <w:tcW w:w="719" w:type="pct"/>
            <w:hideMark/>
          </w:tcPr>
          <w:p w14:paraId="3FE99125"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Hammerhead</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sharks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nei</w:t>
            </w:r>
            <w:proofErr w:type="spellEnd"/>
          </w:p>
        </w:tc>
        <w:tc>
          <w:tcPr>
            <w:tcW w:w="719" w:type="pct"/>
            <w:hideMark/>
          </w:tcPr>
          <w:p w14:paraId="7E720A2F"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Requins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marteau</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nca</w:t>
            </w:r>
            <w:proofErr w:type="spellEnd"/>
          </w:p>
        </w:tc>
        <w:tc>
          <w:tcPr>
            <w:tcW w:w="682" w:type="pct"/>
            <w:hideMark/>
          </w:tcPr>
          <w:p w14:paraId="77FDB3CB"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Cornudas, cachudas (=Peces martillo)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nep</w:t>
            </w:r>
            <w:proofErr w:type="spellEnd"/>
          </w:p>
        </w:tc>
      </w:tr>
      <w:tr w:rsidR="00A32203" w:rsidRPr="00074250" w14:paraId="5D146B67"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79DBC0EC"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Específico de especie</w:t>
            </w:r>
          </w:p>
        </w:tc>
        <w:tc>
          <w:tcPr>
            <w:tcW w:w="766" w:type="pct"/>
            <w:hideMark/>
          </w:tcPr>
          <w:p w14:paraId="7E850B47"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1080300506</w:t>
            </w:r>
          </w:p>
        </w:tc>
        <w:tc>
          <w:tcPr>
            <w:tcW w:w="422" w:type="pct"/>
            <w:hideMark/>
          </w:tcPr>
          <w:p w14:paraId="510E9236"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SPL</w:t>
            </w:r>
          </w:p>
        </w:tc>
        <w:tc>
          <w:tcPr>
            <w:tcW w:w="764" w:type="pct"/>
            <w:hideMark/>
          </w:tcPr>
          <w:p w14:paraId="370BFF5A"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Sphyrna</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lewini</w:t>
            </w:r>
            <w:proofErr w:type="spellEnd"/>
          </w:p>
        </w:tc>
        <w:tc>
          <w:tcPr>
            <w:tcW w:w="719" w:type="pct"/>
            <w:hideMark/>
          </w:tcPr>
          <w:p w14:paraId="62500273"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Scalloped</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hammerhead</w:t>
            </w:r>
            <w:proofErr w:type="spellEnd"/>
          </w:p>
        </w:tc>
        <w:tc>
          <w:tcPr>
            <w:tcW w:w="719" w:type="pct"/>
            <w:hideMark/>
          </w:tcPr>
          <w:p w14:paraId="327ADF0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Requin-marteau</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halicorne</w:t>
            </w:r>
            <w:proofErr w:type="spellEnd"/>
          </w:p>
        </w:tc>
        <w:tc>
          <w:tcPr>
            <w:tcW w:w="682" w:type="pct"/>
            <w:hideMark/>
          </w:tcPr>
          <w:p w14:paraId="2ECBD76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Cornuda común</w:t>
            </w:r>
          </w:p>
        </w:tc>
      </w:tr>
      <w:tr w:rsidR="00A32203" w:rsidRPr="00074250" w14:paraId="2F9D4ED0"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73694374"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Específico de especie</w:t>
            </w:r>
          </w:p>
        </w:tc>
        <w:tc>
          <w:tcPr>
            <w:tcW w:w="766" w:type="pct"/>
            <w:hideMark/>
          </w:tcPr>
          <w:p w14:paraId="284DAEB4"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1080300510</w:t>
            </w:r>
          </w:p>
        </w:tc>
        <w:tc>
          <w:tcPr>
            <w:tcW w:w="422" w:type="pct"/>
            <w:hideMark/>
          </w:tcPr>
          <w:p w14:paraId="47340914"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SPK</w:t>
            </w:r>
          </w:p>
        </w:tc>
        <w:tc>
          <w:tcPr>
            <w:tcW w:w="764" w:type="pct"/>
            <w:hideMark/>
          </w:tcPr>
          <w:p w14:paraId="324D2E5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Sphyrna</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mokarran</w:t>
            </w:r>
            <w:proofErr w:type="spellEnd"/>
          </w:p>
        </w:tc>
        <w:tc>
          <w:tcPr>
            <w:tcW w:w="719" w:type="pct"/>
            <w:hideMark/>
          </w:tcPr>
          <w:p w14:paraId="55F8876A"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Great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hammerhead</w:t>
            </w:r>
            <w:proofErr w:type="spellEnd"/>
          </w:p>
        </w:tc>
        <w:tc>
          <w:tcPr>
            <w:tcW w:w="719" w:type="pct"/>
            <w:hideMark/>
          </w:tcPr>
          <w:p w14:paraId="3A6FE159"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Grand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requin</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marteau</w:t>
            </w:r>
            <w:proofErr w:type="spellEnd"/>
          </w:p>
        </w:tc>
        <w:tc>
          <w:tcPr>
            <w:tcW w:w="682" w:type="pct"/>
            <w:hideMark/>
          </w:tcPr>
          <w:p w14:paraId="7124E620"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Cornuda gigante</w:t>
            </w:r>
          </w:p>
        </w:tc>
      </w:tr>
      <w:tr w:rsidR="00A32203" w:rsidRPr="00074250" w14:paraId="0D272E7A"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40E55EB3"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Específico de especie</w:t>
            </w:r>
          </w:p>
        </w:tc>
        <w:tc>
          <w:tcPr>
            <w:tcW w:w="766" w:type="pct"/>
            <w:hideMark/>
          </w:tcPr>
          <w:p w14:paraId="3A6ECA66"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1080300501</w:t>
            </w:r>
          </w:p>
        </w:tc>
        <w:tc>
          <w:tcPr>
            <w:tcW w:w="422" w:type="pct"/>
            <w:hideMark/>
          </w:tcPr>
          <w:p w14:paraId="47578EEF"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SPZ</w:t>
            </w:r>
          </w:p>
        </w:tc>
        <w:tc>
          <w:tcPr>
            <w:tcW w:w="764" w:type="pct"/>
            <w:hideMark/>
          </w:tcPr>
          <w:p w14:paraId="0513458A"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Sphyrna</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zygaena</w:t>
            </w:r>
            <w:proofErr w:type="spellEnd"/>
          </w:p>
        </w:tc>
        <w:tc>
          <w:tcPr>
            <w:tcW w:w="719" w:type="pct"/>
            <w:hideMark/>
          </w:tcPr>
          <w:p w14:paraId="4F5F6306"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Smooth</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hammerhead</w:t>
            </w:r>
            <w:proofErr w:type="spellEnd"/>
          </w:p>
        </w:tc>
        <w:tc>
          <w:tcPr>
            <w:tcW w:w="719" w:type="pct"/>
            <w:hideMark/>
          </w:tcPr>
          <w:p w14:paraId="1966B73F"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Requin-marteau</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commun</w:t>
            </w:r>
            <w:proofErr w:type="spellEnd"/>
          </w:p>
        </w:tc>
        <w:tc>
          <w:tcPr>
            <w:tcW w:w="682" w:type="pct"/>
            <w:hideMark/>
          </w:tcPr>
          <w:p w14:paraId="1490AC1A"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Cornuda cruz (=Pez martillo)</w:t>
            </w:r>
          </w:p>
        </w:tc>
      </w:tr>
      <w:tr w:rsidR="00A32203" w:rsidRPr="00074250" w14:paraId="7B1025E7"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332EA74F"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Sin datos</w:t>
            </w:r>
          </w:p>
        </w:tc>
        <w:tc>
          <w:tcPr>
            <w:tcW w:w="766" w:type="pct"/>
            <w:hideMark/>
          </w:tcPr>
          <w:p w14:paraId="1FD542E4"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106XXXXXXX</w:t>
            </w:r>
          </w:p>
        </w:tc>
        <w:tc>
          <w:tcPr>
            <w:tcW w:w="422" w:type="pct"/>
            <w:hideMark/>
          </w:tcPr>
          <w:p w14:paraId="5373D95A"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LMZ</w:t>
            </w:r>
          </w:p>
        </w:tc>
        <w:tc>
          <w:tcPr>
            <w:tcW w:w="764" w:type="pct"/>
            <w:hideMark/>
          </w:tcPr>
          <w:p w14:paraId="1E663833"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Lamniformes</w:t>
            </w:r>
            <w:proofErr w:type="spellEnd"/>
          </w:p>
        </w:tc>
        <w:tc>
          <w:tcPr>
            <w:tcW w:w="719" w:type="pct"/>
            <w:hideMark/>
          </w:tcPr>
          <w:p w14:paraId="5286C296"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Mackerel</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sharks</w:t>
            </w:r>
            <w:proofErr w:type="spellEnd"/>
          </w:p>
        </w:tc>
        <w:tc>
          <w:tcPr>
            <w:tcW w:w="719" w:type="pct"/>
            <w:hideMark/>
          </w:tcPr>
          <w:p w14:paraId="16E3C7F7"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c>
          <w:tcPr>
            <w:tcW w:w="682" w:type="pct"/>
            <w:hideMark/>
          </w:tcPr>
          <w:p w14:paraId="3B7B0F8B"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r>
      <w:tr w:rsidR="00A32203" w:rsidRPr="00074250" w14:paraId="396DCD7C"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358B0A07"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Conjunto que incluye todos</w:t>
            </w:r>
          </w:p>
        </w:tc>
        <w:tc>
          <w:tcPr>
            <w:tcW w:w="766" w:type="pct"/>
            <w:hideMark/>
          </w:tcPr>
          <w:p w14:paraId="320C72C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10606006XX</w:t>
            </w:r>
          </w:p>
        </w:tc>
        <w:tc>
          <w:tcPr>
            <w:tcW w:w="422" w:type="pct"/>
            <w:hideMark/>
          </w:tcPr>
          <w:p w14:paraId="229D0E85"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THR</w:t>
            </w:r>
          </w:p>
        </w:tc>
        <w:tc>
          <w:tcPr>
            <w:tcW w:w="764" w:type="pct"/>
            <w:hideMark/>
          </w:tcPr>
          <w:p w14:paraId="7E42DB4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Alopias</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spp</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c>
          <w:tcPr>
            <w:tcW w:w="719" w:type="pct"/>
            <w:hideMark/>
          </w:tcPr>
          <w:p w14:paraId="65E43B1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Thresher</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sharks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nei</w:t>
            </w:r>
            <w:proofErr w:type="spellEnd"/>
          </w:p>
        </w:tc>
        <w:tc>
          <w:tcPr>
            <w:tcW w:w="719" w:type="pct"/>
            <w:hideMark/>
          </w:tcPr>
          <w:p w14:paraId="7FBCCA6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Renards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de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mer</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nca</w:t>
            </w:r>
            <w:proofErr w:type="spellEnd"/>
          </w:p>
        </w:tc>
        <w:tc>
          <w:tcPr>
            <w:tcW w:w="682" w:type="pct"/>
            <w:hideMark/>
          </w:tcPr>
          <w:p w14:paraId="08AEEAA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Zorros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nep</w:t>
            </w:r>
            <w:proofErr w:type="spellEnd"/>
          </w:p>
        </w:tc>
      </w:tr>
      <w:tr w:rsidR="00A32203" w:rsidRPr="00074250" w14:paraId="59D3EE2C"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4470D155"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Específico de especie</w:t>
            </w:r>
          </w:p>
        </w:tc>
        <w:tc>
          <w:tcPr>
            <w:tcW w:w="766" w:type="pct"/>
            <w:hideMark/>
          </w:tcPr>
          <w:p w14:paraId="371B8811"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1060600602</w:t>
            </w:r>
          </w:p>
        </w:tc>
        <w:tc>
          <w:tcPr>
            <w:tcW w:w="422" w:type="pct"/>
            <w:hideMark/>
          </w:tcPr>
          <w:p w14:paraId="363FB404"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PTH</w:t>
            </w:r>
          </w:p>
        </w:tc>
        <w:tc>
          <w:tcPr>
            <w:tcW w:w="764" w:type="pct"/>
            <w:hideMark/>
          </w:tcPr>
          <w:p w14:paraId="44E9CE00"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Alopias</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pelagicus</w:t>
            </w:r>
            <w:proofErr w:type="spellEnd"/>
          </w:p>
        </w:tc>
        <w:tc>
          <w:tcPr>
            <w:tcW w:w="719" w:type="pct"/>
            <w:hideMark/>
          </w:tcPr>
          <w:p w14:paraId="5890B9F4"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Pelagic</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thresher</w:t>
            </w:r>
            <w:proofErr w:type="spellEnd"/>
          </w:p>
        </w:tc>
        <w:tc>
          <w:tcPr>
            <w:tcW w:w="719" w:type="pct"/>
            <w:hideMark/>
          </w:tcPr>
          <w:p w14:paraId="433AAB52"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Renard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pélagique</w:t>
            </w:r>
            <w:proofErr w:type="spellEnd"/>
          </w:p>
        </w:tc>
        <w:tc>
          <w:tcPr>
            <w:tcW w:w="682" w:type="pct"/>
            <w:hideMark/>
          </w:tcPr>
          <w:p w14:paraId="3CCB2EEC"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Zorro pelágico</w:t>
            </w:r>
          </w:p>
        </w:tc>
      </w:tr>
      <w:tr w:rsidR="00A32203" w:rsidRPr="00074250" w14:paraId="6815B475"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3264F10A"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Específico de especie</w:t>
            </w:r>
          </w:p>
        </w:tc>
        <w:tc>
          <w:tcPr>
            <w:tcW w:w="766" w:type="pct"/>
            <w:hideMark/>
          </w:tcPr>
          <w:p w14:paraId="657FEB6A"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1060600603</w:t>
            </w:r>
          </w:p>
        </w:tc>
        <w:tc>
          <w:tcPr>
            <w:tcW w:w="422" w:type="pct"/>
            <w:hideMark/>
          </w:tcPr>
          <w:p w14:paraId="77773917"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BTH</w:t>
            </w:r>
          </w:p>
        </w:tc>
        <w:tc>
          <w:tcPr>
            <w:tcW w:w="764" w:type="pct"/>
            <w:hideMark/>
          </w:tcPr>
          <w:p w14:paraId="33D623AA"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Alopias</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superciliosus</w:t>
            </w:r>
            <w:proofErr w:type="spellEnd"/>
          </w:p>
        </w:tc>
        <w:tc>
          <w:tcPr>
            <w:tcW w:w="719" w:type="pct"/>
            <w:hideMark/>
          </w:tcPr>
          <w:p w14:paraId="3922F16C"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Bigeye</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thresher</w:t>
            </w:r>
            <w:proofErr w:type="spellEnd"/>
          </w:p>
        </w:tc>
        <w:tc>
          <w:tcPr>
            <w:tcW w:w="719" w:type="pct"/>
            <w:hideMark/>
          </w:tcPr>
          <w:p w14:paraId="0C948CB6"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Renard à gros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yeux</w:t>
            </w:r>
            <w:proofErr w:type="spellEnd"/>
          </w:p>
        </w:tc>
        <w:tc>
          <w:tcPr>
            <w:tcW w:w="682" w:type="pct"/>
            <w:hideMark/>
          </w:tcPr>
          <w:p w14:paraId="39E6D8B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Zorro ojón</w:t>
            </w:r>
          </w:p>
        </w:tc>
      </w:tr>
      <w:tr w:rsidR="00A32203" w:rsidRPr="00074250" w14:paraId="1C3E6BDD"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23B8D8A1"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lastRenderedPageBreak/>
              <w:t>Específico de especie</w:t>
            </w:r>
          </w:p>
        </w:tc>
        <w:tc>
          <w:tcPr>
            <w:tcW w:w="766" w:type="pct"/>
            <w:hideMark/>
          </w:tcPr>
          <w:p w14:paraId="055B5017"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1060600601</w:t>
            </w:r>
          </w:p>
        </w:tc>
        <w:tc>
          <w:tcPr>
            <w:tcW w:w="422" w:type="pct"/>
            <w:hideMark/>
          </w:tcPr>
          <w:p w14:paraId="1B1C2D4B"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ALV</w:t>
            </w:r>
          </w:p>
        </w:tc>
        <w:tc>
          <w:tcPr>
            <w:tcW w:w="764" w:type="pct"/>
            <w:hideMark/>
          </w:tcPr>
          <w:p w14:paraId="23024CCC"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Alopias</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vulpinus</w:t>
            </w:r>
            <w:proofErr w:type="spellEnd"/>
          </w:p>
        </w:tc>
        <w:tc>
          <w:tcPr>
            <w:tcW w:w="719" w:type="pct"/>
            <w:hideMark/>
          </w:tcPr>
          <w:p w14:paraId="2A48EA94"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Thresher</w:t>
            </w:r>
            <w:proofErr w:type="spellEnd"/>
          </w:p>
        </w:tc>
        <w:tc>
          <w:tcPr>
            <w:tcW w:w="719" w:type="pct"/>
            <w:hideMark/>
          </w:tcPr>
          <w:p w14:paraId="4A5BF9A5"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Renard</w:t>
            </w:r>
          </w:p>
        </w:tc>
        <w:tc>
          <w:tcPr>
            <w:tcW w:w="682" w:type="pct"/>
            <w:hideMark/>
          </w:tcPr>
          <w:p w14:paraId="45850C87"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Zorro</w:t>
            </w:r>
          </w:p>
        </w:tc>
      </w:tr>
      <w:tr w:rsidR="00A32203" w:rsidRPr="00074250" w14:paraId="1CD04E1B"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21BCC871"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Específico de especie</w:t>
            </w:r>
          </w:p>
        </w:tc>
        <w:tc>
          <w:tcPr>
            <w:tcW w:w="766" w:type="pct"/>
            <w:hideMark/>
          </w:tcPr>
          <w:p w14:paraId="626251A5"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1060100301</w:t>
            </w:r>
          </w:p>
        </w:tc>
        <w:tc>
          <w:tcPr>
            <w:tcW w:w="422" w:type="pct"/>
            <w:hideMark/>
          </w:tcPr>
          <w:p w14:paraId="70E3026D"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BSK</w:t>
            </w:r>
          </w:p>
        </w:tc>
        <w:tc>
          <w:tcPr>
            <w:tcW w:w="764" w:type="pct"/>
            <w:hideMark/>
          </w:tcPr>
          <w:p w14:paraId="4FE1077B"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Cetorhinus</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maximus</w:t>
            </w:r>
            <w:proofErr w:type="spellEnd"/>
          </w:p>
        </w:tc>
        <w:tc>
          <w:tcPr>
            <w:tcW w:w="719" w:type="pct"/>
            <w:hideMark/>
          </w:tcPr>
          <w:p w14:paraId="06E8EB81"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Basking</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shark</w:t>
            </w:r>
            <w:proofErr w:type="spellEnd"/>
          </w:p>
        </w:tc>
        <w:tc>
          <w:tcPr>
            <w:tcW w:w="719" w:type="pct"/>
            <w:hideMark/>
          </w:tcPr>
          <w:p w14:paraId="309F63F8"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Pèlerin</w:t>
            </w:r>
            <w:proofErr w:type="spellEnd"/>
          </w:p>
        </w:tc>
        <w:tc>
          <w:tcPr>
            <w:tcW w:w="682" w:type="pct"/>
            <w:hideMark/>
          </w:tcPr>
          <w:p w14:paraId="6DCAEC18"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Peregrino</w:t>
            </w:r>
          </w:p>
        </w:tc>
      </w:tr>
      <w:tr w:rsidR="00A32203" w:rsidRPr="00074250" w14:paraId="568A230E"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7E511F2C"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Conjunto que incluye todos / Conjunto incierto</w:t>
            </w:r>
          </w:p>
        </w:tc>
        <w:tc>
          <w:tcPr>
            <w:tcW w:w="766" w:type="pct"/>
            <w:hideMark/>
          </w:tcPr>
          <w:p w14:paraId="0925D220"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10608XXXXX</w:t>
            </w:r>
          </w:p>
        </w:tc>
        <w:tc>
          <w:tcPr>
            <w:tcW w:w="422" w:type="pct"/>
            <w:hideMark/>
          </w:tcPr>
          <w:p w14:paraId="0AFAC1E9"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MSK</w:t>
            </w:r>
          </w:p>
        </w:tc>
        <w:tc>
          <w:tcPr>
            <w:tcW w:w="764" w:type="pct"/>
            <w:hideMark/>
          </w:tcPr>
          <w:p w14:paraId="50EDC888"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Lamnidae</w:t>
            </w:r>
            <w:proofErr w:type="spellEnd"/>
          </w:p>
        </w:tc>
        <w:tc>
          <w:tcPr>
            <w:tcW w:w="719" w:type="pct"/>
            <w:hideMark/>
          </w:tcPr>
          <w:p w14:paraId="4D32EEC9"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Mackerel</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proofErr w:type="gram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sharks,porbeagles</w:t>
            </w:r>
            <w:proofErr w:type="spellEnd"/>
            <w:proofErr w:type="gram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nei</w:t>
            </w:r>
            <w:proofErr w:type="spellEnd"/>
          </w:p>
        </w:tc>
        <w:tc>
          <w:tcPr>
            <w:tcW w:w="719" w:type="pct"/>
            <w:hideMark/>
          </w:tcPr>
          <w:p w14:paraId="35FF65A5"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Requins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taupe</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nca</w:t>
            </w:r>
            <w:proofErr w:type="spellEnd"/>
          </w:p>
        </w:tc>
        <w:tc>
          <w:tcPr>
            <w:tcW w:w="682" w:type="pct"/>
            <w:hideMark/>
          </w:tcPr>
          <w:p w14:paraId="21EB2F81"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Jaquetones, marrajos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nep</w:t>
            </w:r>
            <w:proofErr w:type="spellEnd"/>
          </w:p>
        </w:tc>
      </w:tr>
      <w:tr w:rsidR="00A32203" w:rsidRPr="00074250" w14:paraId="3996D351"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0C6FBCF6"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Específico de especie</w:t>
            </w:r>
          </w:p>
        </w:tc>
        <w:tc>
          <w:tcPr>
            <w:tcW w:w="766" w:type="pct"/>
            <w:hideMark/>
          </w:tcPr>
          <w:p w14:paraId="35B0D9EC"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1060800701</w:t>
            </w:r>
          </w:p>
        </w:tc>
        <w:tc>
          <w:tcPr>
            <w:tcW w:w="422" w:type="pct"/>
            <w:hideMark/>
          </w:tcPr>
          <w:p w14:paraId="5CA5012F"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WSH</w:t>
            </w:r>
          </w:p>
        </w:tc>
        <w:tc>
          <w:tcPr>
            <w:tcW w:w="764" w:type="pct"/>
            <w:hideMark/>
          </w:tcPr>
          <w:p w14:paraId="412B48BB"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Carcharodon</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carcharias</w:t>
            </w:r>
            <w:proofErr w:type="spellEnd"/>
          </w:p>
        </w:tc>
        <w:tc>
          <w:tcPr>
            <w:tcW w:w="719" w:type="pct"/>
            <w:hideMark/>
          </w:tcPr>
          <w:p w14:paraId="349213E9"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Great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white</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shark</w:t>
            </w:r>
            <w:proofErr w:type="spellEnd"/>
          </w:p>
        </w:tc>
        <w:tc>
          <w:tcPr>
            <w:tcW w:w="719" w:type="pct"/>
            <w:hideMark/>
          </w:tcPr>
          <w:p w14:paraId="6312B3A6"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Grand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requin</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blanc</w:t>
            </w:r>
            <w:proofErr w:type="spellEnd"/>
          </w:p>
        </w:tc>
        <w:tc>
          <w:tcPr>
            <w:tcW w:w="682" w:type="pct"/>
            <w:hideMark/>
          </w:tcPr>
          <w:p w14:paraId="5F82D79F"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Jaquetón blanco</w:t>
            </w:r>
          </w:p>
        </w:tc>
      </w:tr>
      <w:tr w:rsidR="00A32203" w:rsidRPr="00074250" w14:paraId="5E8F3A70"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6A359B1F"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Conjunto que incluye todos</w:t>
            </w:r>
          </w:p>
        </w:tc>
        <w:tc>
          <w:tcPr>
            <w:tcW w:w="766" w:type="pct"/>
            <w:hideMark/>
          </w:tcPr>
          <w:p w14:paraId="258CE628"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10608002XX</w:t>
            </w:r>
          </w:p>
        </w:tc>
        <w:tc>
          <w:tcPr>
            <w:tcW w:w="422" w:type="pct"/>
            <w:hideMark/>
          </w:tcPr>
          <w:p w14:paraId="2966439B"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MAK</w:t>
            </w:r>
          </w:p>
        </w:tc>
        <w:tc>
          <w:tcPr>
            <w:tcW w:w="764" w:type="pct"/>
            <w:hideMark/>
          </w:tcPr>
          <w:p w14:paraId="533C5831"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Isurus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spp</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c>
          <w:tcPr>
            <w:tcW w:w="719" w:type="pct"/>
            <w:hideMark/>
          </w:tcPr>
          <w:p w14:paraId="4D102332"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Mako</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sharks</w:t>
            </w:r>
            <w:proofErr w:type="spellEnd"/>
          </w:p>
        </w:tc>
        <w:tc>
          <w:tcPr>
            <w:tcW w:w="719" w:type="pct"/>
            <w:hideMark/>
          </w:tcPr>
          <w:p w14:paraId="7F23155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Taupes</w:t>
            </w:r>
            <w:proofErr w:type="spellEnd"/>
          </w:p>
        </w:tc>
        <w:tc>
          <w:tcPr>
            <w:tcW w:w="682" w:type="pct"/>
            <w:hideMark/>
          </w:tcPr>
          <w:p w14:paraId="7FF7C00A"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Marrajos</w:t>
            </w:r>
          </w:p>
        </w:tc>
      </w:tr>
      <w:tr w:rsidR="00A32203" w:rsidRPr="00074250" w14:paraId="5059453B"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37C1CFCD"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Específico de especie</w:t>
            </w:r>
          </w:p>
        </w:tc>
        <w:tc>
          <w:tcPr>
            <w:tcW w:w="766" w:type="pct"/>
            <w:hideMark/>
          </w:tcPr>
          <w:p w14:paraId="214DC1A4"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1060800201</w:t>
            </w:r>
          </w:p>
        </w:tc>
        <w:tc>
          <w:tcPr>
            <w:tcW w:w="422" w:type="pct"/>
            <w:hideMark/>
          </w:tcPr>
          <w:p w14:paraId="3F0A8612"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SMA</w:t>
            </w:r>
          </w:p>
        </w:tc>
        <w:tc>
          <w:tcPr>
            <w:tcW w:w="764" w:type="pct"/>
            <w:hideMark/>
          </w:tcPr>
          <w:p w14:paraId="11C6440C"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Isurus</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oxyrinchus</w:t>
            </w:r>
            <w:proofErr w:type="spellEnd"/>
          </w:p>
        </w:tc>
        <w:tc>
          <w:tcPr>
            <w:tcW w:w="719" w:type="pct"/>
            <w:hideMark/>
          </w:tcPr>
          <w:p w14:paraId="7E2D3C39"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Shortfin</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mako</w:t>
            </w:r>
            <w:proofErr w:type="spellEnd"/>
          </w:p>
        </w:tc>
        <w:tc>
          <w:tcPr>
            <w:tcW w:w="719" w:type="pct"/>
            <w:hideMark/>
          </w:tcPr>
          <w:p w14:paraId="286C5BE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Taupe</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bleue</w:t>
            </w:r>
            <w:proofErr w:type="spellEnd"/>
          </w:p>
        </w:tc>
        <w:tc>
          <w:tcPr>
            <w:tcW w:w="682" w:type="pct"/>
            <w:hideMark/>
          </w:tcPr>
          <w:p w14:paraId="600F91CD"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Marrajo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dientuso</w:t>
            </w:r>
            <w:proofErr w:type="spellEnd"/>
          </w:p>
        </w:tc>
      </w:tr>
      <w:tr w:rsidR="00A32203" w:rsidRPr="00074250" w14:paraId="7B11FFC3"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0BC1C785"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Específico de especie</w:t>
            </w:r>
          </w:p>
        </w:tc>
        <w:tc>
          <w:tcPr>
            <w:tcW w:w="766" w:type="pct"/>
            <w:hideMark/>
          </w:tcPr>
          <w:p w14:paraId="2410000D"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1060800203</w:t>
            </w:r>
          </w:p>
        </w:tc>
        <w:tc>
          <w:tcPr>
            <w:tcW w:w="422" w:type="pct"/>
            <w:hideMark/>
          </w:tcPr>
          <w:p w14:paraId="14DEB82F"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LMA</w:t>
            </w:r>
          </w:p>
        </w:tc>
        <w:tc>
          <w:tcPr>
            <w:tcW w:w="764" w:type="pct"/>
            <w:hideMark/>
          </w:tcPr>
          <w:p w14:paraId="3F4CA529"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Isurus</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paucus</w:t>
            </w:r>
            <w:proofErr w:type="spellEnd"/>
          </w:p>
        </w:tc>
        <w:tc>
          <w:tcPr>
            <w:tcW w:w="719" w:type="pct"/>
            <w:hideMark/>
          </w:tcPr>
          <w:p w14:paraId="7A68F7AC"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Longfin</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mako</w:t>
            </w:r>
            <w:proofErr w:type="spellEnd"/>
          </w:p>
        </w:tc>
        <w:tc>
          <w:tcPr>
            <w:tcW w:w="719" w:type="pct"/>
            <w:hideMark/>
          </w:tcPr>
          <w:p w14:paraId="27F28343"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Petite</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taupe</w:t>
            </w:r>
            <w:proofErr w:type="spellEnd"/>
          </w:p>
        </w:tc>
        <w:tc>
          <w:tcPr>
            <w:tcW w:w="682" w:type="pct"/>
            <w:hideMark/>
          </w:tcPr>
          <w:p w14:paraId="1DA26BE5"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Marrajo carite</w:t>
            </w:r>
          </w:p>
        </w:tc>
      </w:tr>
      <w:tr w:rsidR="00A32203" w:rsidRPr="00074250" w14:paraId="3B65DC37"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7C8DD84B"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Específico de especie</w:t>
            </w:r>
          </w:p>
        </w:tc>
        <w:tc>
          <w:tcPr>
            <w:tcW w:w="766" w:type="pct"/>
            <w:hideMark/>
          </w:tcPr>
          <w:p w14:paraId="68AFAA35"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1060800301</w:t>
            </w:r>
          </w:p>
        </w:tc>
        <w:tc>
          <w:tcPr>
            <w:tcW w:w="422" w:type="pct"/>
            <w:hideMark/>
          </w:tcPr>
          <w:p w14:paraId="3621A1ED"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POR</w:t>
            </w:r>
          </w:p>
        </w:tc>
        <w:tc>
          <w:tcPr>
            <w:tcW w:w="764" w:type="pct"/>
            <w:hideMark/>
          </w:tcPr>
          <w:p w14:paraId="434DBF70"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Lamna</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nasus</w:t>
            </w:r>
            <w:proofErr w:type="spellEnd"/>
          </w:p>
        </w:tc>
        <w:tc>
          <w:tcPr>
            <w:tcW w:w="719" w:type="pct"/>
            <w:hideMark/>
          </w:tcPr>
          <w:p w14:paraId="18B60A53"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Porbeagle</w:t>
            </w:r>
            <w:proofErr w:type="spellEnd"/>
          </w:p>
        </w:tc>
        <w:tc>
          <w:tcPr>
            <w:tcW w:w="719" w:type="pct"/>
            <w:hideMark/>
          </w:tcPr>
          <w:p w14:paraId="1AB6D571"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Requin-taupe</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commun</w:t>
            </w:r>
            <w:proofErr w:type="spellEnd"/>
          </w:p>
        </w:tc>
        <w:tc>
          <w:tcPr>
            <w:tcW w:w="682" w:type="pct"/>
            <w:hideMark/>
          </w:tcPr>
          <w:p w14:paraId="732707DF"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Marrajo sardinero</w:t>
            </w:r>
          </w:p>
        </w:tc>
      </w:tr>
      <w:tr w:rsidR="00A32203" w:rsidRPr="00074250" w14:paraId="0D1C892C"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4DBDFA87"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Sin datos</w:t>
            </w:r>
          </w:p>
        </w:tc>
        <w:tc>
          <w:tcPr>
            <w:tcW w:w="766" w:type="pct"/>
            <w:hideMark/>
          </w:tcPr>
          <w:p w14:paraId="0C40F100"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107XXXXXXX</w:t>
            </w:r>
          </w:p>
        </w:tc>
        <w:tc>
          <w:tcPr>
            <w:tcW w:w="422" w:type="pct"/>
            <w:hideMark/>
          </w:tcPr>
          <w:p w14:paraId="326A4C51"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OCX</w:t>
            </w:r>
          </w:p>
        </w:tc>
        <w:tc>
          <w:tcPr>
            <w:tcW w:w="764" w:type="pct"/>
            <w:hideMark/>
          </w:tcPr>
          <w:p w14:paraId="32FE858F"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Orectolobiformes</w:t>
            </w:r>
            <w:proofErr w:type="spellEnd"/>
          </w:p>
        </w:tc>
        <w:tc>
          <w:tcPr>
            <w:tcW w:w="719" w:type="pct"/>
            <w:hideMark/>
          </w:tcPr>
          <w:p w14:paraId="69569963"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Carpet</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sharks</w:t>
            </w:r>
            <w:proofErr w:type="spellEnd"/>
          </w:p>
        </w:tc>
        <w:tc>
          <w:tcPr>
            <w:tcW w:w="719" w:type="pct"/>
            <w:hideMark/>
          </w:tcPr>
          <w:p w14:paraId="3A474E05"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c>
          <w:tcPr>
            <w:tcW w:w="682" w:type="pct"/>
            <w:hideMark/>
          </w:tcPr>
          <w:p w14:paraId="5C88F499"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r>
      <w:tr w:rsidR="00A32203" w:rsidRPr="00074250" w14:paraId="1A9ACD85"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1AC70C91"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Sin datos</w:t>
            </w:r>
          </w:p>
        </w:tc>
        <w:tc>
          <w:tcPr>
            <w:tcW w:w="766" w:type="pct"/>
            <w:hideMark/>
          </w:tcPr>
          <w:p w14:paraId="6139D743"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1070500401</w:t>
            </w:r>
          </w:p>
        </w:tc>
        <w:tc>
          <w:tcPr>
            <w:tcW w:w="422" w:type="pct"/>
            <w:hideMark/>
          </w:tcPr>
          <w:p w14:paraId="03041536"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RHN</w:t>
            </w:r>
          </w:p>
        </w:tc>
        <w:tc>
          <w:tcPr>
            <w:tcW w:w="764" w:type="pct"/>
            <w:hideMark/>
          </w:tcPr>
          <w:p w14:paraId="4EAE735C"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Rhincodon</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typus</w:t>
            </w:r>
            <w:proofErr w:type="spellEnd"/>
          </w:p>
        </w:tc>
        <w:tc>
          <w:tcPr>
            <w:tcW w:w="719" w:type="pct"/>
            <w:hideMark/>
          </w:tcPr>
          <w:p w14:paraId="158C79DA"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Whale</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shark</w:t>
            </w:r>
            <w:proofErr w:type="spellEnd"/>
          </w:p>
        </w:tc>
        <w:tc>
          <w:tcPr>
            <w:tcW w:w="719" w:type="pct"/>
            <w:hideMark/>
          </w:tcPr>
          <w:p w14:paraId="492B5A1D"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Requin</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baleine</w:t>
            </w:r>
            <w:proofErr w:type="spellEnd"/>
          </w:p>
        </w:tc>
        <w:tc>
          <w:tcPr>
            <w:tcW w:w="682" w:type="pct"/>
            <w:hideMark/>
          </w:tcPr>
          <w:p w14:paraId="1F2CF409"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Tiburón ballena</w:t>
            </w:r>
          </w:p>
        </w:tc>
      </w:tr>
      <w:tr w:rsidR="00A32203" w:rsidRPr="00074250" w14:paraId="4D34C6E9"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3FCB2F66"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Conjunto incierto</w:t>
            </w:r>
          </w:p>
        </w:tc>
        <w:tc>
          <w:tcPr>
            <w:tcW w:w="766" w:type="pct"/>
            <w:hideMark/>
          </w:tcPr>
          <w:p w14:paraId="70E62BDA"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10901XXXXX</w:t>
            </w:r>
          </w:p>
        </w:tc>
        <w:tc>
          <w:tcPr>
            <w:tcW w:w="422" w:type="pct"/>
            <w:hideMark/>
          </w:tcPr>
          <w:p w14:paraId="492D3531"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DGX</w:t>
            </w:r>
          </w:p>
        </w:tc>
        <w:tc>
          <w:tcPr>
            <w:tcW w:w="764" w:type="pct"/>
            <w:hideMark/>
          </w:tcPr>
          <w:p w14:paraId="665E8153"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Squalidae</w:t>
            </w:r>
            <w:proofErr w:type="spellEnd"/>
          </w:p>
        </w:tc>
        <w:tc>
          <w:tcPr>
            <w:tcW w:w="719" w:type="pct"/>
            <w:hideMark/>
          </w:tcPr>
          <w:p w14:paraId="529435E7"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Dogfish</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sharks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nei</w:t>
            </w:r>
            <w:proofErr w:type="spellEnd"/>
          </w:p>
        </w:tc>
        <w:tc>
          <w:tcPr>
            <w:tcW w:w="719" w:type="pct"/>
            <w:hideMark/>
          </w:tcPr>
          <w:p w14:paraId="1AE4B636"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Squales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nca</w:t>
            </w:r>
            <w:proofErr w:type="spellEnd"/>
          </w:p>
        </w:tc>
        <w:tc>
          <w:tcPr>
            <w:tcW w:w="682" w:type="pct"/>
            <w:hideMark/>
          </w:tcPr>
          <w:p w14:paraId="532F008B"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Galludos y tollos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nep</w:t>
            </w:r>
            <w:proofErr w:type="spellEnd"/>
          </w:p>
        </w:tc>
      </w:tr>
      <w:tr w:rsidR="00A32203" w:rsidRPr="00074250" w14:paraId="7497A91A"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7CBFC07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Conjunto incierto</w:t>
            </w:r>
          </w:p>
        </w:tc>
        <w:tc>
          <w:tcPr>
            <w:tcW w:w="766" w:type="pct"/>
            <w:hideMark/>
          </w:tcPr>
          <w:p w14:paraId="63489888"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109XXXXXXX</w:t>
            </w:r>
          </w:p>
        </w:tc>
        <w:tc>
          <w:tcPr>
            <w:tcW w:w="422" w:type="pct"/>
            <w:hideMark/>
          </w:tcPr>
          <w:p w14:paraId="731095DC"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SHX</w:t>
            </w:r>
          </w:p>
        </w:tc>
        <w:tc>
          <w:tcPr>
            <w:tcW w:w="764" w:type="pct"/>
            <w:hideMark/>
          </w:tcPr>
          <w:p w14:paraId="5E520DCF"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Squaliformes</w:t>
            </w:r>
            <w:proofErr w:type="spellEnd"/>
          </w:p>
        </w:tc>
        <w:tc>
          <w:tcPr>
            <w:tcW w:w="719" w:type="pct"/>
            <w:hideMark/>
          </w:tcPr>
          <w:p w14:paraId="0CE8A5D4"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Dogfish</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sharks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etc.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nei</w:t>
            </w:r>
            <w:proofErr w:type="spellEnd"/>
          </w:p>
        </w:tc>
        <w:tc>
          <w:tcPr>
            <w:tcW w:w="719" w:type="pct"/>
            <w:hideMark/>
          </w:tcPr>
          <w:p w14:paraId="542E7182"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Squaliformes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nca</w:t>
            </w:r>
            <w:proofErr w:type="spellEnd"/>
          </w:p>
        </w:tc>
        <w:tc>
          <w:tcPr>
            <w:tcW w:w="682" w:type="pct"/>
            <w:hideMark/>
          </w:tcPr>
          <w:p w14:paraId="14C56A9C"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Squaliformes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nep</w:t>
            </w:r>
            <w:proofErr w:type="spellEnd"/>
          </w:p>
        </w:tc>
      </w:tr>
      <w:tr w:rsidR="00A32203" w:rsidRPr="0026143E" w14:paraId="4C90603C"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793F40C1"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Conjunto incierto</w:t>
            </w:r>
          </w:p>
        </w:tc>
        <w:tc>
          <w:tcPr>
            <w:tcW w:w="766" w:type="pct"/>
            <w:hideMark/>
          </w:tcPr>
          <w:p w14:paraId="0AA42520"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10901XXXXX040</w:t>
            </w:r>
          </w:p>
        </w:tc>
        <w:tc>
          <w:tcPr>
            <w:tcW w:w="422" w:type="pct"/>
            <w:hideMark/>
          </w:tcPr>
          <w:p w14:paraId="5630FD96"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DGH</w:t>
            </w:r>
          </w:p>
        </w:tc>
        <w:tc>
          <w:tcPr>
            <w:tcW w:w="764" w:type="pct"/>
            <w:hideMark/>
          </w:tcPr>
          <w:p w14:paraId="307D4FD7"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Squalidae</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Scyliorhinidae</w:t>
            </w:r>
            <w:proofErr w:type="spellEnd"/>
          </w:p>
        </w:tc>
        <w:tc>
          <w:tcPr>
            <w:tcW w:w="719" w:type="pct"/>
            <w:hideMark/>
          </w:tcPr>
          <w:p w14:paraId="526CB79B"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Dogfishes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and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hounds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nei</w:t>
            </w:r>
            <w:proofErr w:type="spellEnd"/>
          </w:p>
        </w:tc>
        <w:tc>
          <w:tcPr>
            <w:tcW w:w="719" w:type="pct"/>
            <w:hideMark/>
          </w:tcPr>
          <w:p w14:paraId="2FCCA09B"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Squales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et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émissoles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nca</w:t>
            </w:r>
            <w:proofErr w:type="spellEnd"/>
          </w:p>
        </w:tc>
        <w:tc>
          <w:tcPr>
            <w:tcW w:w="682" w:type="pct"/>
            <w:hideMark/>
          </w:tcPr>
          <w:p w14:paraId="583A3858"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Galludos, tollos y musolas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nep</w:t>
            </w:r>
            <w:proofErr w:type="spellEnd"/>
          </w:p>
        </w:tc>
      </w:tr>
      <w:tr w:rsidR="00A32203" w:rsidRPr="00074250" w14:paraId="79B715DA"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59C8B696"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Conjunto incierto</w:t>
            </w:r>
          </w:p>
        </w:tc>
        <w:tc>
          <w:tcPr>
            <w:tcW w:w="766" w:type="pct"/>
            <w:hideMark/>
          </w:tcPr>
          <w:p w14:paraId="04117BB4"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10901007XX</w:t>
            </w:r>
          </w:p>
        </w:tc>
        <w:tc>
          <w:tcPr>
            <w:tcW w:w="422" w:type="pct"/>
            <w:hideMark/>
          </w:tcPr>
          <w:p w14:paraId="2DC34863"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DGZ</w:t>
            </w:r>
          </w:p>
        </w:tc>
        <w:tc>
          <w:tcPr>
            <w:tcW w:w="764" w:type="pct"/>
            <w:hideMark/>
          </w:tcPr>
          <w:p w14:paraId="37BCC6F2"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Squalus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spp</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c>
          <w:tcPr>
            <w:tcW w:w="719" w:type="pct"/>
            <w:hideMark/>
          </w:tcPr>
          <w:p w14:paraId="6029089B"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Dogfishes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nei</w:t>
            </w:r>
            <w:proofErr w:type="spellEnd"/>
          </w:p>
        </w:tc>
        <w:tc>
          <w:tcPr>
            <w:tcW w:w="719" w:type="pct"/>
            <w:hideMark/>
          </w:tcPr>
          <w:p w14:paraId="213C0238"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Aiguillats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nca</w:t>
            </w:r>
            <w:proofErr w:type="spellEnd"/>
          </w:p>
        </w:tc>
        <w:tc>
          <w:tcPr>
            <w:tcW w:w="682" w:type="pct"/>
            <w:hideMark/>
          </w:tcPr>
          <w:p w14:paraId="162DE501"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Mielgas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nep</w:t>
            </w:r>
            <w:proofErr w:type="spellEnd"/>
          </w:p>
        </w:tc>
      </w:tr>
      <w:tr w:rsidR="00A32203" w:rsidRPr="00074250" w14:paraId="79E5B4CB"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7FCE38C3"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Específico de especie</w:t>
            </w:r>
          </w:p>
        </w:tc>
        <w:tc>
          <w:tcPr>
            <w:tcW w:w="766" w:type="pct"/>
            <w:hideMark/>
          </w:tcPr>
          <w:p w14:paraId="256498B0"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1090100704</w:t>
            </w:r>
          </w:p>
        </w:tc>
        <w:tc>
          <w:tcPr>
            <w:tcW w:w="422" w:type="pct"/>
            <w:hideMark/>
          </w:tcPr>
          <w:p w14:paraId="1F42578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DGS</w:t>
            </w:r>
          </w:p>
        </w:tc>
        <w:tc>
          <w:tcPr>
            <w:tcW w:w="764" w:type="pct"/>
            <w:hideMark/>
          </w:tcPr>
          <w:p w14:paraId="4F259E3A"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Squalus</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acanthias</w:t>
            </w:r>
            <w:proofErr w:type="spellEnd"/>
            <w:r w:rsidRPr="00074250">
              <w:rPr>
                <w:rFonts w:eastAsia="Arial Unicode MS" w:cs="Arial"/>
                <w:i/>
                <w:iCs/>
                <w:color w:val="000000"/>
                <w:szCs w:val="18"/>
                <w:u w:color="000000"/>
                <w:bdr w:val="nil"/>
                <w:vertAlign w:val="superscript"/>
                <w:lang w:val="es-ES" w:eastAsia="es-ES"/>
                <w14:textOutline w14:w="0" w14:cap="flat" w14:cmpd="sng" w14:algn="ctr">
                  <w14:noFill/>
                  <w14:prstDash w14:val="solid"/>
                  <w14:bevel/>
                </w14:textOutline>
              </w:rPr>
              <w:footnoteReference w:id="5"/>
            </w:r>
          </w:p>
        </w:tc>
        <w:tc>
          <w:tcPr>
            <w:tcW w:w="719" w:type="pct"/>
            <w:hideMark/>
          </w:tcPr>
          <w:p w14:paraId="71340763"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Picked</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dogfish</w:t>
            </w:r>
            <w:proofErr w:type="spellEnd"/>
          </w:p>
        </w:tc>
        <w:tc>
          <w:tcPr>
            <w:tcW w:w="719" w:type="pct"/>
            <w:hideMark/>
          </w:tcPr>
          <w:p w14:paraId="740C4584"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Aiguillat</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commun</w:t>
            </w:r>
            <w:proofErr w:type="spellEnd"/>
          </w:p>
        </w:tc>
        <w:tc>
          <w:tcPr>
            <w:tcW w:w="682" w:type="pct"/>
            <w:hideMark/>
          </w:tcPr>
          <w:p w14:paraId="15D3D02B"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Mielga</w:t>
            </w:r>
          </w:p>
        </w:tc>
      </w:tr>
      <w:tr w:rsidR="00A32203" w:rsidRPr="00074250" w14:paraId="421BED2C"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7C55D245"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Conjunto incierto / Conjunto que incluye todos</w:t>
            </w:r>
          </w:p>
        </w:tc>
        <w:tc>
          <w:tcPr>
            <w:tcW w:w="766" w:type="pct"/>
            <w:hideMark/>
          </w:tcPr>
          <w:p w14:paraId="03708B18"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10903XXXXX</w:t>
            </w:r>
          </w:p>
        </w:tc>
        <w:tc>
          <w:tcPr>
            <w:tcW w:w="422" w:type="pct"/>
            <w:hideMark/>
          </w:tcPr>
          <w:p w14:paraId="0F94CC19"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ASK</w:t>
            </w:r>
          </w:p>
        </w:tc>
        <w:tc>
          <w:tcPr>
            <w:tcW w:w="764" w:type="pct"/>
            <w:hideMark/>
          </w:tcPr>
          <w:p w14:paraId="5A668D48"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Squatinidae</w:t>
            </w:r>
            <w:proofErr w:type="spellEnd"/>
          </w:p>
        </w:tc>
        <w:tc>
          <w:tcPr>
            <w:tcW w:w="719" w:type="pct"/>
            <w:hideMark/>
          </w:tcPr>
          <w:p w14:paraId="2B46F7D2"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Angelsharks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sand</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devils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nei</w:t>
            </w:r>
            <w:proofErr w:type="spellEnd"/>
          </w:p>
        </w:tc>
        <w:tc>
          <w:tcPr>
            <w:tcW w:w="719" w:type="pct"/>
            <w:hideMark/>
          </w:tcPr>
          <w:p w14:paraId="5C9E0602"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Anges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de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mer</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nca</w:t>
            </w:r>
            <w:proofErr w:type="spellEnd"/>
          </w:p>
        </w:tc>
        <w:tc>
          <w:tcPr>
            <w:tcW w:w="682" w:type="pct"/>
            <w:hideMark/>
          </w:tcPr>
          <w:p w14:paraId="355968F2"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Angelotes, peces ángel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nep</w:t>
            </w:r>
            <w:proofErr w:type="spellEnd"/>
          </w:p>
        </w:tc>
      </w:tr>
      <w:tr w:rsidR="00A32203" w:rsidRPr="00074250" w14:paraId="3676F8CA"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446681FB"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Específico de especie</w:t>
            </w:r>
          </w:p>
        </w:tc>
        <w:tc>
          <w:tcPr>
            <w:tcW w:w="766" w:type="pct"/>
            <w:hideMark/>
          </w:tcPr>
          <w:p w14:paraId="2B956196"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1090300401</w:t>
            </w:r>
          </w:p>
        </w:tc>
        <w:tc>
          <w:tcPr>
            <w:tcW w:w="422" w:type="pct"/>
            <w:hideMark/>
          </w:tcPr>
          <w:p w14:paraId="1CCD8472"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AGN</w:t>
            </w:r>
          </w:p>
        </w:tc>
        <w:tc>
          <w:tcPr>
            <w:tcW w:w="764" w:type="pct"/>
            <w:hideMark/>
          </w:tcPr>
          <w:p w14:paraId="135ED1CC"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Squatina</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squatina</w:t>
            </w:r>
            <w:proofErr w:type="spellEnd"/>
          </w:p>
        </w:tc>
        <w:tc>
          <w:tcPr>
            <w:tcW w:w="719" w:type="pct"/>
            <w:hideMark/>
          </w:tcPr>
          <w:p w14:paraId="37A3446B"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Angelshark</w:t>
            </w:r>
            <w:proofErr w:type="spellEnd"/>
          </w:p>
        </w:tc>
        <w:tc>
          <w:tcPr>
            <w:tcW w:w="719" w:type="pct"/>
            <w:hideMark/>
          </w:tcPr>
          <w:p w14:paraId="0D849763"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Ange</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de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mer</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commun</w:t>
            </w:r>
            <w:proofErr w:type="spellEnd"/>
          </w:p>
        </w:tc>
        <w:tc>
          <w:tcPr>
            <w:tcW w:w="682" w:type="pct"/>
            <w:hideMark/>
          </w:tcPr>
          <w:p w14:paraId="32B074A0"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Angelote</w:t>
            </w:r>
          </w:p>
        </w:tc>
      </w:tr>
      <w:tr w:rsidR="00A32203" w:rsidRPr="00074250" w14:paraId="43DF261D"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0D332EFC"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Conjunto incierto</w:t>
            </w:r>
          </w:p>
        </w:tc>
        <w:tc>
          <w:tcPr>
            <w:tcW w:w="766" w:type="pct"/>
            <w:hideMark/>
          </w:tcPr>
          <w:p w14:paraId="7F9E259A"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110XXXXXXX</w:t>
            </w:r>
          </w:p>
        </w:tc>
        <w:tc>
          <w:tcPr>
            <w:tcW w:w="422" w:type="pct"/>
            <w:hideMark/>
          </w:tcPr>
          <w:p w14:paraId="71157DA7"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SRX</w:t>
            </w:r>
          </w:p>
        </w:tc>
        <w:tc>
          <w:tcPr>
            <w:tcW w:w="764" w:type="pct"/>
            <w:hideMark/>
          </w:tcPr>
          <w:p w14:paraId="6082617B"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Rajiformes</w:t>
            </w:r>
            <w:proofErr w:type="spellEnd"/>
          </w:p>
        </w:tc>
        <w:tc>
          <w:tcPr>
            <w:tcW w:w="719" w:type="pct"/>
            <w:hideMark/>
          </w:tcPr>
          <w:p w14:paraId="04E2A898"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Rays,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stingrays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mantas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nei</w:t>
            </w:r>
            <w:proofErr w:type="spellEnd"/>
          </w:p>
        </w:tc>
        <w:tc>
          <w:tcPr>
            <w:tcW w:w="719" w:type="pct"/>
            <w:hideMark/>
          </w:tcPr>
          <w:p w14:paraId="066A7AD5"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Raies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pastenagues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mantes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nca</w:t>
            </w:r>
            <w:proofErr w:type="spellEnd"/>
          </w:p>
        </w:tc>
        <w:tc>
          <w:tcPr>
            <w:tcW w:w="682" w:type="pct"/>
            <w:hideMark/>
          </w:tcPr>
          <w:p w14:paraId="3DF6E5EA"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Rayas, pastinacas, mantas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nep</w:t>
            </w:r>
            <w:proofErr w:type="spellEnd"/>
          </w:p>
        </w:tc>
      </w:tr>
      <w:tr w:rsidR="00A32203" w:rsidRPr="00074250" w14:paraId="5C025A33"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62C5F3C9"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Conjunto que incluye todos</w:t>
            </w:r>
          </w:p>
        </w:tc>
        <w:tc>
          <w:tcPr>
            <w:tcW w:w="766" w:type="pct"/>
            <w:hideMark/>
          </w:tcPr>
          <w:p w14:paraId="5F264A46"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11008XXXXX</w:t>
            </w:r>
          </w:p>
        </w:tc>
        <w:tc>
          <w:tcPr>
            <w:tcW w:w="422" w:type="pct"/>
            <w:hideMark/>
          </w:tcPr>
          <w:p w14:paraId="5AFC3A9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MAN</w:t>
            </w:r>
          </w:p>
        </w:tc>
        <w:tc>
          <w:tcPr>
            <w:tcW w:w="764" w:type="pct"/>
            <w:hideMark/>
          </w:tcPr>
          <w:p w14:paraId="19619B6A"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Mobulinae</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w:t>
            </w:r>
            <w:r w:rsidRPr="00074250">
              <w:rPr>
                <w:rFonts w:eastAsia="Arial Unicode MS" w:cs="Arial"/>
                <w:color w:val="000000"/>
                <w:szCs w:val="18"/>
                <w:u w:color="000000"/>
                <w:bdr w:val="nil"/>
                <w:vertAlign w:val="superscript"/>
                <w:lang w:val="es-ES" w:eastAsia="es-ES"/>
                <w14:textOutline w14:w="0" w14:cap="flat" w14:cmpd="sng" w14:algn="ctr">
                  <w14:noFill/>
                  <w14:prstDash w14:val="solid"/>
                  <w14:bevel/>
                </w14:textOutline>
              </w:rPr>
              <w:footnoteReference w:id="6"/>
            </w:r>
          </w:p>
        </w:tc>
        <w:tc>
          <w:tcPr>
            <w:tcW w:w="719" w:type="pct"/>
            <w:hideMark/>
          </w:tcPr>
          <w:p w14:paraId="5093E715"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Mantas,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devil</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rays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nei</w:t>
            </w:r>
            <w:proofErr w:type="spellEnd"/>
          </w:p>
        </w:tc>
        <w:tc>
          <w:tcPr>
            <w:tcW w:w="719" w:type="pct"/>
            <w:hideMark/>
          </w:tcPr>
          <w:p w14:paraId="5514E599" w14:textId="77777777" w:rsidR="00A32203" w:rsidRPr="009B36B6"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fr-FR" w:eastAsia="en-GB"/>
                <w14:textOutline w14:w="0" w14:cap="flat" w14:cmpd="sng" w14:algn="ctr">
                  <w14:noFill/>
                  <w14:prstDash w14:val="solid"/>
                  <w14:bevel/>
                </w14:textOutline>
              </w:rPr>
            </w:pPr>
            <w:r w:rsidRPr="009B36B6">
              <w:rPr>
                <w:rFonts w:eastAsia="Arial Unicode MS" w:cs="Arial"/>
                <w:color w:val="000000"/>
                <w:szCs w:val="18"/>
                <w:u w:color="000000"/>
                <w:bdr w:val="nil"/>
                <w:lang w:val="fr-FR" w:eastAsia="es-ES"/>
                <w14:textOutline w14:w="0" w14:cap="flat" w14:cmpd="sng" w14:algn="ctr">
                  <w14:noFill/>
                  <w14:prstDash w14:val="solid"/>
                  <w14:bevel/>
                </w14:textOutline>
              </w:rPr>
              <w:t xml:space="preserve">Mantes, diables de mer </w:t>
            </w:r>
            <w:proofErr w:type="spellStart"/>
            <w:r w:rsidRPr="009B36B6">
              <w:rPr>
                <w:rFonts w:eastAsia="Arial Unicode MS" w:cs="Arial"/>
                <w:color w:val="000000"/>
                <w:szCs w:val="18"/>
                <w:u w:color="000000"/>
                <w:bdr w:val="nil"/>
                <w:lang w:val="fr-FR" w:eastAsia="es-ES"/>
                <w14:textOutline w14:w="0" w14:cap="flat" w14:cmpd="sng" w14:algn="ctr">
                  <w14:noFill/>
                  <w14:prstDash w14:val="solid"/>
                  <w14:bevel/>
                </w14:textOutline>
              </w:rPr>
              <w:t>nca</w:t>
            </w:r>
            <w:proofErr w:type="spellEnd"/>
          </w:p>
        </w:tc>
        <w:tc>
          <w:tcPr>
            <w:tcW w:w="682" w:type="pct"/>
            <w:hideMark/>
          </w:tcPr>
          <w:p w14:paraId="1DB8F7AD"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Mantas, diablos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nep</w:t>
            </w:r>
            <w:proofErr w:type="spellEnd"/>
          </w:p>
        </w:tc>
      </w:tr>
      <w:tr w:rsidR="00A32203" w:rsidRPr="00074250" w14:paraId="27FDC4BC"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614B32C3"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Conjunto que incluye todos</w:t>
            </w:r>
          </w:p>
        </w:tc>
        <w:tc>
          <w:tcPr>
            <w:tcW w:w="766" w:type="pct"/>
            <w:hideMark/>
          </w:tcPr>
          <w:p w14:paraId="1CE753AF"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11008010XX</w:t>
            </w:r>
          </w:p>
        </w:tc>
        <w:tc>
          <w:tcPr>
            <w:tcW w:w="422" w:type="pct"/>
            <w:hideMark/>
          </w:tcPr>
          <w:p w14:paraId="7182292D"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RMV</w:t>
            </w:r>
          </w:p>
        </w:tc>
        <w:tc>
          <w:tcPr>
            <w:tcW w:w="764" w:type="pct"/>
            <w:hideMark/>
          </w:tcPr>
          <w:p w14:paraId="2972A3ED"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Mobula</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spp</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c>
          <w:tcPr>
            <w:tcW w:w="719" w:type="pct"/>
            <w:hideMark/>
          </w:tcPr>
          <w:p w14:paraId="2E078940"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Mobula</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nei</w:t>
            </w:r>
            <w:proofErr w:type="spellEnd"/>
          </w:p>
        </w:tc>
        <w:tc>
          <w:tcPr>
            <w:tcW w:w="719" w:type="pct"/>
            <w:hideMark/>
          </w:tcPr>
          <w:p w14:paraId="72292108"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c>
          <w:tcPr>
            <w:tcW w:w="682" w:type="pct"/>
            <w:hideMark/>
          </w:tcPr>
          <w:p w14:paraId="2EE5265F"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r>
      <w:tr w:rsidR="00A32203" w:rsidRPr="00074250" w14:paraId="70D6D28B"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4D7118F1"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Sin datos</w:t>
            </w:r>
          </w:p>
        </w:tc>
        <w:tc>
          <w:tcPr>
            <w:tcW w:w="766" w:type="pct"/>
            <w:hideMark/>
          </w:tcPr>
          <w:p w14:paraId="06D6BBAF"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1100801014</w:t>
            </w:r>
          </w:p>
        </w:tc>
        <w:tc>
          <w:tcPr>
            <w:tcW w:w="422" w:type="pct"/>
            <w:hideMark/>
          </w:tcPr>
          <w:p w14:paraId="76EACBCA"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RMA</w:t>
            </w:r>
          </w:p>
        </w:tc>
        <w:tc>
          <w:tcPr>
            <w:tcW w:w="764" w:type="pct"/>
            <w:hideMark/>
          </w:tcPr>
          <w:p w14:paraId="2898EC76"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Mobula</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alfredi</w:t>
            </w:r>
            <w:proofErr w:type="spellEnd"/>
          </w:p>
        </w:tc>
        <w:tc>
          <w:tcPr>
            <w:tcW w:w="719" w:type="pct"/>
            <w:hideMark/>
          </w:tcPr>
          <w:p w14:paraId="0DB429E3"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c>
          <w:tcPr>
            <w:tcW w:w="719" w:type="pct"/>
            <w:hideMark/>
          </w:tcPr>
          <w:p w14:paraId="53B793B9"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c>
          <w:tcPr>
            <w:tcW w:w="682" w:type="pct"/>
            <w:hideMark/>
          </w:tcPr>
          <w:p w14:paraId="44AB0B21"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r>
      <w:tr w:rsidR="00A32203" w:rsidRPr="00074250" w14:paraId="60D2ABFD"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7C580B5D"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lastRenderedPageBreak/>
              <w:t>Específico de especie</w:t>
            </w:r>
          </w:p>
        </w:tc>
        <w:tc>
          <w:tcPr>
            <w:tcW w:w="766" w:type="pct"/>
            <w:hideMark/>
          </w:tcPr>
          <w:p w14:paraId="58B8EC24"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1100801013</w:t>
            </w:r>
          </w:p>
        </w:tc>
        <w:tc>
          <w:tcPr>
            <w:tcW w:w="422" w:type="pct"/>
            <w:hideMark/>
          </w:tcPr>
          <w:p w14:paraId="4947F692"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RMB</w:t>
            </w:r>
          </w:p>
        </w:tc>
        <w:tc>
          <w:tcPr>
            <w:tcW w:w="764" w:type="pct"/>
            <w:hideMark/>
          </w:tcPr>
          <w:p w14:paraId="68CB228B"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Mobula</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birostris</w:t>
            </w:r>
            <w:proofErr w:type="spellEnd"/>
          </w:p>
        </w:tc>
        <w:tc>
          <w:tcPr>
            <w:tcW w:w="719" w:type="pct"/>
            <w:hideMark/>
          </w:tcPr>
          <w:p w14:paraId="53F910BA"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Giant</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manta</w:t>
            </w:r>
          </w:p>
        </w:tc>
        <w:tc>
          <w:tcPr>
            <w:tcW w:w="719" w:type="pct"/>
            <w:hideMark/>
          </w:tcPr>
          <w:p w14:paraId="15038E6F"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Mante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géante</w:t>
            </w:r>
            <w:proofErr w:type="spellEnd"/>
          </w:p>
        </w:tc>
        <w:tc>
          <w:tcPr>
            <w:tcW w:w="682" w:type="pct"/>
            <w:hideMark/>
          </w:tcPr>
          <w:p w14:paraId="447BEA27"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Manta gigante</w:t>
            </w:r>
          </w:p>
        </w:tc>
      </w:tr>
      <w:tr w:rsidR="00A32203" w:rsidRPr="00074250" w14:paraId="3E4D9D64"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0D1CF03D"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Sin datos</w:t>
            </w:r>
          </w:p>
        </w:tc>
        <w:tc>
          <w:tcPr>
            <w:tcW w:w="766" w:type="pct"/>
            <w:hideMark/>
          </w:tcPr>
          <w:p w14:paraId="2A391A25"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1100801003</w:t>
            </w:r>
          </w:p>
        </w:tc>
        <w:tc>
          <w:tcPr>
            <w:tcW w:w="422" w:type="pct"/>
            <w:hideMark/>
          </w:tcPr>
          <w:p w14:paraId="6BACC9F1"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RME</w:t>
            </w:r>
          </w:p>
        </w:tc>
        <w:tc>
          <w:tcPr>
            <w:tcW w:w="764" w:type="pct"/>
            <w:hideMark/>
          </w:tcPr>
          <w:p w14:paraId="5ECC0DD9"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Mobula</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eregoodootenkee</w:t>
            </w:r>
            <w:proofErr w:type="spellEnd"/>
            <w:r w:rsidRPr="00074250">
              <w:rPr>
                <w:rFonts w:eastAsia="Arial Unicode MS" w:cs="Arial"/>
                <w:i/>
                <w:iCs/>
                <w:color w:val="000000"/>
                <w:szCs w:val="18"/>
                <w:u w:color="000000"/>
                <w:bdr w:val="nil"/>
                <w:vertAlign w:val="superscript"/>
                <w:lang w:val="es-ES" w:eastAsia="es-ES"/>
                <w14:textOutline w14:w="0" w14:cap="flat" w14:cmpd="sng" w14:algn="ctr">
                  <w14:noFill/>
                  <w14:prstDash w14:val="solid"/>
                  <w14:bevel/>
                </w14:textOutline>
              </w:rPr>
              <w:footnoteReference w:id="7"/>
            </w:r>
          </w:p>
        </w:tc>
        <w:tc>
          <w:tcPr>
            <w:tcW w:w="719" w:type="pct"/>
            <w:hideMark/>
          </w:tcPr>
          <w:p w14:paraId="553C1BD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Longhorned</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mobula</w:t>
            </w:r>
            <w:proofErr w:type="spellEnd"/>
          </w:p>
        </w:tc>
        <w:tc>
          <w:tcPr>
            <w:tcW w:w="719" w:type="pct"/>
            <w:hideMark/>
          </w:tcPr>
          <w:p w14:paraId="7E05EBE9"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c>
          <w:tcPr>
            <w:tcW w:w="682" w:type="pct"/>
            <w:hideMark/>
          </w:tcPr>
          <w:p w14:paraId="443848CC"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r>
      <w:tr w:rsidR="00A32203" w:rsidRPr="00074250" w14:paraId="791FA182"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429BD2A7"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Sin datos</w:t>
            </w:r>
          </w:p>
        </w:tc>
        <w:tc>
          <w:tcPr>
            <w:tcW w:w="766" w:type="pct"/>
            <w:hideMark/>
          </w:tcPr>
          <w:p w14:paraId="6EED3BE3"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1100801004</w:t>
            </w:r>
          </w:p>
        </w:tc>
        <w:tc>
          <w:tcPr>
            <w:tcW w:w="422" w:type="pct"/>
            <w:hideMark/>
          </w:tcPr>
          <w:p w14:paraId="1E1F70E6"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RMH</w:t>
            </w:r>
          </w:p>
        </w:tc>
        <w:tc>
          <w:tcPr>
            <w:tcW w:w="764" w:type="pct"/>
            <w:hideMark/>
          </w:tcPr>
          <w:p w14:paraId="373ADDBB"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Mobula</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hypostoma</w:t>
            </w:r>
            <w:proofErr w:type="spellEnd"/>
          </w:p>
        </w:tc>
        <w:tc>
          <w:tcPr>
            <w:tcW w:w="719" w:type="pct"/>
            <w:hideMark/>
          </w:tcPr>
          <w:p w14:paraId="68590EEC"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Lesser</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devil</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ray</w:t>
            </w:r>
            <w:proofErr w:type="spellEnd"/>
          </w:p>
        </w:tc>
        <w:tc>
          <w:tcPr>
            <w:tcW w:w="719" w:type="pct"/>
            <w:hideMark/>
          </w:tcPr>
          <w:p w14:paraId="3B9E5238"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Mante diable</w:t>
            </w:r>
          </w:p>
        </w:tc>
        <w:tc>
          <w:tcPr>
            <w:tcW w:w="682" w:type="pct"/>
            <w:hideMark/>
          </w:tcPr>
          <w:p w14:paraId="43C50A0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Manta del Golfo</w:t>
            </w:r>
          </w:p>
        </w:tc>
      </w:tr>
      <w:tr w:rsidR="00A32203" w:rsidRPr="00074250" w14:paraId="2D14B3D2"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4D84040B"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Específico de especie</w:t>
            </w:r>
          </w:p>
        </w:tc>
        <w:tc>
          <w:tcPr>
            <w:tcW w:w="766" w:type="pct"/>
            <w:hideMark/>
          </w:tcPr>
          <w:p w14:paraId="5C9BF1BC"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1100801005</w:t>
            </w:r>
          </w:p>
        </w:tc>
        <w:tc>
          <w:tcPr>
            <w:tcW w:w="422" w:type="pct"/>
            <w:hideMark/>
          </w:tcPr>
          <w:p w14:paraId="6595AE08"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RMJ</w:t>
            </w:r>
          </w:p>
        </w:tc>
        <w:tc>
          <w:tcPr>
            <w:tcW w:w="764" w:type="pct"/>
            <w:hideMark/>
          </w:tcPr>
          <w:p w14:paraId="3A4268F6"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Mobula</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japanica</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w:t>
            </w:r>
            <w:r w:rsidRPr="00074250">
              <w:rPr>
                <w:rFonts w:eastAsia="Arial Unicode MS" w:cs="Arial"/>
                <w:color w:val="000000"/>
                <w:szCs w:val="18"/>
                <w:u w:color="000000"/>
                <w:bdr w:val="nil"/>
                <w:vertAlign w:val="superscript"/>
                <w:lang w:val="es-ES" w:eastAsia="es-ES"/>
                <w14:textOutline w14:w="0" w14:cap="flat" w14:cmpd="sng" w14:algn="ctr">
                  <w14:noFill/>
                  <w14:prstDash w14:val="solid"/>
                  <w14:bevel/>
                </w14:textOutline>
              </w:rPr>
              <w:footnoteReference w:id="8"/>
            </w:r>
          </w:p>
        </w:tc>
        <w:tc>
          <w:tcPr>
            <w:tcW w:w="719" w:type="pct"/>
            <w:hideMark/>
          </w:tcPr>
          <w:p w14:paraId="20C1691B"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Spinetail</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mobula</w:t>
            </w:r>
            <w:proofErr w:type="spellEnd"/>
          </w:p>
        </w:tc>
        <w:tc>
          <w:tcPr>
            <w:tcW w:w="719" w:type="pct"/>
            <w:hideMark/>
          </w:tcPr>
          <w:p w14:paraId="36E9EC14"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Mante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aiguillat</w:t>
            </w:r>
            <w:proofErr w:type="spellEnd"/>
          </w:p>
        </w:tc>
        <w:tc>
          <w:tcPr>
            <w:tcW w:w="682" w:type="pct"/>
            <w:hideMark/>
          </w:tcPr>
          <w:p w14:paraId="471288B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r>
      <w:tr w:rsidR="00A32203" w:rsidRPr="00074250" w14:paraId="0D77606C"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0E434E1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Sin datos</w:t>
            </w:r>
          </w:p>
        </w:tc>
        <w:tc>
          <w:tcPr>
            <w:tcW w:w="766" w:type="pct"/>
            <w:hideMark/>
          </w:tcPr>
          <w:p w14:paraId="47188BAC"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1100801006</w:t>
            </w:r>
          </w:p>
        </w:tc>
        <w:tc>
          <w:tcPr>
            <w:tcW w:w="422" w:type="pct"/>
            <w:hideMark/>
          </w:tcPr>
          <w:p w14:paraId="13B316DC"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RMK</w:t>
            </w:r>
          </w:p>
        </w:tc>
        <w:tc>
          <w:tcPr>
            <w:tcW w:w="764" w:type="pct"/>
            <w:hideMark/>
          </w:tcPr>
          <w:p w14:paraId="5880B370"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Mobula</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kuhlii</w:t>
            </w:r>
            <w:proofErr w:type="spellEnd"/>
          </w:p>
        </w:tc>
        <w:tc>
          <w:tcPr>
            <w:tcW w:w="719" w:type="pct"/>
            <w:hideMark/>
          </w:tcPr>
          <w:p w14:paraId="5C70AE65"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Shortfin</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Devil</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Ray</w:t>
            </w:r>
          </w:p>
        </w:tc>
        <w:tc>
          <w:tcPr>
            <w:tcW w:w="719" w:type="pct"/>
            <w:hideMark/>
          </w:tcPr>
          <w:p w14:paraId="69DF494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Petit diable</w:t>
            </w:r>
          </w:p>
        </w:tc>
        <w:tc>
          <w:tcPr>
            <w:tcW w:w="682" w:type="pct"/>
            <w:hideMark/>
          </w:tcPr>
          <w:p w14:paraId="360C35C4"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r>
      <w:tr w:rsidR="00A32203" w:rsidRPr="00074250" w14:paraId="6BDFCE7C"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37BAB5E6"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Específico de especie</w:t>
            </w:r>
          </w:p>
        </w:tc>
        <w:tc>
          <w:tcPr>
            <w:tcW w:w="766" w:type="pct"/>
            <w:hideMark/>
          </w:tcPr>
          <w:p w14:paraId="10E107E8"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1100801007</w:t>
            </w:r>
          </w:p>
        </w:tc>
        <w:tc>
          <w:tcPr>
            <w:tcW w:w="422" w:type="pct"/>
            <w:hideMark/>
          </w:tcPr>
          <w:p w14:paraId="23F91079"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RMM</w:t>
            </w:r>
          </w:p>
        </w:tc>
        <w:tc>
          <w:tcPr>
            <w:tcW w:w="764" w:type="pct"/>
            <w:hideMark/>
          </w:tcPr>
          <w:p w14:paraId="24F9A67C"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Mobula</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mobular</w:t>
            </w:r>
            <w:proofErr w:type="spellEnd"/>
          </w:p>
        </w:tc>
        <w:tc>
          <w:tcPr>
            <w:tcW w:w="719" w:type="pct"/>
            <w:hideMark/>
          </w:tcPr>
          <w:p w14:paraId="1874A330"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Devil</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fish</w:t>
            </w:r>
            <w:proofErr w:type="spellEnd"/>
          </w:p>
        </w:tc>
        <w:tc>
          <w:tcPr>
            <w:tcW w:w="719" w:type="pct"/>
            <w:hideMark/>
          </w:tcPr>
          <w:p w14:paraId="4DA52E7F"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c>
          <w:tcPr>
            <w:tcW w:w="682" w:type="pct"/>
            <w:hideMark/>
          </w:tcPr>
          <w:p w14:paraId="54F5919B"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Manta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mobula</w:t>
            </w:r>
            <w:proofErr w:type="spellEnd"/>
          </w:p>
        </w:tc>
      </w:tr>
      <w:tr w:rsidR="00A32203" w:rsidRPr="00074250" w14:paraId="41891556"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04014976"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Sin datos</w:t>
            </w:r>
          </w:p>
        </w:tc>
        <w:tc>
          <w:tcPr>
            <w:tcW w:w="766" w:type="pct"/>
            <w:hideMark/>
          </w:tcPr>
          <w:p w14:paraId="406BE240"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1100801008</w:t>
            </w:r>
          </w:p>
        </w:tc>
        <w:tc>
          <w:tcPr>
            <w:tcW w:w="422" w:type="pct"/>
            <w:hideMark/>
          </w:tcPr>
          <w:p w14:paraId="05D37570"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RMU</w:t>
            </w:r>
          </w:p>
        </w:tc>
        <w:tc>
          <w:tcPr>
            <w:tcW w:w="764" w:type="pct"/>
            <w:hideMark/>
          </w:tcPr>
          <w:p w14:paraId="1C4D0868"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Mobula</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munkiana</w:t>
            </w:r>
            <w:proofErr w:type="spellEnd"/>
          </w:p>
        </w:tc>
        <w:tc>
          <w:tcPr>
            <w:tcW w:w="719" w:type="pct"/>
            <w:hideMark/>
          </w:tcPr>
          <w:p w14:paraId="52483288"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Munk’s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Devil</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Ray</w:t>
            </w:r>
          </w:p>
        </w:tc>
        <w:tc>
          <w:tcPr>
            <w:tcW w:w="719" w:type="pct"/>
            <w:hideMark/>
          </w:tcPr>
          <w:p w14:paraId="36C76073"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c>
          <w:tcPr>
            <w:tcW w:w="682" w:type="pct"/>
            <w:hideMark/>
          </w:tcPr>
          <w:p w14:paraId="19CBFBD7"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r>
      <w:tr w:rsidR="00A32203" w:rsidRPr="00074250" w14:paraId="73185E48"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430460DB"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Sin datos</w:t>
            </w:r>
          </w:p>
        </w:tc>
        <w:tc>
          <w:tcPr>
            <w:tcW w:w="766" w:type="pct"/>
            <w:hideMark/>
          </w:tcPr>
          <w:p w14:paraId="1A047885"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1100801010</w:t>
            </w:r>
          </w:p>
        </w:tc>
        <w:tc>
          <w:tcPr>
            <w:tcW w:w="422" w:type="pct"/>
            <w:hideMark/>
          </w:tcPr>
          <w:p w14:paraId="38903A51"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RMN</w:t>
            </w:r>
          </w:p>
        </w:tc>
        <w:tc>
          <w:tcPr>
            <w:tcW w:w="764" w:type="pct"/>
            <w:hideMark/>
          </w:tcPr>
          <w:p w14:paraId="101A1184"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Mobula</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rochebrunei</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r w:rsidRPr="00074250">
              <w:rPr>
                <w:rFonts w:eastAsia="Arial Unicode MS" w:cs="Arial"/>
                <w:i/>
                <w:iCs/>
                <w:color w:val="000000"/>
                <w:szCs w:val="18"/>
                <w:u w:color="000000"/>
                <w:bdr w:val="nil"/>
                <w:vertAlign w:val="superscript"/>
                <w:lang w:val="es-ES" w:eastAsia="es-ES"/>
                <w14:textOutline w14:w="0" w14:cap="flat" w14:cmpd="sng" w14:algn="ctr">
                  <w14:noFill/>
                  <w14:prstDash w14:val="solid"/>
                  <w14:bevel/>
                </w14:textOutline>
              </w:rPr>
              <w:footnoteReference w:id="9"/>
            </w:r>
          </w:p>
        </w:tc>
        <w:tc>
          <w:tcPr>
            <w:tcW w:w="719" w:type="pct"/>
            <w:hideMark/>
          </w:tcPr>
          <w:p w14:paraId="531EB17F"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Lesser</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Guinean</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devil</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ray</w:t>
            </w:r>
            <w:proofErr w:type="spellEnd"/>
          </w:p>
        </w:tc>
        <w:tc>
          <w:tcPr>
            <w:tcW w:w="719" w:type="pct"/>
            <w:hideMark/>
          </w:tcPr>
          <w:p w14:paraId="5B8C25FC"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Petit diable de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Guinée</w:t>
            </w:r>
            <w:proofErr w:type="spellEnd"/>
          </w:p>
        </w:tc>
        <w:tc>
          <w:tcPr>
            <w:tcW w:w="682" w:type="pct"/>
            <w:hideMark/>
          </w:tcPr>
          <w:p w14:paraId="2A9A0E03"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Diablito de Guinea</w:t>
            </w:r>
          </w:p>
        </w:tc>
      </w:tr>
      <w:tr w:rsidR="00A32203" w:rsidRPr="00074250" w14:paraId="1DE98708"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08E5DE28"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Sin datos</w:t>
            </w:r>
          </w:p>
        </w:tc>
        <w:tc>
          <w:tcPr>
            <w:tcW w:w="766" w:type="pct"/>
            <w:hideMark/>
          </w:tcPr>
          <w:p w14:paraId="75884A84"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1100801011</w:t>
            </w:r>
          </w:p>
        </w:tc>
        <w:tc>
          <w:tcPr>
            <w:tcW w:w="422" w:type="pct"/>
            <w:hideMark/>
          </w:tcPr>
          <w:p w14:paraId="089FADA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RMT</w:t>
            </w:r>
          </w:p>
        </w:tc>
        <w:tc>
          <w:tcPr>
            <w:tcW w:w="764" w:type="pct"/>
            <w:hideMark/>
          </w:tcPr>
          <w:p w14:paraId="70D6AC46"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Mobula</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tarapacana</w:t>
            </w:r>
            <w:proofErr w:type="spellEnd"/>
          </w:p>
        </w:tc>
        <w:tc>
          <w:tcPr>
            <w:tcW w:w="719" w:type="pct"/>
            <w:hideMark/>
          </w:tcPr>
          <w:p w14:paraId="769BDEE1"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Chilean</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devil</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ray</w:t>
            </w:r>
            <w:proofErr w:type="spellEnd"/>
          </w:p>
        </w:tc>
        <w:tc>
          <w:tcPr>
            <w:tcW w:w="719" w:type="pct"/>
            <w:hideMark/>
          </w:tcPr>
          <w:p w14:paraId="54C25BD7"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c>
          <w:tcPr>
            <w:tcW w:w="682" w:type="pct"/>
            <w:hideMark/>
          </w:tcPr>
          <w:p w14:paraId="3F4A3BEB"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r>
      <w:tr w:rsidR="00A32203" w:rsidRPr="00074250" w14:paraId="07DDA5FE"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22EDFD86"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Sin datos</w:t>
            </w:r>
          </w:p>
        </w:tc>
        <w:tc>
          <w:tcPr>
            <w:tcW w:w="766" w:type="pct"/>
            <w:hideMark/>
          </w:tcPr>
          <w:p w14:paraId="1F23B953"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1100801012</w:t>
            </w:r>
          </w:p>
        </w:tc>
        <w:tc>
          <w:tcPr>
            <w:tcW w:w="422" w:type="pct"/>
            <w:hideMark/>
          </w:tcPr>
          <w:p w14:paraId="38896F1B"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RMO</w:t>
            </w:r>
          </w:p>
        </w:tc>
        <w:tc>
          <w:tcPr>
            <w:tcW w:w="764" w:type="pct"/>
            <w:hideMark/>
          </w:tcPr>
          <w:p w14:paraId="0B78435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Mobula</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thurstoni</w:t>
            </w:r>
            <w:proofErr w:type="spellEnd"/>
          </w:p>
        </w:tc>
        <w:tc>
          <w:tcPr>
            <w:tcW w:w="719" w:type="pct"/>
            <w:hideMark/>
          </w:tcPr>
          <w:p w14:paraId="1FBD177C"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Smoothtail</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mobula</w:t>
            </w:r>
            <w:proofErr w:type="spellEnd"/>
          </w:p>
        </w:tc>
        <w:tc>
          <w:tcPr>
            <w:tcW w:w="719" w:type="pct"/>
            <w:hideMark/>
          </w:tcPr>
          <w:p w14:paraId="343ABB93"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Mante vampire</w:t>
            </w:r>
          </w:p>
        </w:tc>
        <w:tc>
          <w:tcPr>
            <w:tcW w:w="682" w:type="pct"/>
            <w:hideMark/>
          </w:tcPr>
          <w:p w14:paraId="4C3AD3D6"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r>
      <w:tr w:rsidR="00A32203" w:rsidRPr="00074250" w14:paraId="5E08D4EB"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5D35AE4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Conjunto que incluye todos</w:t>
            </w:r>
          </w:p>
        </w:tc>
        <w:tc>
          <w:tcPr>
            <w:tcW w:w="766" w:type="pct"/>
            <w:hideMark/>
          </w:tcPr>
          <w:p w14:paraId="6F6CC68B"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11002XXXXX</w:t>
            </w:r>
          </w:p>
        </w:tc>
        <w:tc>
          <w:tcPr>
            <w:tcW w:w="422" w:type="pct"/>
            <w:hideMark/>
          </w:tcPr>
          <w:p w14:paraId="3B09A507"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SAW</w:t>
            </w:r>
          </w:p>
        </w:tc>
        <w:tc>
          <w:tcPr>
            <w:tcW w:w="764" w:type="pct"/>
            <w:hideMark/>
          </w:tcPr>
          <w:p w14:paraId="7C0CD1FC"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Pristidae</w:t>
            </w:r>
            <w:proofErr w:type="spellEnd"/>
          </w:p>
        </w:tc>
        <w:tc>
          <w:tcPr>
            <w:tcW w:w="719" w:type="pct"/>
            <w:hideMark/>
          </w:tcPr>
          <w:p w14:paraId="12E0A597"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Sawfishes</w:t>
            </w:r>
            <w:proofErr w:type="spellEnd"/>
          </w:p>
        </w:tc>
        <w:tc>
          <w:tcPr>
            <w:tcW w:w="719" w:type="pct"/>
            <w:hideMark/>
          </w:tcPr>
          <w:p w14:paraId="4F3D3AD7"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Poissons-scies</w:t>
            </w:r>
            <w:proofErr w:type="spellEnd"/>
          </w:p>
        </w:tc>
        <w:tc>
          <w:tcPr>
            <w:tcW w:w="682" w:type="pct"/>
            <w:hideMark/>
          </w:tcPr>
          <w:p w14:paraId="7B0731A7"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Peces sierra</w:t>
            </w:r>
          </w:p>
        </w:tc>
      </w:tr>
      <w:tr w:rsidR="00A32203" w:rsidRPr="00074250" w14:paraId="4E0769C3"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13DD21F3"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Sin datos</w:t>
            </w:r>
          </w:p>
        </w:tc>
        <w:tc>
          <w:tcPr>
            <w:tcW w:w="766" w:type="pct"/>
            <w:hideMark/>
          </w:tcPr>
          <w:p w14:paraId="256C344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1100200301</w:t>
            </w:r>
          </w:p>
        </w:tc>
        <w:tc>
          <w:tcPr>
            <w:tcW w:w="422" w:type="pct"/>
            <w:hideMark/>
          </w:tcPr>
          <w:p w14:paraId="431F63AF"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RPA</w:t>
            </w:r>
          </w:p>
        </w:tc>
        <w:tc>
          <w:tcPr>
            <w:tcW w:w="764" w:type="pct"/>
            <w:hideMark/>
          </w:tcPr>
          <w:p w14:paraId="26401821"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Anoxypristis</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cuspidata</w:t>
            </w:r>
            <w:proofErr w:type="spellEnd"/>
          </w:p>
        </w:tc>
        <w:tc>
          <w:tcPr>
            <w:tcW w:w="719" w:type="pct"/>
            <w:hideMark/>
          </w:tcPr>
          <w:p w14:paraId="03EA5E84"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Pointed</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sawfish</w:t>
            </w:r>
            <w:proofErr w:type="spellEnd"/>
          </w:p>
        </w:tc>
        <w:tc>
          <w:tcPr>
            <w:tcW w:w="719" w:type="pct"/>
            <w:hideMark/>
          </w:tcPr>
          <w:p w14:paraId="5138AE17"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c>
          <w:tcPr>
            <w:tcW w:w="682" w:type="pct"/>
            <w:hideMark/>
          </w:tcPr>
          <w:p w14:paraId="067B94C8"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r>
      <w:tr w:rsidR="00A32203" w:rsidRPr="00074250" w14:paraId="4A4EACFE"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0D714505"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Sin datos</w:t>
            </w:r>
          </w:p>
        </w:tc>
        <w:tc>
          <w:tcPr>
            <w:tcW w:w="766" w:type="pct"/>
            <w:hideMark/>
          </w:tcPr>
          <w:p w14:paraId="4D7188DD"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1100200401</w:t>
            </w:r>
          </w:p>
        </w:tc>
        <w:tc>
          <w:tcPr>
            <w:tcW w:w="422" w:type="pct"/>
            <w:hideMark/>
          </w:tcPr>
          <w:p w14:paraId="179C5B08"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RPC</w:t>
            </w:r>
          </w:p>
        </w:tc>
        <w:tc>
          <w:tcPr>
            <w:tcW w:w="764" w:type="pct"/>
            <w:hideMark/>
          </w:tcPr>
          <w:p w14:paraId="645D0617"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Pristis</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clavata</w:t>
            </w:r>
            <w:proofErr w:type="spellEnd"/>
          </w:p>
        </w:tc>
        <w:tc>
          <w:tcPr>
            <w:tcW w:w="719" w:type="pct"/>
            <w:hideMark/>
          </w:tcPr>
          <w:p w14:paraId="5FBF856F"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Dwarf</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Sawfish</w:t>
            </w:r>
            <w:proofErr w:type="spellEnd"/>
          </w:p>
        </w:tc>
        <w:tc>
          <w:tcPr>
            <w:tcW w:w="719" w:type="pct"/>
            <w:hideMark/>
          </w:tcPr>
          <w:p w14:paraId="516ECE70"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c>
          <w:tcPr>
            <w:tcW w:w="682" w:type="pct"/>
            <w:hideMark/>
          </w:tcPr>
          <w:p w14:paraId="22F273BC"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r>
      <w:tr w:rsidR="00A32203" w:rsidRPr="00074250" w14:paraId="612D382A"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474F60D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Sin datos</w:t>
            </w:r>
          </w:p>
        </w:tc>
        <w:tc>
          <w:tcPr>
            <w:tcW w:w="766" w:type="pct"/>
            <w:hideMark/>
          </w:tcPr>
          <w:p w14:paraId="4B440142"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1100200403</w:t>
            </w:r>
          </w:p>
        </w:tc>
        <w:tc>
          <w:tcPr>
            <w:tcW w:w="422" w:type="pct"/>
            <w:hideMark/>
          </w:tcPr>
          <w:p w14:paraId="0AF12E4D"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RPP</w:t>
            </w:r>
          </w:p>
        </w:tc>
        <w:tc>
          <w:tcPr>
            <w:tcW w:w="764" w:type="pct"/>
            <w:hideMark/>
          </w:tcPr>
          <w:p w14:paraId="6189F3F9"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Pristis</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pectinata</w:t>
            </w:r>
            <w:proofErr w:type="spellEnd"/>
          </w:p>
        </w:tc>
        <w:tc>
          <w:tcPr>
            <w:tcW w:w="719" w:type="pct"/>
            <w:hideMark/>
          </w:tcPr>
          <w:p w14:paraId="0461738C"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Smalltooth</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Sawfish</w:t>
            </w:r>
            <w:proofErr w:type="spellEnd"/>
          </w:p>
        </w:tc>
        <w:tc>
          <w:tcPr>
            <w:tcW w:w="719" w:type="pct"/>
            <w:hideMark/>
          </w:tcPr>
          <w:p w14:paraId="299A7E67"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Poisson-</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scie</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trident</w:t>
            </w:r>
            <w:proofErr w:type="spellEnd"/>
          </w:p>
        </w:tc>
        <w:tc>
          <w:tcPr>
            <w:tcW w:w="682" w:type="pct"/>
            <w:hideMark/>
          </w:tcPr>
          <w:p w14:paraId="26F00644"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r>
      <w:tr w:rsidR="00A32203" w:rsidRPr="00074250" w14:paraId="36B31EDB"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1ED09ED1"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Sin datos</w:t>
            </w:r>
          </w:p>
        </w:tc>
        <w:tc>
          <w:tcPr>
            <w:tcW w:w="766" w:type="pct"/>
            <w:hideMark/>
          </w:tcPr>
          <w:p w14:paraId="44697F8F"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1100200404</w:t>
            </w:r>
          </w:p>
        </w:tc>
        <w:tc>
          <w:tcPr>
            <w:tcW w:w="422" w:type="pct"/>
            <w:hideMark/>
          </w:tcPr>
          <w:p w14:paraId="1E4F5D4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RPR</w:t>
            </w:r>
          </w:p>
        </w:tc>
        <w:tc>
          <w:tcPr>
            <w:tcW w:w="764" w:type="pct"/>
            <w:hideMark/>
          </w:tcPr>
          <w:p w14:paraId="65BB3055"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Pristis</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pristis</w:t>
            </w:r>
            <w:proofErr w:type="spellEnd"/>
          </w:p>
        </w:tc>
        <w:tc>
          <w:tcPr>
            <w:tcW w:w="719" w:type="pct"/>
            <w:hideMark/>
          </w:tcPr>
          <w:p w14:paraId="593A1328"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Common</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sawfish</w:t>
            </w:r>
            <w:proofErr w:type="spellEnd"/>
          </w:p>
        </w:tc>
        <w:tc>
          <w:tcPr>
            <w:tcW w:w="719" w:type="pct"/>
            <w:hideMark/>
          </w:tcPr>
          <w:p w14:paraId="23FDBD0D"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Poisson-</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scie</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commun</w:t>
            </w:r>
            <w:proofErr w:type="spellEnd"/>
          </w:p>
        </w:tc>
        <w:tc>
          <w:tcPr>
            <w:tcW w:w="682" w:type="pct"/>
            <w:hideMark/>
          </w:tcPr>
          <w:p w14:paraId="584A5531"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r>
      <w:tr w:rsidR="00A32203" w:rsidRPr="00074250" w14:paraId="4D2C8EC2"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10B37A2C"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Sin datos</w:t>
            </w:r>
          </w:p>
        </w:tc>
        <w:tc>
          <w:tcPr>
            <w:tcW w:w="766" w:type="pct"/>
            <w:hideMark/>
          </w:tcPr>
          <w:p w14:paraId="5062AFD1"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1100200402</w:t>
            </w:r>
          </w:p>
        </w:tc>
        <w:tc>
          <w:tcPr>
            <w:tcW w:w="422" w:type="pct"/>
            <w:hideMark/>
          </w:tcPr>
          <w:p w14:paraId="74FFC9DA"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RPM</w:t>
            </w:r>
          </w:p>
        </w:tc>
        <w:tc>
          <w:tcPr>
            <w:tcW w:w="764" w:type="pct"/>
            <w:hideMark/>
          </w:tcPr>
          <w:p w14:paraId="13EFA3BD"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Pristis</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microdon</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r w:rsidRPr="00074250">
              <w:rPr>
                <w:rFonts w:eastAsia="Arial Unicode MS" w:cs="Arial"/>
                <w:i/>
                <w:iCs/>
                <w:color w:val="000000"/>
                <w:szCs w:val="18"/>
                <w:u w:color="000000"/>
                <w:bdr w:val="nil"/>
                <w:vertAlign w:val="superscript"/>
                <w:lang w:val="es-ES" w:eastAsia="es-ES"/>
                <w14:textOutline w14:w="0" w14:cap="flat" w14:cmpd="sng" w14:algn="ctr">
                  <w14:noFill/>
                  <w14:prstDash w14:val="solid"/>
                  <w14:bevel/>
                </w14:textOutline>
              </w:rPr>
              <w:footnoteReference w:id="10"/>
            </w:r>
          </w:p>
        </w:tc>
        <w:tc>
          <w:tcPr>
            <w:tcW w:w="719" w:type="pct"/>
            <w:hideMark/>
          </w:tcPr>
          <w:p w14:paraId="6B6940BB"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Largetooth</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sawfish</w:t>
            </w:r>
            <w:proofErr w:type="spellEnd"/>
          </w:p>
        </w:tc>
        <w:tc>
          <w:tcPr>
            <w:tcW w:w="719" w:type="pct"/>
            <w:hideMark/>
          </w:tcPr>
          <w:p w14:paraId="3FE5332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Poisson-</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scie</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grandent</w:t>
            </w:r>
            <w:proofErr w:type="spellEnd"/>
          </w:p>
        </w:tc>
        <w:tc>
          <w:tcPr>
            <w:tcW w:w="682" w:type="pct"/>
            <w:noWrap/>
            <w:hideMark/>
          </w:tcPr>
          <w:p w14:paraId="56E93F41"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
        </w:tc>
      </w:tr>
      <w:tr w:rsidR="00A32203" w:rsidRPr="00074250" w14:paraId="5BDFF4E2"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416D82C4"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bookmarkStart w:id="5" w:name="_Hlk122349690"/>
            <w:r w:rsidRPr="00074250">
              <w:rPr>
                <w:rFonts w:eastAsia="Arial Unicode MS" w:cs="Arial"/>
                <w:color w:val="000000"/>
                <w:szCs w:val="18"/>
                <w:u w:color="000000"/>
                <w:bdr w:val="nil"/>
                <w:lang w:val="es-ES" w:eastAsia="es-ES"/>
                <w14:textOutline w14:w="0" w14:cap="flat" w14:cmpd="sng" w14:algn="ctr">
                  <w14:noFill/>
                  <w14:prstDash w14:val="solid"/>
                  <w14:bevel/>
                </w14:textOutline>
              </w:rPr>
              <w:t>Sin datos</w:t>
            </w:r>
            <w:bookmarkEnd w:id="5"/>
          </w:p>
        </w:tc>
        <w:tc>
          <w:tcPr>
            <w:tcW w:w="766" w:type="pct"/>
            <w:hideMark/>
          </w:tcPr>
          <w:p w14:paraId="213E6E53"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1100200405</w:t>
            </w:r>
          </w:p>
        </w:tc>
        <w:tc>
          <w:tcPr>
            <w:tcW w:w="422" w:type="pct"/>
            <w:hideMark/>
          </w:tcPr>
          <w:p w14:paraId="731B26D0"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RPZ</w:t>
            </w:r>
          </w:p>
        </w:tc>
        <w:tc>
          <w:tcPr>
            <w:tcW w:w="764" w:type="pct"/>
            <w:hideMark/>
          </w:tcPr>
          <w:p w14:paraId="73ACF065"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Pristis</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zijsron</w:t>
            </w:r>
            <w:proofErr w:type="spellEnd"/>
          </w:p>
        </w:tc>
        <w:tc>
          <w:tcPr>
            <w:tcW w:w="719" w:type="pct"/>
            <w:hideMark/>
          </w:tcPr>
          <w:p w14:paraId="4C8F5631"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Longcomb</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sawfish</w:t>
            </w:r>
            <w:proofErr w:type="spellEnd"/>
          </w:p>
        </w:tc>
        <w:tc>
          <w:tcPr>
            <w:tcW w:w="719" w:type="pct"/>
            <w:hideMark/>
          </w:tcPr>
          <w:p w14:paraId="31EA6740"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c>
          <w:tcPr>
            <w:tcW w:w="682" w:type="pct"/>
            <w:hideMark/>
          </w:tcPr>
          <w:p w14:paraId="0887C6BD"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Guitarras, etc.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nep</w:t>
            </w:r>
            <w:proofErr w:type="spellEnd"/>
          </w:p>
        </w:tc>
      </w:tr>
      <w:tr w:rsidR="00A32203" w:rsidRPr="00074250" w14:paraId="49EE7F27"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39C27318"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Conjunto incierto</w:t>
            </w:r>
          </w:p>
        </w:tc>
        <w:tc>
          <w:tcPr>
            <w:tcW w:w="766" w:type="pct"/>
            <w:hideMark/>
          </w:tcPr>
          <w:p w14:paraId="73C63642"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11001XXXXX</w:t>
            </w:r>
          </w:p>
        </w:tc>
        <w:tc>
          <w:tcPr>
            <w:tcW w:w="422" w:type="pct"/>
            <w:hideMark/>
          </w:tcPr>
          <w:p w14:paraId="161C7A50"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GTF</w:t>
            </w:r>
          </w:p>
        </w:tc>
        <w:tc>
          <w:tcPr>
            <w:tcW w:w="764" w:type="pct"/>
            <w:hideMark/>
          </w:tcPr>
          <w:p w14:paraId="5D8D1E1C"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Rhinobatidae</w:t>
            </w:r>
            <w:proofErr w:type="spellEnd"/>
          </w:p>
        </w:tc>
        <w:tc>
          <w:tcPr>
            <w:tcW w:w="719" w:type="pct"/>
            <w:hideMark/>
          </w:tcPr>
          <w:p w14:paraId="09C90A37"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Guitarfishes</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etc.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nei</w:t>
            </w:r>
            <w:proofErr w:type="spellEnd"/>
          </w:p>
        </w:tc>
        <w:tc>
          <w:tcPr>
            <w:tcW w:w="719" w:type="pct"/>
            <w:hideMark/>
          </w:tcPr>
          <w:p w14:paraId="0099A4F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Guitares, etc.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nca</w:t>
            </w:r>
            <w:proofErr w:type="spellEnd"/>
          </w:p>
        </w:tc>
        <w:tc>
          <w:tcPr>
            <w:tcW w:w="682" w:type="pct"/>
            <w:hideMark/>
          </w:tcPr>
          <w:p w14:paraId="215B62EA"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r>
      <w:tr w:rsidR="00A32203" w:rsidRPr="00074250" w14:paraId="72F4A05C"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5D90DFD5"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Específico de especie</w:t>
            </w:r>
          </w:p>
        </w:tc>
        <w:tc>
          <w:tcPr>
            <w:tcW w:w="766" w:type="pct"/>
            <w:hideMark/>
          </w:tcPr>
          <w:p w14:paraId="19E7DCAD"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1100100401</w:t>
            </w:r>
          </w:p>
        </w:tc>
        <w:tc>
          <w:tcPr>
            <w:tcW w:w="422" w:type="pct"/>
            <w:hideMark/>
          </w:tcPr>
          <w:p w14:paraId="6F099AB5"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RCA</w:t>
            </w:r>
          </w:p>
        </w:tc>
        <w:tc>
          <w:tcPr>
            <w:tcW w:w="764" w:type="pct"/>
            <w:hideMark/>
          </w:tcPr>
          <w:p w14:paraId="5E8104F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Rhynchobatus</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australiae</w:t>
            </w:r>
            <w:proofErr w:type="spellEnd"/>
          </w:p>
        </w:tc>
        <w:tc>
          <w:tcPr>
            <w:tcW w:w="719" w:type="pct"/>
            <w:hideMark/>
          </w:tcPr>
          <w:p w14:paraId="16A96C34"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Whitespotted</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wedgefish</w:t>
            </w:r>
            <w:proofErr w:type="spellEnd"/>
          </w:p>
        </w:tc>
        <w:tc>
          <w:tcPr>
            <w:tcW w:w="719" w:type="pct"/>
            <w:hideMark/>
          </w:tcPr>
          <w:p w14:paraId="7CA8B7E4"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c>
          <w:tcPr>
            <w:tcW w:w="682" w:type="pct"/>
            <w:hideMark/>
          </w:tcPr>
          <w:p w14:paraId="6FA39E16"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Pez cuna manchado</w:t>
            </w:r>
          </w:p>
        </w:tc>
      </w:tr>
      <w:tr w:rsidR="00A32203" w:rsidRPr="00074250" w14:paraId="5171CF10"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2DB8D8B1"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Específico de especie</w:t>
            </w:r>
          </w:p>
        </w:tc>
        <w:tc>
          <w:tcPr>
            <w:tcW w:w="766" w:type="pct"/>
            <w:hideMark/>
          </w:tcPr>
          <w:p w14:paraId="275DCE1A"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1100100402</w:t>
            </w:r>
          </w:p>
        </w:tc>
        <w:tc>
          <w:tcPr>
            <w:tcW w:w="422" w:type="pct"/>
            <w:hideMark/>
          </w:tcPr>
          <w:p w14:paraId="54B88014"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RCD</w:t>
            </w:r>
          </w:p>
        </w:tc>
        <w:tc>
          <w:tcPr>
            <w:tcW w:w="764" w:type="pct"/>
            <w:hideMark/>
          </w:tcPr>
          <w:p w14:paraId="451667CA"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Rhynchobatus</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djiddensis</w:t>
            </w:r>
            <w:proofErr w:type="spellEnd"/>
          </w:p>
        </w:tc>
        <w:tc>
          <w:tcPr>
            <w:tcW w:w="719" w:type="pct"/>
            <w:hideMark/>
          </w:tcPr>
          <w:p w14:paraId="07989923"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Giant</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guitarfish</w:t>
            </w:r>
            <w:proofErr w:type="spellEnd"/>
          </w:p>
        </w:tc>
        <w:tc>
          <w:tcPr>
            <w:tcW w:w="719" w:type="pct"/>
            <w:hideMark/>
          </w:tcPr>
          <w:p w14:paraId="043784A6"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Poisson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paille</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à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pois</w:t>
            </w:r>
            <w:proofErr w:type="spellEnd"/>
          </w:p>
        </w:tc>
        <w:tc>
          <w:tcPr>
            <w:tcW w:w="682" w:type="pct"/>
            <w:hideMark/>
          </w:tcPr>
          <w:p w14:paraId="60E878D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w:t>
            </w:r>
          </w:p>
        </w:tc>
      </w:tr>
      <w:tr w:rsidR="00A32203" w:rsidRPr="00074250" w14:paraId="64036EB9"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162180AA"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Sin constancia</w:t>
            </w:r>
          </w:p>
        </w:tc>
        <w:tc>
          <w:tcPr>
            <w:tcW w:w="766" w:type="pct"/>
            <w:hideMark/>
          </w:tcPr>
          <w:p w14:paraId="1E51CA29"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N/A</w:t>
            </w:r>
          </w:p>
        </w:tc>
        <w:tc>
          <w:tcPr>
            <w:tcW w:w="422" w:type="pct"/>
            <w:hideMark/>
          </w:tcPr>
          <w:p w14:paraId="42C5368D"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N/A</w:t>
            </w:r>
          </w:p>
        </w:tc>
        <w:tc>
          <w:tcPr>
            <w:tcW w:w="764" w:type="pct"/>
            <w:hideMark/>
          </w:tcPr>
          <w:p w14:paraId="22CA86C8"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Rhynchobatus</w:t>
            </w:r>
            <w:proofErr w:type="spellEnd"/>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Cs w:val="18"/>
                <w:u w:color="000000"/>
                <w:bdr w:val="nil"/>
                <w:lang w:val="es-ES" w:eastAsia="es-ES"/>
                <w14:textOutline w14:w="0" w14:cap="flat" w14:cmpd="sng" w14:algn="ctr">
                  <w14:noFill/>
                  <w14:prstDash w14:val="solid"/>
                  <w14:bevel/>
                </w14:textOutline>
              </w:rPr>
              <w:t>laevis</w:t>
            </w:r>
            <w:proofErr w:type="spellEnd"/>
          </w:p>
        </w:tc>
        <w:tc>
          <w:tcPr>
            <w:tcW w:w="719" w:type="pct"/>
            <w:hideMark/>
          </w:tcPr>
          <w:p w14:paraId="4EA16C0A"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Smoothnose</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Wedgefish</w:t>
            </w:r>
            <w:proofErr w:type="spellEnd"/>
          </w:p>
        </w:tc>
        <w:tc>
          <w:tcPr>
            <w:tcW w:w="719" w:type="pct"/>
            <w:hideMark/>
          </w:tcPr>
          <w:p w14:paraId="21BA9D1E"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color w:val="000000"/>
                <w:szCs w:val="18"/>
                <w:u w:color="000000"/>
                <w:bdr w:val="nil"/>
                <w:lang w:val="es-ES" w:eastAsia="es-ES"/>
                <w14:textOutline w14:w="0" w14:cap="flat" w14:cmpd="sng" w14:algn="ctr">
                  <w14:noFill/>
                  <w14:prstDash w14:val="solid"/>
                  <w14:bevel/>
                </w14:textOutline>
              </w:rPr>
              <w:t>N/A</w:t>
            </w:r>
          </w:p>
        </w:tc>
        <w:tc>
          <w:tcPr>
            <w:tcW w:w="682" w:type="pct"/>
            <w:noWrap/>
            <w:hideMark/>
          </w:tcPr>
          <w:p w14:paraId="0F2A4771" w14:textId="77777777" w:rsidR="00A32203" w:rsidRPr="00074250"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p>
        </w:tc>
      </w:tr>
      <w:bookmarkEnd w:id="4"/>
    </w:tbl>
    <w:p w14:paraId="23154B5A" w14:textId="77777777" w:rsidR="00620032" w:rsidRPr="00074250" w:rsidRDefault="00620032" w:rsidP="00A32203">
      <w:pPr>
        <w:ind w:right="26"/>
        <w:jc w:val="both"/>
        <w:rPr>
          <w:rFonts w:cs="Arial"/>
          <w:bCs/>
          <w:iCs/>
          <w:sz w:val="22"/>
          <w:szCs w:val="22"/>
          <w:lang w:val="es-ES"/>
        </w:rPr>
        <w:sectPr w:rsidR="00620032" w:rsidRPr="00074250" w:rsidSect="00A32203">
          <w:headerReference w:type="even" r:id="rId27"/>
          <w:headerReference w:type="default" r:id="rId28"/>
          <w:pgSz w:w="16838" w:h="11906" w:orient="landscape" w:code="9"/>
          <w:pgMar w:top="1138" w:right="1138" w:bottom="1138" w:left="1138" w:header="706" w:footer="706" w:gutter="0"/>
          <w:cols w:space="720"/>
          <w:titlePg/>
          <w:docGrid w:linePitch="245"/>
        </w:sectPr>
      </w:pPr>
    </w:p>
    <w:p w14:paraId="7D92B66D" w14:textId="77777777" w:rsidR="00620032" w:rsidRPr="00074250" w:rsidRDefault="00620032" w:rsidP="002C7D6A">
      <w:pPr>
        <w:widowControl/>
        <w:numPr>
          <w:ilvl w:val="1"/>
          <w:numId w:val="12"/>
        </w:numPr>
        <w:pBdr>
          <w:top w:val="nil"/>
          <w:left w:val="nil"/>
          <w:bottom w:val="nil"/>
          <w:right w:val="nil"/>
          <w:between w:val="nil"/>
          <w:bar w:val="nil"/>
        </w:pBdr>
        <w:autoSpaceDE/>
        <w:autoSpaceDN/>
        <w:adjustRightInd/>
        <w:jc w:val="both"/>
        <w:rPr>
          <w:rFonts w:cs="Arial"/>
          <w:b/>
          <w:bCs/>
          <w:sz w:val="22"/>
          <w:szCs w:val="22"/>
          <w:lang w:val="es-ES"/>
        </w:rPr>
      </w:pPr>
      <w:r w:rsidRPr="00074250">
        <w:rPr>
          <w:rFonts w:cs="Arial"/>
          <w:b/>
          <w:bCs/>
          <w:sz w:val="22"/>
          <w:szCs w:val="22"/>
          <w:lang w:val="es-ES"/>
        </w:rPr>
        <w:lastRenderedPageBreak/>
        <w:t>Relativo a los datos</w:t>
      </w:r>
    </w:p>
    <w:p w14:paraId="006D81E4" w14:textId="77777777" w:rsidR="00620032" w:rsidRPr="00074250" w:rsidRDefault="00620032" w:rsidP="00E14786">
      <w:pPr>
        <w:widowControl/>
        <w:pBdr>
          <w:top w:val="nil"/>
          <w:left w:val="nil"/>
          <w:bottom w:val="nil"/>
          <w:right w:val="nil"/>
          <w:between w:val="nil"/>
          <w:bar w:val="nil"/>
        </w:pBdr>
        <w:autoSpaceDE/>
        <w:autoSpaceDN/>
        <w:adjustRightInd/>
        <w:ind w:left="360"/>
        <w:jc w:val="both"/>
        <w:rPr>
          <w:rFonts w:cs="Arial"/>
          <w:b/>
          <w:bCs/>
          <w:sz w:val="22"/>
          <w:szCs w:val="22"/>
          <w:lang w:val="es-ES"/>
        </w:rPr>
      </w:pPr>
    </w:p>
    <w:p w14:paraId="041CB8E9" w14:textId="08E0C8A0" w:rsidR="00620032" w:rsidRPr="00074250" w:rsidRDefault="00620032"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Algunas categorías de especies se han excluido o considerado como una categoría "genérica y en conjunto" dependiendo de la Zona FAO. Por ejemplo, los desembarcos de “Mielga" -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Squalus</w:t>
      </w:r>
      <w:proofErr w:type="spellEnd"/>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acanthias</w:t>
      </w:r>
      <w:proofErr w:type="spellEnd"/>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 xml:space="preserve"> </w:t>
      </w: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se han excluido de las Zonas FAO 41, 81 y 87 ya que solo se han enumerado las poblaciones del hemisferio norte en el Anexo 1 del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MdE</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sobre Tiburones. De igual forma, las categorías conjuntas que contendrían al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Squalus</w:t>
      </w:r>
      <w:proofErr w:type="spellEnd"/>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acanthias</w:t>
      </w:r>
      <w:proofErr w:type="spellEnd"/>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 xml:space="preserve"> </w:t>
      </w: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(p.ej., "Galludos y tollos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nep</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"Galludos, tollos y musolas",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Squaliformes</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nep</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"Mielgas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nep</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w:t>
      </w:r>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 xml:space="preserve"> </w:t>
      </w: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se han considerado inciertos para el hemisferio norte, mientras que en el hemisferio sur no son considerados una especie enumerada en el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MdE</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sobre Tiburones para las Zonas FAO. Los desembarcos de "Jaquetones y Marrajos sardineros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nep</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se han considerado una "categoría de desembarco conjunta y genérica" para las Zonas FAO 61 y 67 (Norte del Pacífico), teniendo en cuenta que el Marrajo salmón—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Lamna</w:t>
      </w:r>
      <w:proofErr w:type="spellEnd"/>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ditropis</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no aparece en el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MdE</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sobre Tiburones. Se consideraba que los desembarcos de "Angelotes, peces ángel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nep</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solo contenían especies enumeradas en el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MdE</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sobre tiburones y la CMS en el Atlántico nororiental (Zona FAO 27) dado que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Squatina</w:t>
      </w:r>
      <w:proofErr w:type="spellEnd"/>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squatina</w:t>
      </w:r>
      <w:proofErr w:type="spellEnd"/>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 xml:space="preserve"> </w:t>
      </w: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es la única especie de angelote en esa zona.</w:t>
      </w:r>
    </w:p>
    <w:p w14:paraId="327D54B4" w14:textId="77777777" w:rsidR="00E14786" w:rsidRPr="00074250" w:rsidRDefault="00E14786"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p>
    <w:p w14:paraId="5CEE7525" w14:textId="0D27482C" w:rsidR="00620032" w:rsidRPr="00074250" w:rsidRDefault="00620032"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Para el análisis de las especies enumeradas en el Apéndice I de la CMS, se han excluido los desembarcos notificados de estos años y con anterioridad al año de dicha enumeración. En concreto, el tiburón oceánico no se incluyó dado que ya estaba en 2020, mientras que los datos disponibles de este análisis para este último año fueron de 2019. De igual forma, los desembarcos del Angelote y el Pez guitarra común del Mediterráneo solo se han incluido a partir de 2017.</w:t>
      </w:r>
    </w:p>
    <w:p w14:paraId="37087E1A" w14:textId="77777777" w:rsidR="00E14786" w:rsidRPr="00074250" w:rsidRDefault="00E14786"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p>
    <w:p w14:paraId="4311021D" w14:textId="5BDA752C" w:rsidR="00620032" w:rsidRPr="00074250" w:rsidRDefault="00620032"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Los datos de desembarcos notificados para el Angelote en el Atlántico nororiental (Zona FAO 27), y en 2018, fueron de una magnitud no considerada viable (5792 toneladas), y estos datos, por ello, fueron excluidos del análisis [Véase la sección 6.b para un examen detallado].</w:t>
      </w:r>
    </w:p>
    <w:p w14:paraId="66CE0EFF" w14:textId="77777777" w:rsidR="00E14786" w:rsidRPr="00074250" w:rsidRDefault="00E14786"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p>
    <w:p w14:paraId="7E8ADBD0" w14:textId="77777777" w:rsidR="00620032" w:rsidRPr="00074250" w:rsidRDefault="00620032"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Para los fines de este estudio, se han incluido, en general, los desembarcos en territorios en ultramar (p. ej., los desembarcos de Nueva Caledonia se han incluido para Francia), mientras que los estados no miembros de la ONU y algunos territorios, cuya jurisdicción se puso en duda, se han excluido (p. ej., Palestina, islas Malvinas). En los desembarcos desde China se incluyeron los de Hong Kong y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Taiwan</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La descripción y uso de fronteras, nombres geográficos y otros datos relacionados y mostrados en este documento no suponen necesariamente el respaldo o aceptación oficial por parte de la ONU.</w:t>
      </w:r>
    </w:p>
    <w:p w14:paraId="4A419A7D" w14:textId="77777777" w:rsidR="00620032" w:rsidRPr="00074250" w:rsidRDefault="00620032" w:rsidP="00E14786">
      <w:pPr>
        <w:widowControl/>
        <w:pBdr>
          <w:top w:val="nil"/>
          <w:left w:val="nil"/>
          <w:bottom w:val="nil"/>
          <w:right w:val="nil"/>
          <w:between w:val="nil"/>
          <w:bar w:val="nil"/>
        </w:pBdr>
        <w:autoSpaceDE/>
        <w:autoSpaceDN/>
        <w:adjustRightInd/>
        <w:ind w:firstLine="360"/>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p>
    <w:p w14:paraId="51D07C89" w14:textId="0A2229B4" w:rsidR="00620032" w:rsidRPr="00074250" w:rsidRDefault="00620032" w:rsidP="00FA667F">
      <w:pPr>
        <w:widowControl/>
        <w:pBdr>
          <w:top w:val="nil"/>
          <w:left w:val="nil"/>
          <w:bottom w:val="nil"/>
          <w:right w:val="nil"/>
          <w:between w:val="nil"/>
          <w:bar w:val="nil"/>
        </w:pBdr>
        <w:autoSpaceDE/>
        <w:autoSpaceDN/>
        <w:adjustRightInd/>
        <w:jc w:val="both"/>
        <w:outlineLvl w:val="1"/>
        <w:rPr>
          <w:rFonts w:cs="Arial"/>
          <w:b/>
          <w:bCs/>
          <w:sz w:val="22"/>
          <w:u w:val="single"/>
          <w:lang w:val="es-ES"/>
        </w:rPr>
      </w:pPr>
      <w:bookmarkStart w:id="6" w:name="Section3"/>
      <w:r w:rsidRPr="00074250">
        <w:rPr>
          <w:rFonts w:cs="Arial"/>
          <w:b/>
          <w:bCs/>
          <w:sz w:val="22"/>
          <w:u w:val="single"/>
          <w:lang w:val="es-ES"/>
        </w:rPr>
        <w:t>Desembarcos informados de especies de tiburones y rayas enumeradas en el Apéndice I de la CMS</w:t>
      </w:r>
    </w:p>
    <w:p w14:paraId="5BA6826E" w14:textId="77777777" w:rsidR="00E14786" w:rsidRPr="00074250" w:rsidRDefault="00E14786" w:rsidP="00E14786">
      <w:pPr>
        <w:widowControl/>
        <w:pBdr>
          <w:top w:val="nil"/>
          <w:left w:val="nil"/>
          <w:bottom w:val="nil"/>
          <w:right w:val="nil"/>
          <w:between w:val="nil"/>
          <w:bar w:val="nil"/>
        </w:pBdr>
        <w:autoSpaceDE/>
        <w:autoSpaceDN/>
        <w:adjustRightInd/>
        <w:ind w:left="360" w:hanging="360"/>
        <w:jc w:val="both"/>
        <w:outlineLvl w:val="1"/>
        <w:rPr>
          <w:rFonts w:cs="Arial"/>
          <w:b/>
          <w:bCs/>
          <w:sz w:val="22"/>
          <w:u w:val="single"/>
          <w:lang w:val="es-ES"/>
        </w:rPr>
      </w:pPr>
    </w:p>
    <w:bookmarkEnd w:id="6"/>
    <w:p w14:paraId="4646666A" w14:textId="45399F0E" w:rsidR="00620032" w:rsidRPr="00074250" w:rsidRDefault="00620032" w:rsidP="00E14786">
      <w:pPr>
        <w:widowControl/>
        <w:pBdr>
          <w:top w:val="nil"/>
          <w:left w:val="nil"/>
          <w:bottom w:val="nil"/>
          <w:right w:val="nil"/>
          <w:between w:val="nil"/>
          <w:bar w:val="nil"/>
        </w:pBdr>
        <w:autoSpaceDE/>
        <w:autoSpaceDN/>
        <w:adjustRightInd/>
        <w:jc w:val="both"/>
        <w:outlineLvl w:val="2"/>
        <w:rPr>
          <w:rFonts w:cs="Arial"/>
          <w:b/>
          <w:bCs/>
          <w:sz w:val="22"/>
          <w:szCs w:val="22"/>
          <w:lang w:val="es-ES"/>
        </w:rPr>
      </w:pPr>
      <w:r w:rsidRPr="00074250">
        <w:rPr>
          <w:rFonts w:cs="Arial"/>
          <w:b/>
          <w:bCs/>
          <w:sz w:val="22"/>
          <w:szCs w:val="22"/>
          <w:lang w:val="es-ES"/>
        </w:rPr>
        <w:t>3.</w:t>
      </w:r>
      <w:r w:rsidR="00FA667F">
        <w:rPr>
          <w:rFonts w:cs="Arial"/>
          <w:b/>
          <w:bCs/>
          <w:sz w:val="22"/>
          <w:szCs w:val="22"/>
          <w:lang w:val="es-ES"/>
        </w:rPr>
        <w:t>1</w:t>
      </w:r>
      <w:r w:rsidRPr="00074250">
        <w:rPr>
          <w:rFonts w:cs="Arial"/>
          <w:b/>
          <w:bCs/>
          <w:sz w:val="22"/>
          <w:szCs w:val="22"/>
          <w:lang w:val="es-ES"/>
        </w:rPr>
        <w:tab/>
        <w:t>Antecedentes</w:t>
      </w:r>
    </w:p>
    <w:p w14:paraId="4A4A30CD" w14:textId="77777777" w:rsidR="00E14786" w:rsidRPr="00074250" w:rsidRDefault="00E14786" w:rsidP="00E14786">
      <w:pPr>
        <w:widowControl/>
        <w:pBdr>
          <w:top w:val="nil"/>
          <w:left w:val="nil"/>
          <w:bottom w:val="nil"/>
          <w:right w:val="nil"/>
          <w:between w:val="nil"/>
          <w:bar w:val="nil"/>
        </w:pBdr>
        <w:autoSpaceDE/>
        <w:autoSpaceDN/>
        <w:adjustRightInd/>
        <w:jc w:val="both"/>
        <w:outlineLvl w:val="2"/>
        <w:rPr>
          <w:rFonts w:cs="Arial"/>
          <w:b/>
          <w:bCs/>
          <w:sz w:val="22"/>
          <w:szCs w:val="22"/>
          <w:lang w:val="es-ES"/>
        </w:rPr>
      </w:pPr>
    </w:p>
    <w:p w14:paraId="15D3D7C3" w14:textId="77777777" w:rsidR="00620032" w:rsidRPr="00074250" w:rsidRDefault="00620032"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Las especies enumeradas en el Apéndice I de la Convención de Especies Migratorias (CMS) deben ser protegidas estrictamente por las Partes de la CMS y los Signatarios del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MdE</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sobre Tiburones. Entre otras medidas de conservación, esta obligación incluye prohibir de forma estricta la captura de las especies enumeradas en el Apéndice I con un ámbito muy restringido de exenciones. </w:t>
      </w:r>
    </w:p>
    <w:p w14:paraId="7B0912DA" w14:textId="77777777" w:rsidR="00620032" w:rsidRPr="00074250" w:rsidRDefault="00620032"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Existen 20 especies válidas de tiburones y rayas que actualmente están enumeradas en el Apéndice I de la CMS debido a su alto riesgo de extinción en libertad en el futuro próximo. Estas especies incluyen las cinco especies de peces sierra (familia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Pristidae</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mobúlidas</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(11 especies de manta y diablos, nueve de ellas se consideran actualmente válidas), Tiburón oceánico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Carcharhinus</w:t>
      </w:r>
      <w:proofErr w:type="spellEnd"/>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longimanus</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Angelote </w:t>
      </w:r>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Squatina</w:t>
      </w:r>
      <w:proofErr w:type="spellEnd"/>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squatina</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Tiburón ballena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Rhincodon</w:t>
      </w:r>
      <w:proofErr w:type="spellEnd"/>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typus</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Tiburón peregrino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Cetorhinus</w:t>
      </w:r>
      <w:proofErr w:type="spellEnd"/>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maximus</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Tiburón blanco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Carcharodon</w:t>
      </w:r>
      <w:proofErr w:type="spellEnd"/>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carcharias</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y, para el mar Mediterráneo, el Pez guitarra común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Rhinobatos</w:t>
      </w:r>
      <w:proofErr w:type="spellEnd"/>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rhinobatos</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w:t>
      </w:r>
    </w:p>
    <w:p w14:paraId="26252C2F" w14:textId="77777777" w:rsidR="00620032" w:rsidRPr="00074250" w:rsidRDefault="00620032"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En consecuencia, dado que la captura está prohibida 90 días después de enumerar una especie, los desembarcos de estas especies hasta la fecha deben ser prohibidos de forma estricta por las Partes de la CMS y estas deberían fomentar y obligar a la liberación inmediata de estas especies cuando se capturan accidentalmente.</w:t>
      </w:r>
    </w:p>
    <w:p w14:paraId="7B1CCBA1" w14:textId="2E4B7B6E" w:rsidR="00FA667F" w:rsidRDefault="00FA667F">
      <w:pPr>
        <w:widowControl/>
        <w:autoSpaceDE/>
        <w:autoSpaceDN/>
        <w:adjustRightInd/>
        <w:spacing w:after="160" w:line="259" w:lineRule="auto"/>
        <w:rPr>
          <w:rFonts w:eastAsia="Arial Unicode MS" w:cs="Arial"/>
          <w:color w:val="000000"/>
          <w:sz w:val="22"/>
          <w:szCs w:val="22"/>
          <w:u w:color="000000"/>
          <w:bdr w:val="nil"/>
          <w:lang w:val="es-ES" w:eastAsia="en-GB"/>
          <w14:textOutline w14:w="0" w14:cap="flat" w14:cmpd="sng" w14:algn="ctr">
            <w14:noFill/>
            <w14:prstDash w14:val="solid"/>
            <w14:bevel/>
          </w14:textOutline>
        </w:rPr>
      </w:pPr>
      <w:r>
        <w:rPr>
          <w:rFonts w:eastAsia="Arial Unicode MS" w:cs="Arial"/>
          <w:color w:val="000000"/>
          <w:sz w:val="22"/>
          <w:szCs w:val="22"/>
          <w:u w:color="000000"/>
          <w:bdr w:val="nil"/>
          <w:lang w:val="es-ES" w:eastAsia="en-GB"/>
          <w14:textOutline w14:w="0" w14:cap="flat" w14:cmpd="sng" w14:algn="ctr">
            <w14:noFill/>
            <w14:prstDash w14:val="solid"/>
            <w14:bevel/>
          </w14:textOutline>
        </w:rPr>
        <w:br w:type="page"/>
      </w:r>
    </w:p>
    <w:p w14:paraId="1ABCE769" w14:textId="01AF82CD" w:rsidR="00620032" w:rsidRPr="00074250" w:rsidRDefault="00620032" w:rsidP="00E14786">
      <w:pPr>
        <w:widowControl/>
        <w:pBdr>
          <w:top w:val="nil"/>
          <w:left w:val="nil"/>
          <w:bottom w:val="nil"/>
          <w:right w:val="nil"/>
          <w:between w:val="nil"/>
          <w:bar w:val="nil"/>
        </w:pBdr>
        <w:autoSpaceDE/>
        <w:autoSpaceDN/>
        <w:adjustRightInd/>
        <w:jc w:val="both"/>
        <w:outlineLvl w:val="2"/>
        <w:rPr>
          <w:rFonts w:cs="Arial"/>
          <w:b/>
          <w:bCs/>
          <w:sz w:val="22"/>
          <w:szCs w:val="22"/>
          <w:lang w:val="es-ES"/>
        </w:rPr>
      </w:pPr>
      <w:r w:rsidRPr="00074250">
        <w:rPr>
          <w:rFonts w:cs="Arial"/>
          <w:b/>
          <w:bCs/>
          <w:sz w:val="22"/>
          <w:szCs w:val="22"/>
          <w:lang w:val="es-ES"/>
        </w:rPr>
        <w:lastRenderedPageBreak/>
        <w:t>3.</w:t>
      </w:r>
      <w:r w:rsidR="00FA667F">
        <w:rPr>
          <w:rFonts w:cs="Arial"/>
          <w:b/>
          <w:bCs/>
          <w:sz w:val="22"/>
          <w:szCs w:val="22"/>
          <w:lang w:val="es-ES"/>
        </w:rPr>
        <w:t>2</w:t>
      </w:r>
      <w:r w:rsidRPr="00074250">
        <w:rPr>
          <w:rFonts w:cs="Arial"/>
          <w:b/>
          <w:bCs/>
          <w:sz w:val="22"/>
          <w:szCs w:val="22"/>
          <w:lang w:val="es-ES"/>
        </w:rPr>
        <w:tab/>
        <w:t>Resultados</w:t>
      </w:r>
    </w:p>
    <w:p w14:paraId="133AD425" w14:textId="77777777" w:rsidR="00E14786" w:rsidRPr="00074250" w:rsidRDefault="00E14786" w:rsidP="00E14786">
      <w:pPr>
        <w:widowControl/>
        <w:pBdr>
          <w:top w:val="nil"/>
          <w:left w:val="nil"/>
          <w:bottom w:val="nil"/>
          <w:right w:val="nil"/>
          <w:between w:val="nil"/>
          <w:bar w:val="nil"/>
        </w:pBdr>
        <w:autoSpaceDE/>
        <w:autoSpaceDN/>
        <w:adjustRightInd/>
        <w:jc w:val="both"/>
        <w:outlineLvl w:val="2"/>
        <w:rPr>
          <w:rFonts w:cs="Arial"/>
          <w:b/>
          <w:bCs/>
          <w:sz w:val="22"/>
          <w:szCs w:val="22"/>
          <w:lang w:val="es-ES"/>
        </w:rPr>
      </w:pPr>
    </w:p>
    <w:p w14:paraId="5C066DCD" w14:textId="669928FF" w:rsidR="00620032" w:rsidRPr="00074250" w:rsidRDefault="00620032" w:rsidP="00E14786">
      <w:pPr>
        <w:contextualSpacing/>
        <w:jc w:val="both"/>
        <w:rPr>
          <w:rFonts w:cs="Arial"/>
          <w:sz w:val="22"/>
          <w:szCs w:val="22"/>
          <w:lang w:val="es-ES"/>
        </w:rPr>
      </w:pPr>
      <w:r w:rsidRPr="00074250">
        <w:rPr>
          <w:rFonts w:cs="Arial"/>
          <w:sz w:val="22"/>
          <w:szCs w:val="22"/>
          <w:lang w:val="es-ES"/>
        </w:rPr>
        <w:t xml:space="preserve">De 2015 a 2019, una media de 7901 toneladas de tiburones y rayas enumerados en el Apéndice I han sido notificadas a nivel mundial anualmente (excluyendo los desembarcos notificados del Tiburón oceánico antes de su </w:t>
      </w:r>
      <w:proofErr w:type="spellStart"/>
      <w:r w:rsidRPr="00074250">
        <w:rPr>
          <w:rFonts w:cs="Arial"/>
          <w:sz w:val="22"/>
          <w:szCs w:val="22"/>
          <w:lang w:val="es-ES"/>
        </w:rPr>
        <w:t>eumeración</w:t>
      </w:r>
      <w:proofErr w:type="spellEnd"/>
      <w:r w:rsidRPr="00074250">
        <w:rPr>
          <w:rFonts w:cs="Arial"/>
          <w:sz w:val="22"/>
          <w:szCs w:val="22"/>
          <w:lang w:val="es-ES"/>
        </w:rPr>
        <w:t xml:space="preserve"> en 2020, el Angelote y el Pez guitarra común antes de ser incluidos en 2017, y los desembarcos del Angelote notificados por Francia en 2018 debido a la alta similitud </w:t>
      </w:r>
      <w:proofErr w:type="gramStart"/>
      <w:r w:rsidRPr="00074250">
        <w:rPr>
          <w:rFonts w:cs="Arial"/>
          <w:sz w:val="22"/>
          <w:szCs w:val="22"/>
          <w:lang w:val="es-ES"/>
        </w:rPr>
        <w:t>del mismo</w:t>
      </w:r>
      <w:proofErr w:type="gramEnd"/>
      <w:r w:rsidRPr="00074250">
        <w:rPr>
          <w:rFonts w:cs="Arial"/>
          <w:sz w:val="22"/>
          <w:szCs w:val="22"/>
          <w:lang w:val="es-ES"/>
        </w:rPr>
        <w:t xml:space="preserve"> siendo un error de entrada). Un total de nueve Partes de la CMS y una ajena a ella contribuyeron a los desembarcos notificados (Figura 1, </w:t>
      </w:r>
      <w:hyperlink r:id="rId29" w:history="1">
        <w:r w:rsidRPr="00074250">
          <w:rPr>
            <w:rFonts w:cs="Arial"/>
            <w:color w:val="0000FF"/>
            <w:sz w:val="22"/>
            <w:szCs w:val="22"/>
            <w:u w:val="single"/>
            <w:lang w:val="es-ES"/>
          </w:rPr>
          <w:t>Información complementaria 1</w:t>
        </w:r>
      </w:hyperlink>
      <w:r w:rsidRPr="00074250">
        <w:rPr>
          <w:rFonts w:cs="Arial"/>
          <w:sz w:val="22"/>
          <w:szCs w:val="22"/>
          <w:lang w:val="es-ES"/>
        </w:rPr>
        <w:t>). A pesar de los desembarcos notificados extendidos de las especies enumeradas en el Apéndice I por las distintas Partes de la CMS, los desembarcos informados de las Partes de la CMS contribuyeron solo a un 21 % del total. Esto se debió al registro sustancial de los desembarcos de especies enumeradas en el Apéndice I de la CMS notificado por las No-Partes.</w:t>
      </w:r>
    </w:p>
    <w:p w14:paraId="7DAF3653" w14:textId="77777777" w:rsidR="00620032" w:rsidRPr="00074250" w:rsidRDefault="00620032" w:rsidP="00E14786">
      <w:pPr>
        <w:contextualSpacing/>
        <w:jc w:val="both"/>
        <w:rPr>
          <w:rFonts w:cs="Arial"/>
          <w:sz w:val="22"/>
          <w:szCs w:val="22"/>
          <w:lang w:val="es-ES"/>
        </w:rPr>
      </w:pPr>
    </w:p>
    <w:p w14:paraId="45C3FAB9" w14:textId="77777777" w:rsidR="00620032" w:rsidRPr="00074250" w:rsidRDefault="00620032" w:rsidP="00E14786">
      <w:pPr>
        <w:contextualSpacing/>
        <w:jc w:val="both"/>
        <w:rPr>
          <w:rFonts w:cs="Arial"/>
          <w:sz w:val="22"/>
          <w:szCs w:val="22"/>
          <w:lang w:val="es-ES"/>
        </w:rPr>
      </w:pPr>
      <w:r w:rsidRPr="00074250">
        <w:rPr>
          <w:rFonts w:cs="Arial"/>
          <w:sz w:val="22"/>
          <w:szCs w:val="22"/>
          <w:lang w:val="es-ES"/>
        </w:rPr>
        <w:t>La mayor proporción de desembarcos de especies enumeradas en el Apéndice I fueron de Mantas y Diablos (95 %; 7478 toneladas/año), seguidas por el Pez sierra (3 %; 259 de toneladas/año) y el Angelote (2 %; 162 toneladas/año) (Figura 1). No hubo desembarcos notificados de Tiburón ballena, de Tiburón peregrino o de Tiburón blanco. Del mismo modo, no se notificaron desembarcos de Pez guitarra común en el Mediterráneo desde que se enumeró la especie.</w:t>
      </w:r>
    </w:p>
    <w:p w14:paraId="0A766CB1" w14:textId="77777777" w:rsidR="00620032" w:rsidRPr="00074250" w:rsidRDefault="00620032" w:rsidP="00E14786">
      <w:pPr>
        <w:contextualSpacing/>
        <w:jc w:val="both"/>
        <w:rPr>
          <w:rFonts w:cs="Arial"/>
          <w:sz w:val="22"/>
          <w:szCs w:val="22"/>
          <w:lang w:val="es-ES"/>
        </w:rPr>
      </w:pPr>
    </w:p>
    <w:p w14:paraId="7C3481D6" w14:textId="538079CA" w:rsidR="00620032" w:rsidRPr="00074250" w:rsidRDefault="00620032" w:rsidP="00E14786">
      <w:pPr>
        <w:contextualSpacing/>
        <w:jc w:val="both"/>
        <w:rPr>
          <w:rFonts w:cs="Arial"/>
          <w:sz w:val="22"/>
          <w:szCs w:val="22"/>
          <w:lang w:val="es-ES"/>
        </w:rPr>
      </w:pPr>
      <w:r w:rsidRPr="00074250">
        <w:rPr>
          <w:rFonts w:cs="Arial"/>
          <w:sz w:val="22"/>
          <w:szCs w:val="22"/>
          <w:lang w:val="es-ES"/>
        </w:rPr>
        <w:t>Las Zonas FAO que notificaron la mayor magnitud de especies que figuran en el Apéndice I fueron: el Pacífico centro-oeste (Zona FAO 71; 66 %), océano Índico oriental (Zona FAO 57; 24 %) y océano Índico occidental (Zona FAO 51; 5 %). El resto de los desembarcos notificados fueron desde el Pacífico suroriental (Zona FAO 87; 2 %), mar Mediterráneo y Negro (Zona FAO 37; 2 %), y Atlántico nororiental (Zona FAO 51; &lt;1 %). Para más información, véase la</w:t>
      </w:r>
      <w:bookmarkStart w:id="7" w:name="_Hlk118740784"/>
      <w:r w:rsidR="007B18D5" w:rsidRPr="00074250">
        <w:rPr>
          <w:rFonts w:cs="Arial"/>
          <w:sz w:val="22"/>
          <w:szCs w:val="22"/>
          <w:lang w:val="es-ES"/>
        </w:rPr>
        <w:t xml:space="preserve"> </w:t>
      </w:r>
      <w:hyperlink r:id="rId30" w:history="1">
        <w:r w:rsidRPr="00074250">
          <w:rPr>
            <w:rFonts w:cs="Arial"/>
            <w:color w:val="0000FF"/>
            <w:sz w:val="22"/>
            <w:szCs w:val="22"/>
            <w:u w:val="single"/>
            <w:lang w:val="es-ES"/>
          </w:rPr>
          <w:t>Información Complementaria 1</w:t>
        </w:r>
      </w:hyperlink>
      <w:bookmarkEnd w:id="7"/>
      <w:r w:rsidRPr="00074250">
        <w:rPr>
          <w:rFonts w:cs="Arial"/>
          <w:sz w:val="22"/>
          <w:szCs w:val="22"/>
          <w:lang w:val="es-ES"/>
        </w:rPr>
        <w:t>.</w:t>
      </w:r>
    </w:p>
    <w:p w14:paraId="0565F026" w14:textId="77777777" w:rsidR="00620032" w:rsidRPr="00074250" w:rsidRDefault="00620032" w:rsidP="00E14786">
      <w:pPr>
        <w:widowControl/>
        <w:pBdr>
          <w:top w:val="nil"/>
          <w:left w:val="nil"/>
          <w:bottom w:val="nil"/>
          <w:right w:val="nil"/>
          <w:between w:val="nil"/>
          <w:bar w:val="nil"/>
        </w:pBdr>
        <w:autoSpaceDE/>
        <w:autoSpaceDN/>
        <w:adjustRightInd/>
        <w:jc w:val="both"/>
        <w:rPr>
          <w:rFonts w:eastAsia="Arial Unicode MS" w:cs="Arial"/>
          <w:b/>
          <w:bCs/>
          <w:color w:val="000000"/>
          <w:sz w:val="22"/>
          <w:szCs w:val="22"/>
          <w:u w:color="000000"/>
          <w:bdr w:val="nil"/>
          <w:lang w:val="es-ES" w:eastAsia="en-GB"/>
          <w14:textOutline w14:w="0" w14:cap="flat" w14:cmpd="sng" w14:algn="ctr">
            <w14:noFill/>
            <w14:prstDash w14:val="solid"/>
            <w14:bevel/>
          </w14:textOutline>
        </w:rPr>
      </w:pPr>
    </w:p>
    <w:p w14:paraId="32BA8998" w14:textId="77777777" w:rsidR="00620032" w:rsidRPr="00074250" w:rsidRDefault="00620032" w:rsidP="00E14786">
      <w:pPr>
        <w:keepNext/>
        <w:widowControl/>
        <w:pBdr>
          <w:top w:val="nil"/>
          <w:left w:val="nil"/>
          <w:bottom w:val="nil"/>
          <w:right w:val="nil"/>
          <w:between w:val="nil"/>
          <w:bar w:val="nil"/>
        </w:pBdr>
        <w:autoSpaceDE/>
        <w:autoSpaceDN/>
        <w:adjustRightInd/>
        <w:jc w:val="center"/>
        <w:rPr>
          <w:rFonts w:eastAsia="Arial Unicode MS" w:cs="Arial"/>
          <w:color w:val="000000"/>
          <w:sz w:val="22"/>
          <w:szCs w:val="22"/>
          <w:u w:color="000000"/>
          <w:bdr w:val="nil"/>
          <w:lang w:val="es-ES" w:eastAsia="en-GB"/>
          <w14:textOutline w14:w="0" w14:cap="flat" w14:cmpd="sng" w14:algn="ctr">
            <w14:noFill/>
            <w14:prstDash w14:val="solid"/>
            <w14:bevel/>
          </w14:textOutline>
        </w:rPr>
      </w:pPr>
      <w:r w:rsidRPr="00074250">
        <w:rPr>
          <w:rFonts w:eastAsia="Arial Unicode MS" w:cs="Arial"/>
          <w:noProof/>
          <w:color w:val="000000"/>
          <w:sz w:val="22"/>
          <w:szCs w:val="22"/>
          <w:u w:color="000000"/>
          <w:bdr w:val="nil"/>
          <w:lang w:val="es-ES" w:eastAsia="es-ES"/>
          <w14:textOutline w14:w="0" w14:cap="flat" w14:cmpd="sng" w14:algn="ctr">
            <w14:noFill/>
            <w14:prstDash w14:val="solid"/>
            <w14:bevel/>
          </w14:textOutline>
        </w:rPr>
        <w:drawing>
          <wp:inline distT="0" distB="0" distL="0" distR="0" wp14:anchorId="7C08F106" wp14:editId="7E136BBC">
            <wp:extent cx="5826329" cy="2720975"/>
            <wp:effectExtent l="0" t="0" r="0" b="3175"/>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officeArt object"/>
                    <pic:cNvPicPr>
                      <a:picLocks noChangeAspect="1"/>
                    </pic:cNvPicPr>
                  </pic:nvPicPr>
                  <pic:blipFill rotWithShape="1">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rcRect l="-7" t="1387" r="7" b="65594"/>
                    <a:stretch/>
                  </pic:blipFill>
                  <pic:spPr bwMode="auto">
                    <a:xfrm>
                      <a:off x="0" y="0"/>
                      <a:ext cx="5827367" cy="2721460"/>
                    </a:xfrm>
                    <a:prstGeom prst="rect">
                      <a:avLst/>
                    </a:prstGeom>
                    <a:ln>
                      <a:noFill/>
                    </a:ln>
                    <a:effectLst/>
                    <a:extLst>
                      <a:ext uri="{53640926-AAD7-44D8-BBD7-CCE9431645EC}">
                        <a14:shadowObscured xmlns:a14="http://schemas.microsoft.com/office/drawing/2010/main"/>
                      </a:ext>
                    </a:extLst>
                  </pic:spPr>
                </pic:pic>
              </a:graphicData>
            </a:graphic>
          </wp:inline>
        </w:drawing>
      </w: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w:t>
      </w: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br/>
      </w:r>
    </w:p>
    <w:p w14:paraId="393D5101" w14:textId="77777777" w:rsidR="00620032" w:rsidRPr="00074250" w:rsidRDefault="00620032" w:rsidP="00E14786">
      <w:pPr>
        <w:widowControl/>
        <w:pBdr>
          <w:top w:val="nil"/>
          <w:left w:val="nil"/>
          <w:bottom w:val="nil"/>
          <w:right w:val="nil"/>
          <w:between w:val="nil"/>
          <w:bar w:val="nil"/>
        </w:pBdr>
        <w:autoSpaceDE/>
        <w:autoSpaceDN/>
        <w:adjustRightInd/>
        <w:jc w:val="both"/>
        <w:rPr>
          <w:rFonts w:eastAsia="Arial Unicode MS" w:cs="Arial"/>
          <w:color w:val="000000"/>
          <w:szCs w:val="18"/>
          <w:u w:color="000000"/>
          <w:bdr w:val="nil"/>
          <w:lang w:val="es-ES" w:eastAsia="en-GB"/>
          <w14:textOutline w14:w="0" w14:cap="flat" w14:cmpd="sng" w14:algn="ctr">
            <w14:noFill/>
            <w14:prstDash w14:val="solid"/>
            <w14:bevel/>
          </w14:textOutline>
        </w:rPr>
      </w:pPr>
      <w:r w:rsidRPr="00074250">
        <w:rPr>
          <w:rFonts w:eastAsia="Arial Unicode MS" w:cs="Arial"/>
          <w:b/>
          <w:bCs/>
          <w:color w:val="000000"/>
          <w:szCs w:val="18"/>
          <w:u w:color="000000"/>
          <w:bdr w:val="nil"/>
          <w:lang w:val="es-ES" w:eastAsia="es-ES"/>
          <w14:textOutline w14:w="0" w14:cap="flat" w14:cmpd="sng" w14:algn="ctr">
            <w14:noFill/>
            <w14:prstDash w14:val="solid"/>
            <w14:bevel/>
          </w14:textOutline>
        </w:rPr>
        <w:t xml:space="preserve">Figura 1: Media anual de desembarcos de las especies enumeradas en el Apéndice I de la CMS, según se ha informado a la FAO (2015-2019; toneladas de peso vivo). </w:t>
      </w:r>
      <w:bookmarkStart w:id="8" w:name="_Hlk119396290"/>
      <w:r w:rsidRPr="00074250">
        <w:rPr>
          <w:rFonts w:eastAsia="Arial Unicode MS" w:cs="Arial"/>
          <w:color w:val="000000"/>
          <w:szCs w:val="18"/>
          <w:u w:color="000000"/>
          <w:bdr w:val="nil"/>
          <w:lang w:val="es-ES" w:eastAsia="es-ES"/>
          <w14:textOutline w14:w="0" w14:cap="flat" w14:cmpd="sng" w14:algn="ctr">
            <w14:noFill/>
            <w14:prstDash w14:val="solid"/>
            <w14:bevel/>
          </w14:textOutline>
        </w:rPr>
        <w:t>Etiquetas de las naciones codificadas por colores como: (</w:t>
      </w:r>
      <w:r w:rsidRPr="00074250">
        <w:rPr>
          <w:rFonts w:eastAsia="Arial Unicode MS" w:cs="Arial"/>
          <w:color w:val="1F3864"/>
          <w:szCs w:val="18"/>
          <w:u w:color="4472C4"/>
          <w:bdr w:val="nil"/>
          <w:lang w:val="es-ES" w:eastAsia="es-ES"/>
          <w14:textOutline w14:w="0" w14:cap="flat" w14:cmpd="sng" w14:algn="ctr">
            <w14:noFill/>
            <w14:prstDash w14:val="solid"/>
            <w14:bevel/>
          </w14:textOutline>
        </w:rPr>
        <w:t>Azul oscuro</w:t>
      </w:r>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Signatario del </w:t>
      </w:r>
      <w:proofErr w:type="spellStart"/>
      <w:r w:rsidRPr="00074250">
        <w:rPr>
          <w:rFonts w:eastAsia="Arial Unicode MS" w:cs="Arial"/>
          <w:color w:val="000000"/>
          <w:szCs w:val="18"/>
          <w:u w:color="000000"/>
          <w:bdr w:val="nil"/>
          <w:lang w:val="es-ES" w:eastAsia="es-ES"/>
          <w14:textOutline w14:w="0" w14:cap="flat" w14:cmpd="sng" w14:algn="ctr">
            <w14:noFill/>
            <w14:prstDash w14:val="solid"/>
            <w14:bevel/>
          </w14:textOutline>
        </w:rPr>
        <w:t>MdE</w:t>
      </w:r>
      <w:proofErr w:type="spellEnd"/>
      <w:r w:rsidRPr="00074250">
        <w:rPr>
          <w:rFonts w:eastAsia="Arial Unicode MS" w:cs="Arial"/>
          <w:color w:val="000000"/>
          <w:szCs w:val="18"/>
          <w:u w:color="000000"/>
          <w:bdr w:val="nil"/>
          <w:lang w:val="es-ES" w:eastAsia="es-ES"/>
          <w14:textOutline w14:w="0" w14:cap="flat" w14:cmpd="sng" w14:algn="ctr">
            <w14:noFill/>
            <w14:prstDash w14:val="solid"/>
            <w14:bevel/>
          </w14:textOutline>
        </w:rPr>
        <w:t xml:space="preserve"> Tiburones y Parte de la CMS; (</w:t>
      </w:r>
      <w:r w:rsidRPr="00074250">
        <w:rPr>
          <w:rFonts w:eastAsia="Arial Unicode MS" w:cs="Arial"/>
          <w:color w:val="007E39"/>
          <w:szCs w:val="18"/>
          <w:u w:color="70AD47"/>
          <w:bdr w:val="nil"/>
          <w:lang w:val="es-ES" w:eastAsia="es-ES"/>
          <w14:textOutline w14:w="0" w14:cap="flat" w14:cmpd="sng" w14:algn="ctr">
            <w14:noFill/>
            <w14:prstDash w14:val="solid"/>
            <w14:bevel/>
          </w14:textOutline>
        </w:rPr>
        <w:t>verde</w:t>
      </w:r>
      <w:r w:rsidRPr="00074250">
        <w:rPr>
          <w:rFonts w:eastAsia="Arial Unicode MS" w:cs="Arial"/>
          <w:color w:val="000000"/>
          <w:szCs w:val="18"/>
          <w:u w:color="000000"/>
          <w:bdr w:val="nil"/>
          <w:lang w:val="es-ES" w:eastAsia="es-ES"/>
          <w14:textOutline w14:w="0" w14:cap="flat" w14:cmpd="sng" w14:algn="ctr">
            <w14:noFill/>
            <w14:prstDash w14:val="solid"/>
            <w14:bevel/>
          </w14:textOutline>
        </w:rPr>
        <w:t>) solo Parte de la CMS; (</w:t>
      </w:r>
      <w:r w:rsidRPr="00074250">
        <w:rPr>
          <w:rFonts w:eastAsia="Arial Unicode MS" w:cs="Arial"/>
          <w:color w:val="767171"/>
          <w:szCs w:val="18"/>
          <w:u w:color="A6A6A6"/>
          <w:bdr w:val="nil"/>
          <w:lang w:val="es-ES" w:eastAsia="es-ES"/>
          <w14:textOutline w14:w="0" w14:cap="flat" w14:cmpd="sng" w14:algn="ctr">
            <w14:noFill/>
            <w14:prstDash w14:val="solid"/>
            <w14:bevel/>
          </w14:textOutline>
        </w:rPr>
        <w:t>gris</w:t>
      </w:r>
      <w:r w:rsidRPr="00074250">
        <w:rPr>
          <w:rFonts w:eastAsia="Arial Unicode MS" w:cs="Arial"/>
          <w:color w:val="000000"/>
          <w:szCs w:val="18"/>
          <w:u w:color="000000"/>
          <w:bdr w:val="nil"/>
          <w:lang w:val="es-ES" w:eastAsia="es-ES"/>
          <w14:textOutline w14:w="0" w14:cap="flat" w14:cmpd="sng" w14:algn="ctr">
            <w14:noFill/>
            <w14:prstDash w14:val="solid"/>
            <w14:bevel/>
          </w14:textOutline>
        </w:rPr>
        <w:t>) Estado del Área de Distribución.</w:t>
      </w:r>
      <w:bookmarkEnd w:id="8"/>
    </w:p>
    <w:p w14:paraId="00596377" w14:textId="77777777" w:rsidR="00620032" w:rsidRPr="00074250" w:rsidRDefault="00620032" w:rsidP="00E14786">
      <w:pPr>
        <w:widowControl/>
        <w:pBdr>
          <w:top w:val="nil"/>
          <w:left w:val="nil"/>
          <w:bottom w:val="nil"/>
          <w:right w:val="nil"/>
          <w:between w:val="nil"/>
          <w:bar w:val="nil"/>
        </w:pBdr>
        <w:autoSpaceDE/>
        <w:autoSpaceDN/>
        <w:adjustRightInd/>
        <w:jc w:val="both"/>
        <w:rPr>
          <w:rFonts w:eastAsia="Arial Unicode MS" w:cs="Arial"/>
          <w:b/>
          <w:bCs/>
          <w:color w:val="000000"/>
          <w:sz w:val="22"/>
          <w:szCs w:val="22"/>
          <w:u w:color="000000"/>
          <w:bdr w:val="nil"/>
          <w:lang w:val="es-ES" w:eastAsia="en-GB"/>
          <w14:textOutline w14:w="0" w14:cap="flat" w14:cmpd="sng" w14:algn="ctr">
            <w14:noFill/>
            <w14:prstDash w14:val="solid"/>
            <w14:bevel/>
          </w14:textOutline>
        </w:rPr>
      </w:pPr>
    </w:p>
    <w:p w14:paraId="00498661" w14:textId="4E97B8D9" w:rsidR="00620032" w:rsidRPr="00074250" w:rsidRDefault="00620032" w:rsidP="00E14786">
      <w:pPr>
        <w:widowControl/>
        <w:pBdr>
          <w:top w:val="nil"/>
          <w:left w:val="nil"/>
          <w:bottom w:val="nil"/>
          <w:right w:val="nil"/>
          <w:between w:val="nil"/>
          <w:bar w:val="nil"/>
        </w:pBdr>
        <w:autoSpaceDE/>
        <w:autoSpaceDN/>
        <w:adjustRightInd/>
        <w:jc w:val="both"/>
        <w:outlineLvl w:val="2"/>
        <w:rPr>
          <w:rFonts w:cs="Arial"/>
          <w:b/>
          <w:bCs/>
          <w:sz w:val="22"/>
          <w:szCs w:val="22"/>
          <w:lang w:val="es-ES"/>
        </w:rPr>
      </w:pPr>
      <w:bookmarkStart w:id="9" w:name="Section3c"/>
      <w:bookmarkStart w:id="10" w:name="_Hlk119396323"/>
      <w:bookmarkStart w:id="11" w:name="_Hlk122367543"/>
      <w:r w:rsidRPr="00074250">
        <w:rPr>
          <w:rFonts w:cs="Arial"/>
          <w:b/>
          <w:bCs/>
          <w:sz w:val="22"/>
          <w:szCs w:val="22"/>
          <w:lang w:val="es-ES"/>
        </w:rPr>
        <w:t>3.</w:t>
      </w:r>
      <w:r w:rsidR="00FA667F">
        <w:rPr>
          <w:rFonts w:cs="Arial"/>
          <w:b/>
          <w:bCs/>
          <w:sz w:val="22"/>
          <w:szCs w:val="22"/>
          <w:lang w:val="es-ES"/>
        </w:rPr>
        <w:t>3</w:t>
      </w:r>
      <w:r w:rsidRPr="00074250">
        <w:rPr>
          <w:rFonts w:cs="Arial"/>
          <w:b/>
          <w:bCs/>
          <w:sz w:val="22"/>
          <w:szCs w:val="22"/>
          <w:lang w:val="es-ES"/>
        </w:rPr>
        <w:tab/>
        <w:t>Observaciones y recomendaciones específicas</w:t>
      </w:r>
    </w:p>
    <w:p w14:paraId="01A5142B" w14:textId="77777777" w:rsidR="00E14786" w:rsidRPr="00074250" w:rsidRDefault="00E14786" w:rsidP="00E14786">
      <w:pPr>
        <w:widowControl/>
        <w:pBdr>
          <w:top w:val="nil"/>
          <w:left w:val="nil"/>
          <w:bottom w:val="nil"/>
          <w:right w:val="nil"/>
          <w:between w:val="nil"/>
          <w:bar w:val="nil"/>
        </w:pBdr>
        <w:autoSpaceDE/>
        <w:autoSpaceDN/>
        <w:adjustRightInd/>
        <w:jc w:val="both"/>
        <w:outlineLvl w:val="2"/>
        <w:rPr>
          <w:rFonts w:cs="Arial"/>
          <w:b/>
          <w:bCs/>
          <w:sz w:val="22"/>
          <w:szCs w:val="22"/>
          <w:lang w:val="es-ES"/>
        </w:rPr>
      </w:pPr>
    </w:p>
    <w:bookmarkEnd w:id="9"/>
    <w:p w14:paraId="1FB4E8EB" w14:textId="305ABAA9" w:rsidR="00620032" w:rsidRPr="00074250" w:rsidRDefault="00620032"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El desembarco de especies que figuran en el Apéndice I de la CMS puede socavar los esfuerzos de conservación globales de estas especies migratorias dado su estado de conservación. Por lo tanto, las Partes de la CMS y los Signatarios del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MdE</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sobre tiburones deberán priorizar y trabajar conjuntamente para supervisar los desembarcos notificados (que deberían ser casi cero). </w:t>
      </w:r>
      <w:bookmarkEnd w:id="10"/>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Las acciones específicas necesarias para alcanzar este objetivo pueden variar de nación a nación y requerir estudios de caso específicos. Las recomendaciones principales </w:t>
      </w:r>
      <w:proofErr w:type="gram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siguiendo</w:t>
      </w:r>
      <w:proofErr w:type="gram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este análisis inicial son:</w:t>
      </w:r>
    </w:p>
    <w:p w14:paraId="23B79F9E" w14:textId="77777777" w:rsidR="00E14786" w:rsidRPr="00074250" w:rsidRDefault="00E14786"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p>
    <w:p w14:paraId="7A5851A0" w14:textId="77777777" w:rsidR="00620032" w:rsidRPr="00074250" w:rsidRDefault="00620032" w:rsidP="002C7D6A">
      <w:pPr>
        <w:widowControl/>
        <w:numPr>
          <w:ilvl w:val="2"/>
          <w:numId w:val="17"/>
        </w:numPr>
        <w:pBdr>
          <w:top w:val="nil"/>
          <w:left w:val="nil"/>
          <w:bottom w:val="nil"/>
          <w:right w:val="nil"/>
          <w:between w:val="nil"/>
          <w:bar w:val="nil"/>
        </w:pBdr>
        <w:autoSpaceDE/>
        <w:autoSpaceDN/>
        <w:adjustRightInd/>
        <w:spacing w:after="80"/>
        <w:ind w:left="432"/>
        <w:jc w:val="both"/>
        <w:rPr>
          <w:rFonts w:cs="Arial"/>
          <w:sz w:val="22"/>
          <w:szCs w:val="22"/>
          <w:lang w:val="es-ES"/>
        </w:rPr>
      </w:pPr>
      <w:r w:rsidRPr="00074250">
        <w:rPr>
          <w:rFonts w:cs="Arial"/>
          <w:sz w:val="22"/>
          <w:szCs w:val="22"/>
          <w:lang w:val="es-ES"/>
        </w:rPr>
        <w:lastRenderedPageBreak/>
        <w:t>las Partes de la CMS deberían revisar su legislación nacional y promover revisiones cuando sea pertinente, para asegurar que las especies que figuran en el Apéndice I no puedan ser legalmente capturadas ni desembarcadas por cualquiera de sus flotas pesqueras y deberían ser liberadas inmediatamente si se capturan de modo accidental. Las pesquerías que interactúan con las especies que figuran en el Apéndice I deben incluir pesquerías a nivel comercial, artesanal, de subsistencia y recreativa y así pues se debe evaluar la normativa pertinente para cada sector.</w:t>
      </w:r>
    </w:p>
    <w:p w14:paraId="2940729B" w14:textId="77777777" w:rsidR="00620032" w:rsidRPr="00074250" w:rsidRDefault="00620032" w:rsidP="002C7D6A">
      <w:pPr>
        <w:widowControl/>
        <w:numPr>
          <w:ilvl w:val="2"/>
          <w:numId w:val="17"/>
        </w:numPr>
        <w:pBdr>
          <w:top w:val="nil"/>
          <w:left w:val="nil"/>
          <w:bottom w:val="nil"/>
          <w:right w:val="nil"/>
          <w:between w:val="nil"/>
          <w:bar w:val="nil"/>
        </w:pBdr>
        <w:autoSpaceDE/>
        <w:autoSpaceDN/>
        <w:adjustRightInd/>
        <w:spacing w:after="80"/>
        <w:ind w:left="432"/>
        <w:jc w:val="both"/>
        <w:rPr>
          <w:rFonts w:cs="Arial"/>
          <w:sz w:val="22"/>
          <w:szCs w:val="22"/>
          <w:lang w:val="es-ES"/>
        </w:rPr>
      </w:pPr>
      <w:r w:rsidRPr="00074250">
        <w:rPr>
          <w:rFonts w:cs="Arial"/>
          <w:sz w:val="22"/>
          <w:szCs w:val="22"/>
          <w:lang w:val="es-ES"/>
        </w:rPr>
        <w:t>Deben desarrollarse programas de formación y divulgación para concienciar a todos los sectores pesqueros pertinentes del estado de protección de las especies enumeradas en el Apéndice I y la importancia de estas medidas.</w:t>
      </w:r>
    </w:p>
    <w:p w14:paraId="28796FC3" w14:textId="77777777" w:rsidR="00620032" w:rsidRPr="00074250" w:rsidRDefault="00620032" w:rsidP="002C7D6A">
      <w:pPr>
        <w:widowControl/>
        <w:numPr>
          <w:ilvl w:val="2"/>
          <w:numId w:val="17"/>
        </w:numPr>
        <w:pBdr>
          <w:top w:val="nil"/>
          <w:left w:val="nil"/>
          <w:bottom w:val="nil"/>
          <w:right w:val="nil"/>
          <w:between w:val="nil"/>
          <w:bar w:val="nil"/>
        </w:pBdr>
        <w:autoSpaceDE/>
        <w:autoSpaceDN/>
        <w:adjustRightInd/>
        <w:spacing w:after="80"/>
        <w:ind w:left="432"/>
        <w:jc w:val="both"/>
        <w:rPr>
          <w:rFonts w:cs="Arial"/>
          <w:sz w:val="22"/>
          <w:szCs w:val="22"/>
          <w:lang w:val="es-ES"/>
        </w:rPr>
      </w:pPr>
      <w:r w:rsidRPr="00074250">
        <w:rPr>
          <w:rFonts w:cs="Arial"/>
          <w:sz w:val="22"/>
          <w:szCs w:val="22"/>
          <w:lang w:val="es-ES"/>
        </w:rPr>
        <w:t>Debería reforzarse la implementación y la supervisión del cumplimiento.</w:t>
      </w:r>
    </w:p>
    <w:p w14:paraId="55C1624E" w14:textId="77777777" w:rsidR="00620032" w:rsidRPr="00074250" w:rsidRDefault="00620032" w:rsidP="002C7D6A">
      <w:pPr>
        <w:widowControl/>
        <w:numPr>
          <w:ilvl w:val="2"/>
          <w:numId w:val="17"/>
        </w:numPr>
        <w:pBdr>
          <w:top w:val="nil"/>
          <w:left w:val="nil"/>
          <w:bottom w:val="nil"/>
          <w:right w:val="nil"/>
          <w:between w:val="nil"/>
          <w:bar w:val="nil"/>
        </w:pBdr>
        <w:autoSpaceDE/>
        <w:autoSpaceDN/>
        <w:adjustRightInd/>
        <w:spacing w:after="80"/>
        <w:ind w:left="432"/>
        <w:jc w:val="both"/>
        <w:rPr>
          <w:rFonts w:cs="Arial"/>
          <w:sz w:val="22"/>
          <w:szCs w:val="22"/>
          <w:lang w:val="es-ES"/>
        </w:rPr>
      </w:pPr>
      <w:r w:rsidRPr="00074250">
        <w:rPr>
          <w:rFonts w:cs="Arial"/>
          <w:sz w:val="22"/>
          <w:szCs w:val="22"/>
          <w:lang w:val="es-ES"/>
        </w:rPr>
        <w:t>Es necesaria la formación en técnicas seguras de liberación de especies que figuran en el Apéndice I.</w:t>
      </w:r>
    </w:p>
    <w:p w14:paraId="76E53BB3" w14:textId="77777777" w:rsidR="00620032" w:rsidRPr="00074250" w:rsidRDefault="00620032" w:rsidP="002C7D6A">
      <w:pPr>
        <w:widowControl/>
        <w:numPr>
          <w:ilvl w:val="2"/>
          <w:numId w:val="17"/>
        </w:numPr>
        <w:pBdr>
          <w:top w:val="nil"/>
          <w:left w:val="nil"/>
          <w:bottom w:val="nil"/>
          <w:right w:val="nil"/>
          <w:between w:val="nil"/>
          <w:bar w:val="nil"/>
        </w:pBdr>
        <w:autoSpaceDE/>
        <w:autoSpaceDN/>
        <w:adjustRightInd/>
        <w:spacing w:after="80"/>
        <w:ind w:left="432"/>
        <w:jc w:val="both"/>
        <w:rPr>
          <w:rFonts w:cs="Arial"/>
          <w:sz w:val="22"/>
          <w:szCs w:val="22"/>
          <w:lang w:val="es-ES"/>
        </w:rPr>
      </w:pPr>
      <w:r w:rsidRPr="00074250">
        <w:rPr>
          <w:rFonts w:cs="Arial"/>
          <w:sz w:val="22"/>
          <w:szCs w:val="22"/>
          <w:lang w:val="es-ES"/>
        </w:rPr>
        <w:t xml:space="preserve">Deberían identificarse las pesquerías nacionales con interacciones significativas con especies que figuran en el Apéndice I y fomentar las opciones para modificar las prácticas pesqueras para reducir las capturas incidentales, como modificaciones de las artes, vedas </w:t>
      </w:r>
      <w:proofErr w:type="gramStart"/>
      <w:r w:rsidRPr="00074250">
        <w:rPr>
          <w:rFonts w:cs="Arial"/>
          <w:sz w:val="22"/>
          <w:szCs w:val="22"/>
          <w:lang w:val="es-ES"/>
        </w:rPr>
        <w:t>espacio-temporales</w:t>
      </w:r>
      <w:proofErr w:type="gramEnd"/>
      <w:r w:rsidRPr="00074250">
        <w:rPr>
          <w:rFonts w:cs="Arial"/>
          <w:sz w:val="22"/>
          <w:szCs w:val="22"/>
          <w:lang w:val="es-ES"/>
        </w:rPr>
        <w:t xml:space="preserve"> y cambios en los despliegues pesqueros. La liberación de especies que figuran en el Apéndice I y su estado -vivo/muerto/liberado- debería registrarse en registros nacionales (a pesar de no ser notificado a la FAO). Se deben identificar y abordar las lagunas en la investigación sobre la supervivencia posterior a la liberación.</w:t>
      </w:r>
    </w:p>
    <w:p w14:paraId="53303B69" w14:textId="77777777" w:rsidR="00620032" w:rsidRPr="00074250" w:rsidRDefault="00620032" w:rsidP="002C7D6A">
      <w:pPr>
        <w:widowControl/>
        <w:numPr>
          <w:ilvl w:val="2"/>
          <w:numId w:val="18"/>
        </w:numPr>
        <w:pBdr>
          <w:top w:val="nil"/>
          <w:left w:val="nil"/>
          <w:bottom w:val="nil"/>
          <w:right w:val="nil"/>
          <w:between w:val="nil"/>
          <w:bar w:val="nil"/>
        </w:pBdr>
        <w:autoSpaceDE/>
        <w:autoSpaceDN/>
        <w:adjustRightInd/>
        <w:jc w:val="both"/>
        <w:rPr>
          <w:rFonts w:cs="Arial"/>
          <w:sz w:val="22"/>
          <w:szCs w:val="22"/>
          <w:lang w:val="es-ES"/>
        </w:rPr>
      </w:pPr>
      <w:r w:rsidRPr="00074250">
        <w:rPr>
          <w:rFonts w:cs="Arial"/>
          <w:sz w:val="22"/>
          <w:szCs w:val="22"/>
          <w:lang w:val="es-ES"/>
        </w:rPr>
        <w:t xml:space="preserve">Los Signatarios de </w:t>
      </w:r>
      <w:proofErr w:type="spellStart"/>
      <w:r w:rsidRPr="00074250">
        <w:rPr>
          <w:rFonts w:cs="Arial"/>
          <w:sz w:val="22"/>
          <w:szCs w:val="22"/>
          <w:lang w:val="es-ES"/>
        </w:rPr>
        <w:t>MdE</w:t>
      </w:r>
      <w:proofErr w:type="spellEnd"/>
      <w:r w:rsidRPr="00074250">
        <w:rPr>
          <w:rFonts w:cs="Arial"/>
          <w:sz w:val="22"/>
          <w:szCs w:val="22"/>
          <w:lang w:val="es-ES"/>
        </w:rPr>
        <w:t xml:space="preserve"> sobre tiburones y las Partes de la CMS que ya cumplen con la protección de las especies que figuran en el Apéndice I de la CMS deben priorizar esfuerzos colaborativos con las No-Partes para reducir o eliminar los desembarcos de especies que figuran en el Apéndice I de la CMS.</w:t>
      </w:r>
    </w:p>
    <w:bookmarkEnd w:id="11"/>
    <w:p w14:paraId="259B7826" w14:textId="77777777" w:rsidR="00620032" w:rsidRPr="00074250" w:rsidRDefault="00620032" w:rsidP="00E14786">
      <w:pPr>
        <w:ind w:left="2340"/>
        <w:contextualSpacing/>
        <w:jc w:val="both"/>
        <w:rPr>
          <w:rFonts w:cs="Arial"/>
          <w:sz w:val="22"/>
          <w:szCs w:val="22"/>
          <w:lang w:val="es-ES"/>
        </w:rPr>
      </w:pPr>
    </w:p>
    <w:p w14:paraId="585D1C73" w14:textId="1A6EEFD1" w:rsidR="00620032" w:rsidRPr="00074250" w:rsidRDefault="00620032" w:rsidP="00FA667F">
      <w:pPr>
        <w:widowControl/>
        <w:numPr>
          <w:ilvl w:val="0"/>
          <w:numId w:val="29"/>
        </w:numPr>
        <w:pBdr>
          <w:top w:val="nil"/>
          <w:left w:val="nil"/>
          <w:bottom w:val="nil"/>
          <w:right w:val="nil"/>
          <w:between w:val="nil"/>
          <w:bar w:val="nil"/>
        </w:pBdr>
        <w:autoSpaceDE/>
        <w:autoSpaceDN/>
        <w:adjustRightInd/>
        <w:jc w:val="both"/>
        <w:outlineLvl w:val="1"/>
        <w:rPr>
          <w:rFonts w:cs="Arial"/>
          <w:b/>
          <w:bCs/>
          <w:sz w:val="22"/>
          <w:szCs w:val="22"/>
          <w:u w:val="single"/>
          <w:lang w:val="es-ES"/>
        </w:rPr>
      </w:pPr>
      <w:bookmarkStart w:id="12" w:name="Section4"/>
      <w:r w:rsidRPr="00074250">
        <w:rPr>
          <w:rFonts w:cs="Arial"/>
          <w:b/>
          <w:bCs/>
          <w:sz w:val="22"/>
          <w:szCs w:val="22"/>
          <w:u w:val="single"/>
          <w:lang w:val="es-ES"/>
        </w:rPr>
        <w:t xml:space="preserve">Desembarcos notificados de especies enumeradas en el Anexo 1 del </w:t>
      </w:r>
      <w:proofErr w:type="spellStart"/>
      <w:r w:rsidRPr="00074250">
        <w:rPr>
          <w:rFonts w:cs="Arial"/>
          <w:b/>
          <w:bCs/>
          <w:sz w:val="22"/>
          <w:szCs w:val="22"/>
          <w:u w:val="single"/>
          <w:lang w:val="es-ES"/>
        </w:rPr>
        <w:t>MdE</w:t>
      </w:r>
      <w:proofErr w:type="spellEnd"/>
      <w:r w:rsidRPr="00074250">
        <w:rPr>
          <w:rFonts w:cs="Arial"/>
          <w:b/>
          <w:bCs/>
          <w:sz w:val="22"/>
          <w:szCs w:val="22"/>
          <w:u w:val="single"/>
          <w:lang w:val="es-ES"/>
        </w:rPr>
        <w:t xml:space="preserve"> sobre tiburones</w:t>
      </w:r>
    </w:p>
    <w:p w14:paraId="2CF2E1EB" w14:textId="77777777" w:rsidR="00E14786" w:rsidRPr="00074250" w:rsidRDefault="00E14786" w:rsidP="00E14786">
      <w:pPr>
        <w:widowControl/>
        <w:pBdr>
          <w:top w:val="nil"/>
          <w:left w:val="nil"/>
          <w:bottom w:val="nil"/>
          <w:right w:val="nil"/>
          <w:between w:val="nil"/>
          <w:bar w:val="nil"/>
        </w:pBdr>
        <w:autoSpaceDE/>
        <w:autoSpaceDN/>
        <w:adjustRightInd/>
        <w:ind w:left="360"/>
        <w:jc w:val="both"/>
        <w:outlineLvl w:val="1"/>
        <w:rPr>
          <w:rFonts w:cs="Arial"/>
          <w:b/>
          <w:bCs/>
          <w:sz w:val="22"/>
          <w:szCs w:val="22"/>
          <w:u w:val="single"/>
          <w:lang w:val="es-ES"/>
        </w:rPr>
      </w:pPr>
    </w:p>
    <w:bookmarkEnd w:id="12"/>
    <w:p w14:paraId="07194F08" w14:textId="3941F6FD" w:rsidR="00620032" w:rsidRPr="00074250" w:rsidRDefault="00620032" w:rsidP="00E14786">
      <w:pPr>
        <w:keepNext/>
        <w:keepLines/>
        <w:outlineLvl w:val="2"/>
        <w:rPr>
          <w:rFonts w:cs="Arial"/>
          <w:b/>
          <w:bCs/>
          <w:sz w:val="22"/>
          <w:szCs w:val="22"/>
          <w:lang w:val="es-ES"/>
        </w:rPr>
      </w:pPr>
      <w:r w:rsidRPr="00074250">
        <w:rPr>
          <w:rFonts w:cs="Arial"/>
          <w:b/>
          <w:bCs/>
          <w:sz w:val="22"/>
          <w:szCs w:val="22"/>
          <w:lang w:val="es-ES"/>
        </w:rPr>
        <w:t>4.</w:t>
      </w:r>
      <w:r w:rsidR="00FA667F">
        <w:rPr>
          <w:rFonts w:cs="Arial"/>
          <w:b/>
          <w:bCs/>
          <w:sz w:val="22"/>
          <w:szCs w:val="22"/>
          <w:lang w:val="es-ES"/>
        </w:rPr>
        <w:t>1</w:t>
      </w:r>
      <w:r w:rsidRPr="00074250">
        <w:rPr>
          <w:rFonts w:cs="Arial"/>
          <w:b/>
          <w:bCs/>
          <w:sz w:val="22"/>
          <w:szCs w:val="22"/>
          <w:lang w:val="es-ES"/>
        </w:rPr>
        <w:tab/>
        <w:t>Antecedentes</w:t>
      </w:r>
    </w:p>
    <w:p w14:paraId="78D7217A" w14:textId="77777777" w:rsidR="00E14786" w:rsidRPr="00074250" w:rsidRDefault="00E14786" w:rsidP="00E14786">
      <w:pPr>
        <w:keepNext/>
        <w:keepLines/>
        <w:outlineLvl w:val="2"/>
        <w:rPr>
          <w:rFonts w:cs="Arial"/>
          <w:b/>
          <w:bCs/>
          <w:sz w:val="22"/>
          <w:szCs w:val="22"/>
          <w:lang w:val="es-ES"/>
        </w:rPr>
      </w:pPr>
    </w:p>
    <w:p w14:paraId="70F9A4EB" w14:textId="6440C599" w:rsidR="00620032" w:rsidRPr="00074250" w:rsidRDefault="00620032"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Las especies enumeradas en el Anexo 1 del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MdE</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sobre tiburones necesitan gestionarse de forma sostenible a través de la conservación y gestión basada en la mejor ciencia disponible siguiendo las medidas indicadas en el Plan de Conservación del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MdE</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sobre tiburones.</w:t>
      </w:r>
    </w:p>
    <w:p w14:paraId="23E97738" w14:textId="77777777" w:rsidR="00E14786" w:rsidRPr="00074250" w:rsidRDefault="00E14786"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p>
    <w:p w14:paraId="3438C25C" w14:textId="77777777" w:rsidR="00620032" w:rsidRPr="00074250" w:rsidRDefault="00620032" w:rsidP="00E14786">
      <w:pPr>
        <w:contextualSpacing/>
        <w:jc w:val="both"/>
        <w:rPr>
          <w:rFonts w:cs="Arial"/>
          <w:sz w:val="22"/>
          <w:szCs w:val="22"/>
          <w:lang w:val="es-ES"/>
        </w:rPr>
      </w:pPr>
      <w:r w:rsidRPr="00074250">
        <w:rPr>
          <w:rFonts w:cs="Arial"/>
          <w:sz w:val="22"/>
          <w:szCs w:val="22"/>
          <w:lang w:val="es-ES"/>
        </w:rPr>
        <w:t xml:space="preserve">En la actualidad hay 35 especies válidas de tiburones y rayas migratorios enumeradas en el Anexo 1 del </w:t>
      </w:r>
      <w:proofErr w:type="spellStart"/>
      <w:r w:rsidRPr="00074250">
        <w:rPr>
          <w:rFonts w:cs="Arial"/>
          <w:sz w:val="22"/>
          <w:szCs w:val="22"/>
          <w:lang w:val="es-ES"/>
        </w:rPr>
        <w:t>MdE</w:t>
      </w:r>
      <w:proofErr w:type="spellEnd"/>
      <w:r w:rsidRPr="00074250">
        <w:rPr>
          <w:rFonts w:cs="Arial"/>
          <w:sz w:val="22"/>
          <w:szCs w:val="22"/>
          <w:lang w:val="es-ES"/>
        </w:rPr>
        <w:t xml:space="preserve"> sobre tiburones debido a la necesidad de colaboración internacional para mejorar su estado de conservación. Estas incluyen todas las especies enumeradas en el Apéndice I de la CMS. Las especies enumeradas en el Apéndice II de la CMS que también están incluidas en el </w:t>
      </w:r>
      <w:proofErr w:type="spellStart"/>
      <w:r w:rsidRPr="00074250">
        <w:rPr>
          <w:rFonts w:cs="Arial"/>
          <w:sz w:val="22"/>
          <w:szCs w:val="22"/>
          <w:lang w:val="es-ES"/>
        </w:rPr>
        <w:t>MdE</w:t>
      </w:r>
      <w:proofErr w:type="spellEnd"/>
      <w:r w:rsidRPr="00074250">
        <w:rPr>
          <w:rFonts w:cs="Arial"/>
          <w:sz w:val="22"/>
          <w:szCs w:val="22"/>
          <w:lang w:val="es-ES"/>
        </w:rPr>
        <w:t xml:space="preserve"> sobre tiburones son el </w:t>
      </w:r>
      <w:proofErr w:type="spellStart"/>
      <w:r w:rsidRPr="00074250">
        <w:rPr>
          <w:rFonts w:cs="Arial"/>
          <w:sz w:val="22"/>
          <w:szCs w:val="22"/>
          <w:lang w:val="es-ES"/>
        </w:rPr>
        <w:t>Rhynchobatus</w:t>
      </w:r>
      <w:proofErr w:type="spellEnd"/>
      <w:r w:rsidRPr="00074250">
        <w:rPr>
          <w:rFonts w:cs="Arial"/>
          <w:sz w:val="22"/>
          <w:szCs w:val="22"/>
          <w:lang w:val="es-ES"/>
        </w:rPr>
        <w:t xml:space="preserve"> </w:t>
      </w:r>
      <w:proofErr w:type="spellStart"/>
      <w:r w:rsidRPr="00074250">
        <w:rPr>
          <w:rFonts w:cs="Arial"/>
          <w:sz w:val="22"/>
          <w:szCs w:val="22"/>
          <w:lang w:val="es-ES"/>
        </w:rPr>
        <w:t>australiae</w:t>
      </w:r>
      <w:proofErr w:type="spellEnd"/>
      <w:r w:rsidRPr="00074250">
        <w:rPr>
          <w:rFonts w:cs="Arial"/>
          <w:sz w:val="22"/>
          <w:szCs w:val="22"/>
          <w:lang w:val="es-ES"/>
        </w:rPr>
        <w:t xml:space="preserve"> (</w:t>
      </w:r>
      <w:proofErr w:type="spellStart"/>
      <w:r w:rsidRPr="00074250">
        <w:rPr>
          <w:rFonts w:cs="Arial"/>
          <w:i/>
          <w:iCs/>
          <w:sz w:val="22"/>
          <w:szCs w:val="22"/>
          <w:lang w:val="es-ES"/>
        </w:rPr>
        <w:t>Rhynchobatus</w:t>
      </w:r>
      <w:proofErr w:type="spellEnd"/>
      <w:r w:rsidRPr="00074250">
        <w:rPr>
          <w:rFonts w:cs="Arial"/>
          <w:i/>
          <w:iCs/>
          <w:sz w:val="22"/>
          <w:szCs w:val="22"/>
          <w:lang w:val="es-ES"/>
        </w:rPr>
        <w:t xml:space="preserve"> </w:t>
      </w:r>
      <w:proofErr w:type="spellStart"/>
      <w:r w:rsidRPr="00074250">
        <w:rPr>
          <w:rFonts w:cs="Arial"/>
          <w:i/>
          <w:iCs/>
          <w:sz w:val="22"/>
          <w:szCs w:val="22"/>
          <w:lang w:val="es-ES"/>
        </w:rPr>
        <w:t>australiae</w:t>
      </w:r>
      <w:proofErr w:type="spellEnd"/>
      <w:r w:rsidRPr="00074250">
        <w:rPr>
          <w:rFonts w:cs="Arial"/>
          <w:sz w:val="22"/>
          <w:szCs w:val="22"/>
          <w:lang w:val="es-ES"/>
        </w:rPr>
        <w:t xml:space="preserve">), el </w:t>
      </w:r>
      <w:proofErr w:type="spellStart"/>
      <w:r w:rsidRPr="00074250">
        <w:rPr>
          <w:rFonts w:cs="Arial"/>
          <w:sz w:val="22"/>
          <w:szCs w:val="22"/>
          <w:lang w:val="es-ES"/>
        </w:rPr>
        <w:t>Rhynchobatus</w:t>
      </w:r>
      <w:proofErr w:type="spellEnd"/>
      <w:r w:rsidRPr="00074250">
        <w:rPr>
          <w:rFonts w:cs="Arial"/>
          <w:sz w:val="22"/>
          <w:szCs w:val="22"/>
          <w:lang w:val="es-ES"/>
        </w:rPr>
        <w:t xml:space="preserve"> </w:t>
      </w:r>
      <w:proofErr w:type="spellStart"/>
      <w:r w:rsidRPr="00074250">
        <w:rPr>
          <w:rFonts w:cs="Arial"/>
          <w:sz w:val="22"/>
          <w:szCs w:val="22"/>
          <w:lang w:val="es-ES"/>
        </w:rPr>
        <w:t>djiddensis</w:t>
      </w:r>
      <w:proofErr w:type="spellEnd"/>
      <w:r w:rsidRPr="00074250">
        <w:rPr>
          <w:rFonts w:cs="Arial"/>
          <w:sz w:val="22"/>
          <w:szCs w:val="22"/>
          <w:lang w:val="es-ES"/>
        </w:rPr>
        <w:t xml:space="preserve"> (</w:t>
      </w:r>
      <w:proofErr w:type="spellStart"/>
      <w:r w:rsidRPr="00074250">
        <w:rPr>
          <w:rFonts w:cs="Arial"/>
          <w:i/>
          <w:iCs/>
          <w:sz w:val="22"/>
          <w:szCs w:val="22"/>
          <w:lang w:val="es-ES"/>
        </w:rPr>
        <w:t>Rhynchobatus</w:t>
      </w:r>
      <w:proofErr w:type="spellEnd"/>
      <w:r w:rsidRPr="00074250">
        <w:rPr>
          <w:rFonts w:cs="Arial"/>
          <w:i/>
          <w:iCs/>
          <w:sz w:val="22"/>
          <w:szCs w:val="22"/>
          <w:lang w:val="es-ES"/>
        </w:rPr>
        <w:t xml:space="preserve"> </w:t>
      </w:r>
      <w:proofErr w:type="spellStart"/>
      <w:r w:rsidRPr="00074250">
        <w:rPr>
          <w:rFonts w:cs="Arial"/>
          <w:i/>
          <w:iCs/>
          <w:sz w:val="22"/>
          <w:szCs w:val="22"/>
          <w:lang w:val="es-ES"/>
        </w:rPr>
        <w:t>djiddensis</w:t>
      </w:r>
      <w:proofErr w:type="spellEnd"/>
      <w:r w:rsidRPr="00074250">
        <w:rPr>
          <w:rFonts w:cs="Arial"/>
          <w:sz w:val="22"/>
          <w:szCs w:val="22"/>
          <w:lang w:val="es-ES"/>
        </w:rPr>
        <w:t>), las tres especies de Tiburón zorro (</w:t>
      </w:r>
      <w:proofErr w:type="spellStart"/>
      <w:r w:rsidRPr="00074250">
        <w:rPr>
          <w:rFonts w:cs="Arial"/>
          <w:i/>
          <w:iCs/>
          <w:sz w:val="22"/>
          <w:szCs w:val="22"/>
          <w:lang w:val="es-ES"/>
        </w:rPr>
        <w:t>Alopias</w:t>
      </w:r>
      <w:proofErr w:type="spellEnd"/>
      <w:r w:rsidRPr="00074250">
        <w:rPr>
          <w:rFonts w:cs="Arial"/>
          <w:i/>
          <w:iCs/>
          <w:sz w:val="22"/>
          <w:szCs w:val="22"/>
          <w:lang w:val="es-ES"/>
        </w:rPr>
        <w:t xml:space="preserve"> </w:t>
      </w:r>
      <w:proofErr w:type="spellStart"/>
      <w:r w:rsidRPr="00074250">
        <w:rPr>
          <w:rFonts w:cs="Arial"/>
          <w:i/>
          <w:iCs/>
          <w:sz w:val="22"/>
          <w:szCs w:val="22"/>
          <w:lang w:val="es-ES"/>
        </w:rPr>
        <w:t>pelagicus</w:t>
      </w:r>
      <w:proofErr w:type="spellEnd"/>
      <w:r w:rsidRPr="00074250">
        <w:rPr>
          <w:rFonts w:cs="Arial"/>
          <w:i/>
          <w:iCs/>
          <w:sz w:val="22"/>
          <w:szCs w:val="22"/>
          <w:lang w:val="es-ES"/>
        </w:rPr>
        <w:t xml:space="preserve">, A. </w:t>
      </w:r>
      <w:proofErr w:type="spellStart"/>
      <w:r w:rsidRPr="00074250">
        <w:rPr>
          <w:rFonts w:cs="Arial"/>
          <w:i/>
          <w:iCs/>
          <w:sz w:val="22"/>
          <w:szCs w:val="22"/>
          <w:lang w:val="es-ES"/>
        </w:rPr>
        <w:t>vulpinus</w:t>
      </w:r>
      <w:proofErr w:type="spellEnd"/>
      <w:r w:rsidRPr="00074250">
        <w:rPr>
          <w:rFonts w:cs="Arial"/>
          <w:i/>
          <w:iCs/>
          <w:sz w:val="22"/>
          <w:szCs w:val="22"/>
          <w:lang w:val="es-ES"/>
        </w:rPr>
        <w:t xml:space="preserve">, A. </w:t>
      </w:r>
      <w:proofErr w:type="spellStart"/>
      <w:r w:rsidRPr="00074250">
        <w:rPr>
          <w:rFonts w:cs="Arial"/>
          <w:i/>
          <w:iCs/>
          <w:sz w:val="22"/>
          <w:szCs w:val="22"/>
          <w:lang w:val="es-ES"/>
        </w:rPr>
        <w:t>superciliosus</w:t>
      </w:r>
      <w:proofErr w:type="spellEnd"/>
      <w:r w:rsidRPr="00074250">
        <w:rPr>
          <w:rFonts w:cs="Arial"/>
          <w:sz w:val="22"/>
          <w:szCs w:val="22"/>
          <w:lang w:val="es-ES"/>
        </w:rPr>
        <w:t>), las dos especies de Marrajos (</w:t>
      </w:r>
      <w:proofErr w:type="spellStart"/>
      <w:r w:rsidRPr="00074250">
        <w:rPr>
          <w:rFonts w:cs="Arial"/>
          <w:i/>
          <w:iCs/>
          <w:sz w:val="22"/>
          <w:szCs w:val="22"/>
          <w:lang w:val="es-ES"/>
        </w:rPr>
        <w:t>Isurus</w:t>
      </w:r>
      <w:proofErr w:type="spellEnd"/>
      <w:r w:rsidRPr="00074250">
        <w:rPr>
          <w:rFonts w:cs="Arial"/>
          <w:i/>
          <w:iCs/>
          <w:sz w:val="22"/>
          <w:szCs w:val="22"/>
          <w:lang w:val="es-ES"/>
        </w:rPr>
        <w:t xml:space="preserve"> </w:t>
      </w:r>
      <w:proofErr w:type="spellStart"/>
      <w:r w:rsidRPr="00074250">
        <w:rPr>
          <w:rFonts w:cs="Arial"/>
          <w:i/>
          <w:iCs/>
          <w:sz w:val="22"/>
          <w:szCs w:val="22"/>
          <w:lang w:val="es-ES"/>
        </w:rPr>
        <w:t>oxyrinchus</w:t>
      </w:r>
      <w:proofErr w:type="spellEnd"/>
      <w:r w:rsidRPr="00074250">
        <w:rPr>
          <w:rFonts w:cs="Arial"/>
          <w:sz w:val="22"/>
          <w:szCs w:val="22"/>
          <w:lang w:val="es-ES"/>
        </w:rPr>
        <w:t xml:space="preserve"> y </w:t>
      </w:r>
      <w:r w:rsidRPr="00074250">
        <w:rPr>
          <w:rFonts w:cs="Arial"/>
          <w:i/>
          <w:iCs/>
          <w:sz w:val="22"/>
          <w:szCs w:val="22"/>
          <w:lang w:val="es-ES"/>
        </w:rPr>
        <w:t xml:space="preserve">I. </w:t>
      </w:r>
      <w:proofErr w:type="spellStart"/>
      <w:r w:rsidRPr="00074250">
        <w:rPr>
          <w:rFonts w:cs="Arial"/>
          <w:i/>
          <w:iCs/>
          <w:sz w:val="22"/>
          <w:szCs w:val="22"/>
          <w:lang w:val="es-ES"/>
        </w:rPr>
        <w:t>paucus</w:t>
      </w:r>
      <w:proofErr w:type="spellEnd"/>
      <w:r w:rsidRPr="00074250">
        <w:rPr>
          <w:rFonts w:cs="Arial"/>
          <w:sz w:val="22"/>
          <w:szCs w:val="22"/>
          <w:lang w:val="es-ES"/>
        </w:rPr>
        <w:t>), el Marrajo sardinero (</w:t>
      </w:r>
      <w:proofErr w:type="spellStart"/>
      <w:r w:rsidRPr="00074250">
        <w:rPr>
          <w:rFonts w:cs="Arial"/>
          <w:i/>
          <w:iCs/>
          <w:sz w:val="22"/>
          <w:szCs w:val="22"/>
          <w:lang w:val="es-ES"/>
        </w:rPr>
        <w:t>Lamna</w:t>
      </w:r>
      <w:proofErr w:type="spellEnd"/>
      <w:r w:rsidRPr="00074250">
        <w:rPr>
          <w:rFonts w:cs="Arial"/>
          <w:i/>
          <w:iCs/>
          <w:sz w:val="22"/>
          <w:szCs w:val="22"/>
          <w:lang w:val="es-ES"/>
        </w:rPr>
        <w:t xml:space="preserve"> </w:t>
      </w:r>
      <w:proofErr w:type="spellStart"/>
      <w:r w:rsidRPr="00074250">
        <w:rPr>
          <w:rFonts w:cs="Arial"/>
          <w:i/>
          <w:iCs/>
          <w:sz w:val="22"/>
          <w:szCs w:val="22"/>
          <w:lang w:val="es-ES"/>
        </w:rPr>
        <w:t>nasus</w:t>
      </w:r>
      <w:proofErr w:type="spellEnd"/>
      <w:r w:rsidRPr="00074250">
        <w:rPr>
          <w:rFonts w:cs="Arial"/>
          <w:sz w:val="22"/>
          <w:szCs w:val="22"/>
          <w:lang w:val="es-ES"/>
        </w:rPr>
        <w:t>), Tiburón jaquetón (</w:t>
      </w:r>
      <w:proofErr w:type="spellStart"/>
      <w:r w:rsidRPr="00074250">
        <w:rPr>
          <w:rFonts w:cs="Arial"/>
          <w:i/>
          <w:iCs/>
          <w:sz w:val="22"/>
          <w:szCs w:val="22"/>
          <w:lang w:val="es-ES"/>
        </w:rPr>
        <w:t>Carcharhinus</w:t>
      </w:r>
      <w:proofErr w:type="spellEnd"/>
      <w:r w:rsidRPr="00074250">
        <w:rPr>
          <w:rFonts w:cs="Arial"/>
          <w:i/>
          <w:iCs/>
          <w:sz w:val="22"/>
          <w:szCs w:val="22"/>
          <w:lang w:val="es-ES"/>
        </w:rPr>
        <w:t xml:space="preserve"> </w:t>
      </w:r>
      <w:proofErr w:type="spellStart"/>
      <w:r w:rsidRPr="00074250">
        <w:rPr>
          <w:rFonts w:cs="Arial"/>
          <w:i/>
          <w:iCs/>
          <w:sz w:val="22"/>
          <w:szCs w:val="22"/>
          <w:lang w:val="es-ES"/>
        </w:rPr>
        <w:t>falciformis</w:t>
      </w:r>
      <w:proofErr w:type="spellEnd"/>
      <w:r w:rsidRPr="00074250">
        <w:rPr>
          <w:rFonts w:cs="Arial"/>
          <w:sz w:val="22"/>
          <w:szCs w:val="22"/>
          <w:lang w:val="es-ES"/>
        </w:rPr>
        <w:t>), Tiburón arenero (</w:t>
      </w:r>
      <w:proofErr w:type="spellStart"/>
      <w:r w:rsidRPr="00074250">
        <w:rPr>
          <w:rFonts w:cs="Arial"/>
          <w:i/>
          <w:iCs/>
          <w:sz w:val="22"/>
          <w:szCs w:val="22"/>
          <w:lang w:val="es-ES"/>
        </w:rPr>
        <w:t>Carcharhinus</w:t>
      </w:r>
      <w:proofErr w:type="spellEnd"/>
      <w:r w:rsidRPr="00074250">
        <w:rPr>
          <w:rFonts w:cs="Arial"/>
          <w:i/>
          <w:iCs/>
          <w:sz w:val="22"/>
          <w:szCs w:val="22"/>
          <w:lang w:val="es-ES"/>
        </w:rPr>
        <w:t xml:space="preserve"> </w:t>
      </w:r>
      <w:proofErr w:type="spellStart"/>
      <w:r w:rsidRPr="00074250">
        <w:rPr>
          <w:rFonts w:cs="Arial"/>
          <w:i/>
          <w:iCs/>
          <w:sz w:val="22"/>
          <w:szCs w:val="22"/>
          <w:lang w:val="es-ES"/>
        </w:rPr>
        <w:t>obscurus</w:t>
      </w:r>
      <w:proofErr w:type="spellEnd"/>
      <w:r w:rsidRPr="00074250">
        <w:rPr>
          <w:rFonts w:cs="Arial"/>
          <w:sz w:val="22"/>
          <w:szCs w:val="22"/>
          <w:lang w:val="es-ES"/>
        </w:rPr>
        <w:t>), Tiburón oceánico (</w:t>
      </w:r>
      <w:proofErr w:type="spellStart"/>
      <w:r w:rsidRPr="00074250">
        <w:rPr>
          <w:rFonts w:cs="Arial"/>
          <w:i/>
          <w:iCs/>
          <w:sz w:val="22"/>
          <w:szCs w:val="22"/>
          <w:lang w:val="es-ES"/>
        </w:rPr>
        <w:t>Carcharhinus</w:t>
      </w:r>
      <w:proofErr w:type="spellEnd"/>
      <w:r w:rsidRPr="00074250">
        <w:rPr>
          <w:rFonts w:cs="Arial"/>
          <w:i/>
          <w:iCs/>
          <w:sz w:val="22"/>
          <w:szCs w:val="22"/>
          <w:lang w:val="es-ES"/>
        </w:rPr>
        <w:t xml:space="preserve"> </w:t>
      </w:r>
      <w:proofErr w:type="spellStart"/>
      <w:r w:rsidRPr="00074250">
        <w:rPr>
          <w:rFonts w:cs="Arial"/>
          <w:i/>
          <w:iCs/>
          <w:sz w:val="22"/>
          <w:szCs w:val="22"/>
          <w:lang w:val="es-ES"/>
        </w:rPr>
        <w:t>longimanus</w:t>
      </w:r>
      <w:proofErr w:type="spellEnd"/>
      <w:r w:rsidRPr="00074250">
        <w:rPr>
          <w:rFonts w:cs="Arial"/>
          <w:sz w:val="22"/>
          <w:szCs w:val="22"/>
          <w:lang w:val="es-ES"/>
        </w:rPr>
        <w:t>), Mielga (</w:t>
      </w:r>
      <w:proofErr w:type="spellStart"/>
      <w:r w:rsidRPr="00074250">
        <w:rPr>
          <w:rFonts w:cs="Arial"/>
          <w:i/>
          <w:iCs/>
          <w:sz w:val="22"/>
          <w:szCs w:val="22"/>
          <w:lang w:val="es-ES"/>
        </w:rPr>
        <w:t>Squalus</w:t>
      </w:r>
      <w:proofErr w:type="spellEnd"/>
      <w:r w:rsidRPr="00074250">
        <w:rPr>
          <w:rFonts w:cs="Arial"/>
          <w:i/>
          <w:iCs/>
          <w:sz w:val="22"/>
          <w:szCs w:val="22"/>
          <w:lang w:val="es-ES"/>
        </w:rPr>
        <w:t xml:space="preserve"> </w:t>
      </w:r>
      <w:proofErr w:type="spellStart"/>
      <w:r w:rsidRPr="00074250">
        <w:rPr>
          <w:rFonts w:cs="Arial"/>
          <w:i/>
          <w:iCs/>
          <w:sz w:val="22"/>
          <w:szCs w:val="22"/>
          <w:lang w:val="es-ES"/>
        </w:rPr>
        <w:t>acanthias</w:t>
      </w:r>
      <w:proofErr w:type="spellEnd"/>
      <w:r w:rsidRPr="00074250">
        <w:rPr>
          <w:rFonts w:cs="Arial"/>
          <w:sz w:val="22"/>
          <w:szCs w:val="22"/>
          <w:lang w:val="es-ES"/>
        </w:rPr>
        <w:t>, hemisferio norte), Angelote (</w:t>
      </w:r>
      <w:proofErr w:type="spellStart"/>
      <w:r w:rsidRPr="00074250">
        <w:rPr>
          <w:rFonts w:cs="Arial"/>
          <w:i/>
          <w:iCs/>
          <w:sz w:val="22"/>
          <w:szCs w:val="22"/>
          <w:lang w:val="es-ES"/>
        </w:rPr>
        <w:t>Squatina</w:t>
      </w:r>
      <w:proofErr w:type="spellEnd"/>
      <w:r w:rsidRPr="00074250">
        <w:rPr>
          <w:rFonts w:cs="Arial"/>
          <w:i/>
          <w:iCs/>
          <w:sz w:val="22"/>
          <w:szCs w:val="22"/>
          <w:lang w:val="es-ES"/>
        </w:rPr>
        <w:t xml:space="preserve"> </w:t>
      </w:r>
      <w:proofErr w:type="spellStart"/>
      <w:r w:rsidRPr="00074250">
        <w:rPr>
          <w:rFonts w:cs="Arial"/>
          <w:i/>
          <w:iCs/>
          <w:sz w:val="22"/>
          <w:szCs w:val="22"/>
          <w:lang w:val="es-ES"/>
        </w:rPr>
        <w:t>squatina</w:t>
      </w:r>
      <w:proofErr w:type="spellEnd"/>
      <w:r w:rsidRPr="00074250">
        <w:rPr>
          <w:rFonts w:cs="Arial"/>
          <w:sz w:val="22"/>
          <w:szCs w:val="22"/>
          <w:lang w:val="es-ES"/>
        </w:rPr>
        <w:t>), y tres especies de Cornudas (</w:t>
      </w:r>
      <w:proofErr w:type="spellStart"/>
      <w:r w:rsidRPr="00074250">
        <w:rPr>
          <w:rFonts w:cs="Arial"/>
          <w:i/>
          <w:iCs/>
          <w:sz w:val="22"/>
          <w:szCs w:val="22"/>
          <w:lang w:val="es-ES"/>
        </w:rPr>
        <w:t>Sphyrna</w:t>
      </w:r>
      <w:proofErr w:type="spellEnd"/>
      <w:r w:rsidRPr="00074250">
        <w:rPr>
          <w:rFonts w:cs="Arial"/>
          <w:i/>
          <w:iCs/>
          <w:sz w:val="22"/>
          <w:szCs w:val="22"/>
          <w:lang w:val="es-ES"/>
        </w:rPr>
        <w:t xml:space="preserve"> </w:t>
      </w:r>
      <w:proofErr w:type="spellStart"/>
      <w:r w:rsidRPr="00074250">
        <w:rPr>
          <w:rFonts w:cs="Arial"/>
          <w:i/>
          <w:iCs/>
          <w:sz w:val="22"/>
          <w:szCs w:val="22"/>
          <w:lang w:val="es-ES"/>
        </w:rPr>
        <w:t>lewini</w:t>
      </w:r>
      <w:proofErr w:type="spellEnd"/>
      <w:r w:rsidRPr="00074250">
        <w:rPr>
          <w:rFonts w:cs="Arial"/>
          <w:i/>
          <w:iCs/>
          <w:sz w:val="22"/>
          <w:szCs w:val="22"/>
          <w:lang w:val="es-ES"/>
        </w:rPr>
        <w:t xml:space="preserve">, S. </w:t>
      </w:r>
      <w:proofErr w:type="spellStart"/>
      <w:r w:rsidRPr="00074250">
        <w:rPr>
          <w:rFonts w:cs="Arial"/>
          <w:i/>
          <w:iCs/>
          <w:sz w:val="22"/>
          <w:szCs w:val="22"/>
          <w:lang w:val="es-ES"/>
        </w:rPr>
        <w:t>mokarran</w:t>
      </w:r>
      <w:proofErr w:type="spellEnd"/>
      <w:r w:rsidRPr="00074250">
        <w:rPr>
          <w:rFonts w:cs="Arial"/>
          <w:i/>
          <w:iCs/>
          <w:sz w:val="22"/>
          <w:szCs w:val="22"/>
          <w:lang w:val="es-ES"/>
        </w:rPr>
        <w:t xml:space="preserve">, </w:t>
      </w:r>
      <w:r w:rsidRPr="00074250">
        <w:rPr>
          <w:rFonts w:cs="Arial"/>
          <w:sz w:val="22"/>
          <w:szCs w:val="22"/>
          <w:lang w:val="es-ES"/>
        </w:rPr>
        <w:t xml:space="preserve">y </w:t>
      </w:r>
      <w:r w:rsidRPr="00074250">
        <w:rPr>
          <w:rFonts w:cs="Arial"/>
          <w:i/>
          <w:iCs/>
          <w:sz w:val="22"/>
          <w:szCs w:val="22"/>
          <w:lang w:val="es-ES"/>
        </w:rPr>
        <w:t xml:space="preserve">S. </w:t>
      </w:r>
      <w:proofErr w:type="spellStart"/>
      <w:r w:rsidRPr="00074250">
        <w:rPr>
          <w:rFonts w:cs="Arial"/>
          <w:i/>
          <w:iCs/>
          <w:sz w:val="22"/>
          <w:szCs w:val="22"/>
          <w:lang w:val="es-ES"/>
        </w:rPr>
        <w:t>zygaena</w:t>
      </w:r>
      <w:proofErr w:type="spellEnd"/>
      <w:r w:rsidRPr="00074250">
        <w:rPr>
          <w:rFonts w:cs="Arial"/>
          <w:sz w:val="22"/>
          <w:szCs w:val="22"/>
          <w:lang w:val="es-ES"/>
        </w:rPr>
        <w:t>).</w:t>
      </w:r>
    </w:p>
    <w:p w14:paraId="008507FC" w14:textId="77777777" w:rsidR="00620032" w:rsidRPr="00074250" w:rsidRDefault="00620032" w:rsidP="00E14786">
      <w:pPr>
        <w:contextualSpacing/>
        <w:jc w:val="both"/>
        <w:rPr>
          <w:rFonts w:cs="Arial"/>
          <w:sz w:val="22"/>
          <w:szCs w:val="22"/>
          <w:lang w:val="es-ES"/>
        </w:rPr>
      </w:pPr>
    </w:p>
    <w:p w14:paraId="0A9009BE" w14:textId="77777777" w:rsidR="00620032" w:rsidRPr="00074250" w:rsidRDefault="00620032" w:rsidP="00E14786">
      <w:pPr>
        <w:contextualSpacing/>
        <w:jc w:val="both"/>
        <w:rPr>
          <w:rFonts w:cs="Arial"/>
          <w:sz w:val="22"/>
          <w:szCs w:val="22"/>
          <w:lang w:val="es-ES"/>
        </w:rPr>
      </w:pPr>
      <w:r w:rsidRPr="00074250">
        <w:rPr>
          <w:rFonts w:cs="Arial"/>
          <w:sz w:val="22"/>
          <w:szCs w:val="22"/>
          <w:lang w:val="es-ES"/>
        </w:rPr>
        <w:t xml:space="preserve">El Comité Asesor también está desarrollando métodos para priorizar especies para más investigación científica a través de estudios en colaboración y coordinados a escala regional por las Zonas FAO. Esta priorización regional puede basarse en el estado de conservación de las especies, en los datos de población disponibles, la susceptibilidad a la pesca y destrucción del hábitat, las medidas de conservación en curso y la importancia regional. Para más información, véase </w:t>
      </w:r>
      <w:hyperlink r:id="rId33" w:history="1">
        <w:r w:rsidRPr="00074250">
          <w:rPr>
            <w:rFonts w:cs="Arial"/>
            <w:color w:val="0000FF"/>
            <w:sz w:val="22"/>
            <w:szCs w:val="22"/>
            <w:u w:val="single"/>
            <w:lang w:val="es-ES"/>
          </w:rPr>
          <w:t>CMS/</w:t>
        </w:r>
        <w:proofErr w:type="spellStart"/>
        <w:r w:rsidRPr="00074250">
          <w:rPr>
            <w:rFonts w:cs="Arial"/>
            <w:color w:val="0000FF"/>
            <w:sz w:val="22"/>
            <w:szCs w:val="22"/>
            <w:u w:val="single"/>
            <w:lang w:val="es-ES"/>
          </w:rPr>
          <w:t>Sharks</w:t>
        </w:r>
        <w:proofErr w:type="spellEnd"/>
        <w:r w:rsidRPr="00074250">
          <w:rPr>
            <w:rFonts w:cs="Arial"/>
            <w:color w:val="0000FF"/>
            <w:sz w:val="22"/>
            <w:szCs w:val="22"/>
            <w:u w:val="single"/>
            <w:lang w:val="es-ES"/>
          </w:rPr>
          <w:t>/MOS4/Doc.10.5</w:t>
        </w:r>
      </w:hyperlink>
      <w:r w:rsidRPr="00074250">
        <w:rPr>
          <w:rFonts w:cs="Arial"/>
          <w:sz w:val="22"/>
          <w:szCs w:val="22"/>
          <w:lang w:val="es-ES"/>
        </w:rPr>
        <w:t>.</w:t>
      </w:r>
    </w:p>
    <w:p w14:paraId="52D28488" w14:textId="77777777" w:rsidR="00620032" w:rsidRPr="00074250" w:rsidRDefault="00620032" w:rsidP="00E14786">
      <w:pPr>
        <w:contextualSpacing/>
        <w:jc w:val="both"/>
        <w:rPr>
          <w:rFonts w:cs="Arial"/>
          <w:sz w:val="22"/>
          <w:szCs w:val="22"/>
          <w:lang w:val="es-ES"/>
        </w:rPr>
      </w:pPr>
    </w:p>
    <w:p w14:paraId="713337D2" w14:textId="77777777" w:rsidR="00620032" w:rsidRPr="00074250" w:rsidRDefault="00620032" w:rsidP="00E14786">
      <w:pPr>
        <w:contextualSpacing/>
        <w:jc w:val="both"/>
        <w:rPr>
          <w:rFonts w:cs="Arial"/>
          <w:sz w:val="22"/>
          <w:szCs w:val="22"/>
          <w:lang w:val="es-ES"/>
        </w:rPr>
      </w:pPr>
      <w:r w:rsidRPr="00074250">
        <w:rPr>
          <w:rFonts w:cs="Arial"/>
          <w:sz w:val="22"/>
          <w:szCs w:val="22"/>
          <w:lang w:val="es-ES"/>
        </w:rPr>
        <w:t xml:space="preserve">Las flotas de pesca de larga distancia de varias naciones desembarcan especies de tiburones y rayas capturadas en las Zonas FAO, fuera de sus fronteras nacionales </w:t>
      </w:r>
      <w:r w:rsidRPr="00074250">
        <w:rPr>
          <w:rFonts w:cs="Arial"/>
          <w:sz w:val="22"/>
          <w:szCs w:val="22"/>
          <w:lang w:val="es-ES"/>
        </w:rPr>
        <w:fldChar w:fldCharType="begin" w:fldLock="1"/>
      </w:r>
      <w:r w:rsidRPr="00074250">
        <w:rPr>
          <w:rFonts w:cs="Arial"/>
          <w:sz w:val="22"/>
          <w:szCs w:val="22"/>
          <w:lang w:val="es-ES"/>
        </w:rPr>
        <w:instrText>ADDIN CSL_CITATION {"citationItems":[{"id":"ITEM-1","itemData":{"DOI":"10.1126/sciadv.aat2504","ISSN":"23752548","PMID":"29881780","abstract":"While the ecological impacts of fishing the waters beyond national jurisdiction (the “high seas”) have been widely studied, the economic rationale is more difficult to ascertain because of scarce data on the costs and revenues of the fleets that fish there. Newly compiled satellite data and machine learning now allow us to track individual fishing vessels on the high seas in near real time. These technological advances help us quantify high-seas fishing effort, costs, and benefits, and assess whether, where, and when high-seas fishing makes economic sense. We characterize the global high-seas fishing fleet and report the economic benefits of fishing the high seas globally, nationally, and at the scale of individual fleets. Our results suggest that fishing at the current scale is enabled by large government subsidies, without which as much as 54% of the present high-seas fishing grounds would be unprofitable at current fishing rates. The patterns of fishing profitability vary widely between countries, types of fishing, and distance to port. Deep-sea bottom trawling often produces net economic benefits only thanks to subsidies, and much fishing by the world’s largest fishing fleets would largely be unprofitable without subsidies and low labor costs. These results support recent calls for subsidy and fishery management reforms on the high seas.","author":[{"dropping-particle":"","family":"Sala","given":"Enric","non-dropping-particle":"","parse-names":false,"suffix":""},{"dropping-particle":"","family":"Mayorga","given":"Juan","non-dropping-particle":"","parse-names":false,"suffix":""},{"dropping-particle":"","family":"Costello","given":"Christopher","non-dropping-particle":"","parse-names":false,"suffix":""},{"dropping-particle":"","family":"Kroodsma","given":"David","non-dropping-particle":"","parse-names":false,"suffix":""},{"dropping-particle":"","family":"Palomares","given":"Maria L.D.","non-dropping-particle":"","parse-names":false,"suffix":""},{"dropping-particle":"","family":"Pauly","given":"Daniel","non-dropping-particle":"","parse-names":false,"suffix":""},{"dropping-particle":"","family":"Rashid Sumaila","given":"U.","non-dropping-particle":"","parse-names":false,"suffix":""},{"dropping-particle":"","family":"Zeller","given":"Dirk","non-dropping-particle":"","parse-names":false,"suffix":""}],"container-title":"Science Advances","id":"ITEM-1","issue":"6","issued":{"date-parts":[["2018","6","6"]]},"publisher":"American Association for the Advancement of Science","title":"The economics of fishing the high seas","type":"article-journal","volume":"4"},"uris":["http://www.mendeley.com/documents/?uuid=d6cbf046-2cd8-39c9-9da0-d9390d32383a"]}],"mendeley":{"formattedCitation":"(Sala et al. 2018)","plainTextFormattedCitation":"(Sala et al. 2018)","previouslyFormattedCitation":"(Sala et al. 2018)"},"properties":{"noteIndex":0},"schema":"https://github.com/citation-style-language/schema/raw/master/csl-citation.json"}</w:instrText>
      </w:r>
      <w:r w:rsidRPr="00074250">
        <w:rPr>
          <w:rFonts w:cs="Arial"/>
          <w:sz w:val="22"/>
          <w:szCs w:val="22"/>
          <w:lang w:val="es-ES"/>
        </w:rPr>
        <w:fldChar w:fldCharType="separate"/>
      </w:r>
      <w:r w:rsidRPr="00074250">
        <w:rPr>
          <w:rFonts w:cs="Arial"/>
          <w:sz w:val="22"/>
          <w:szCs w:val="22"/>
          <w:lang w:val="es-ES"/>
        </w:rPr>
        <w:t>(Sala et al. 2.018)</w:t>
      </w:r>
      <w:r w:rsidRPr="00074250">
        <w:rPr>
          <w:rFonts w:cs="Arial"/>
          <w:sz w:val="22"/>
          <w:szCs w:val="22"/>
          <w:lang w:val="es-ES"/>
        </w:rPr>
        <w:fldChar w:fldCharType="end"/>
      </w:r>
      <w:r w:rsidRPr="00074250">
        <w:rPr>
          <w:rFonts w:cs="Arial"/>
          <w:sz w:val="22"/>
          <w:szCs w:val="22"/>
          <w:lang w:val="es-ES"/>
        </w:rPr>
        <w:t xml:space="preserve">. Por lo tanto, existe una justificación para identificar a los Signatarios y los Estados de Área de Distribución </w:t>
      </w:r>
      <w:r w:rsidRPr="00074250">
        <w:rPr>
          <w:rFonts w:cs="Arial"/>
          <w:sz w:val="22"/>
          <w:szCs w:val="22"/>
          <w:lang w:val="es-ES"/>
        </w:rPr>
        <w:lastRenderedPageBreak/>
        <w:t>que estén explotando tiburones y rayas enumerados que han sido identificados como prioridades regionales de investigación y trabajar en colaboración en lugar de que esto sea responsabilidad solo de aquellas naciones con jurisdicción en la zona.</w:t>
      </w:r>
    </w:p>
    <w:p w14:paraId="54F176B6" w14:textId="77777777" w:rsidR="00620032" w:rsidRPr="00074250" w:rsidRDefault="00620032"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p>
    <w:p w14:paraId="4E641509" w14:textId="2D9B48BB" w:rsidR="00620032" w:rsidRPr="00074250" w:rsidRDefault="00620032" w:rsidP="00E14786">
      <w:pPr>
        <w:keepNext/>
        <w:keepLines/>
        <w:outlineLvl w:val="2"/>
        <w:rPr>
          <w:rFonts w:cs="Arial"/>
          <w:b/>
          <w:bCs/>
          <w:sz w:val="22"/>
          <w:szCs w:val="22"/>
          <w:lang w:val="es-ES"/>
        </w:rPr>
      </w:pPr>
      <w:r w:rsidRPr="00074250">
        <w:rPr>
          <w:rFonts w:cs="Arial"/>
          <w:b/>
          <w:bCs/>
          <w:sz w:val="22"/>
          <w:szCs w:val="22"/>
          <w:lang w:val="es-ES"/>
        </w:rPr>
        <w:t>4.</w:t>
      </w:r>
      <w:r w:rsidR="00FA667F">
        <w:rPr>
          <w:rFonts w:cs="Arial"/>
          <w:b/>
          <w:bCs/>
          <w:sz w:val="22"/>
          <w:szCs w:val="22"/>
          <w:lang w:val="es-ES"/>
        </w:rPr>
        <w:t>2</w:t>
      </w:r>
      <w:r w:rsidRPr="00074250">
        <w:rPr>
          <w:rFonts w:cs="Arial"/>
          <w:b/>
          <w:bCs/>
          <w:sz w:val="22"/>
          <w:szCs w:val="22"/>
          <w:lang w:val="es-ES"/>
        </w:rPr>
        <w:tab/>
        <w:t>Resultados</w:t>
      </w:r>
    </w:p>
    <w:p w14:paraId="6DF2B6BB" w14:textId="77777777" w:rsidR="00E14786" w:rsidRPr="00074250" w:rsidRDefault="00E14786" w:rsidP="00E14786">
      <w:pPr>
        <w:keepNext/>
        <w:keepLines/>
        <w:outlineLvl w:val="2"/>
        <w:rPr>
          <w:rFonts w:cs="Arial"/>
          <w:b/>
          <w:bCs/>
          <w:sz w:val="22"/>
          <w:szCs w:val="22"/>
          <w:lang w:val="es-ES"/>
        </w:rPr>
      </w:pPr>
    </w:p>
    <w:p w14:paraId="7087C9D7" w14:textId="77777777" w:rsidR="00620032" w:rsidRPr="00074250" w:rsidRDefault="00620032" w:rsidP="00E14786">
      <w:pPr>
        <w:contextualSpacing/>
        <w:jc w:val="both"/>
        <w:rPr>
          <w:rFonts w:cs="Arial"/>
          <w:sz w:val="22"/>
          <w:szCs w:val="22"/>
          <w:lang w:val="es-ES"/>
        </w:rPr>
      </w:pPr>
      <w:r w:rsidRPr="00074250">
        <w:rPr>
          <w:rFonts w:cs="Arial"/>
          <w:sz w:val="22"/>
          <w:szCs w:val="22"/>
          <w:lang w:val="es-ES"/>
        </w:rPr>
        <w:t xml:space="preserve">De 2015 a 2019, se ha informado del desembarco de una media de 48 632 toneladas/año de especies de tiburones enumerados en el </w:t>
      </w:r>
      <w:proofErr w:type="spellStart"/>
      <w:r w:rsidRPr="00074250">
        <w:rPr>
          <w:rFonts w:cs="Arial"/>
          <w:sz w:val="22"/>
          <w:szCs w:val="22"/>
          <w:lang w:val="es-ES"/>
        </w:rPr>
        <w:t>MdE</w:t>
      </w:r>
      <w:proofErr w:type="spellEnd"/>
      <w:r w:rsidRPr="00074250">
        <w:rPr>
          <w:rFonts w:cs="Arial"/>
          <w:sz w:val="22"/>
          <w:szCs w:val="22"/>
          <w:lang w:val="es-ES"/>
        </w:rPr>
        <w:t xml:space="preserve"> sobre tiburones en todo el mundo (7 % de todos los desembarcos de tiburones y rayas). Un total de 35 Signatarios y 37 Estados del Área de Distribución notificaron desembarcos de especies enumeradas en el Anexo 1 del </w:t>
      </w:r>
      <w:proofErr w:type="spellStart"/>
      <w:r w:rsidRPr="00074250">
        <w:rPr>
          <w:rFonts w:cs="Arial"/>
          <w:sz w:val="22"/>
          <w:szCs w:val="22"/>
          <w:lang w:val="es-ES"/>
        </w:rPr>
        <w:t>MdE</w:t>
      </w:r>
      <w:proofErr w:type="spellEnd"/>
      <w:r w:rsidRPr="00074250">
        <w:rPr>
          <w:rFonts w:cs="Arial"/>
          <w:sz w:val="22"/>
          <w:szCs w:val="22"/>
          <w:lang w:val="es-ES"/>
        </w:rPr>
        <w:t xml:space="preserve"> sobre tiburones. Los Signatarios supusieron el 4 %, mientras que los Estados de Área de Distribución informaron del restante 3 %. </w:t>
      </w:r>
    </w:p>
    <w:p w14:paraId="24573990" w14:textId="77777777" w:rsidR="00620032" w:rsidRPr="00074250" w:rsidRDefault="00620032" w:rsidP="00E14786">
      <w:pPr>
        <w:contextualSpacing/>
        <w:jc w:val="both"/>
        <w:rPr>
          <w:rFonts w:cs="Arial"/>
          <w:sz w:val="22"/>
          <w:szCs w:val="22"/>
          <w:lang w:val="es-ES"/>
        </w:rPr>
      </w:pPr>
    </w:p>
    <w:p w14:paraId="414817EA" w14:textId="1359190D" w:rsidR="00620032" w:rsidRPr="00074250" w:rsidRDefault="00620032" w:rsidP="00E14786">
      <w:pPr>
        <w:contextualSpacing/>
        <w:jc w:val="both"/>
        <w:rPr>
          <w:rFonts w:cs="Arial"/>
          <w:sz w:val="22"/>
          <w:szCs w:val="22"/>
          <w:lang w:val="es-ES"/>
        </w:rPr>
      </w:pPr>
      <w:r w:rsidRPr="00074250">
        <w:rPr>
          <w:rFonts w:cs="Arial"/>
          <w:sz w:val="22"/>
          <w:szCs w:val="22"/>
          <w:lang w:val="es-ES"/>
        </w:rPr>
        <w:t xml:space="preserve">Las especies del </w:t>
      </w:r>
      <w:proofErr w:type="spellStart"/>
      <w:r w:rsidRPr="00074250">
        <w:rPr>
          <w:rFonts w:cs="Arial"/>
          <w:sz w:val="22"/>
          <w:szCs w:val="22"/>
          <w:lang w:val="es-ES"/>
        </w:rPr>
        <w:t>MdE</w:t>
      </w:r>
      <w:proofErr w:type="spellEnd"/>
      <w:r w:rsidRPr="00074250">
        <w:rPr>
          <w:rFonts w:cs="Arial"/>
          <w:sz w:val="22"/>
          <w:szCs w:val="22"/>
          <w:lang w:val="es-ES"/>
        </w:rPr>
        <w:t xml:space="preserve"> sobre tiburones más desembarcadas incluyen: Marrajo </w:t>
      </w:r>
      <w:proofErr w:type="spellStart"/>
      <w:r w:rsidRPr="00074250">
        <w:rPr>
          <w:rFonts w:cs="Arial"/>
          <w:sz w:val="22"/>
          <w:szCs w:val="22"/>
          <w:lang w:val="es-ES"/>
        </w:rPr>
        <w:t>dientuso</w:t>
      </w:r>
      <w:proofErr w:type="spellEnd"/>
      <w:r w:rsidRPr="00074250">
        <w:rPr>
          <w:rFonts w:cs="Arial"/>
          <w:sz w:val="22"/>
          <w:szCs w:val="22"/>
          <w:lang w:val="es-ES"/>
        </w:rPr>
        <w:t xml:space="preserve"> (25 %; 12 093 toneladas/año), Mielga (20 %; 9825 toneladas/año), Mantas y Diablos (14 %; 6900 toneladas/año), Tiburón jaquetón (12 %; 5988 toneladas/año), Tiburones </w:t>
      </w:r>
      <w:proofErr w:type="gramStart"/>
      <w:r w:rsidRPr="00074250">
        <w:rPr>
          <w:rFonts w:cs="Arial"/>
          <w:sz w:val="22"/>
          <w:szCs w:val="22"/>
          <w:lang w:val="es-ES"/>
        </w:rPr>
        <w:t>zorro notificados</w:t>
      </w:r>
      <w:proofErr w:type="gramEnd"/>
      <w:r w:rsidRPr="00074250">
        <w:rPr>
          <w:rFonts w:cs="Arial"/>
          <w:sz w:val="22"/>
          <w:szCs w:val="22"/>
          <w:lang w:val="es-ES"/>
        </w:rPr>
        <w:t xml:space="preserve"> bajo la categoría de género (10 %; 4722 toneladas/año), Zorro pelágico (9 %; 4292 toneladas/año), Pez cuna manchado (3 %; 1505 toneladas/año) y la amplia categoría de </w:t>
      </w:r>
      <w:proofErr w:type="spellStart"/>
      <w:r w:rsidRPr="00074250">
        <w:rPr>
          <w:rFonts w:cs="Arial"/>
          <w:sz w:val="22"/>
          <w:szCs w:val="22"/>
          <w:lang w:val="es-ES"/>
        </w:rPr>
        <w:t>Mackerel</w:t>
      </w:r>
      <w:proofErr w:type="spellEnd"/>
      <w:r w:rsidRPr="00074250">
        <w:rPr>
          <w:rFonts w:cs="Arial"/>
          <w:sz w:val="22"/>
          <w:szCs w:val="22"/>
          <w:lang w:val="es-ES"/>
        </w:rPr>
        <w:t xml:space="preserve"> (1 %). El porcentaje restante (16 %) incluye otras especies desde 0,022 toneladas/año de </w:t>
      </w:r>
      <w:proofErr w:type="spellStart"/>
      <w:r w:rsidRPr="00074250">
        <w:rPr>
          <w:rFonts w:cs="Arial"/>
          <w:sz w:val="22"/>
          <w:szCs w:val="22"/>
          <w:lang w:val="es-ES"/>
        </w:rPr>
        <w:t>Mobula</w:t>
      </w:r>
      <w:proofErr w:type="spellEnd"/>
      <w:r w:rsidRPr="00074250">
        <w:rPr>
          <w:rFonts w:cs="Arial"/>
          <w:sz w:val="22"/>
          <w:szCs w:val="22"/>
          <w:lang w:val="es-ES"/>
        </w:rPr>
        <w:t xml:space="preserve"> </w:t>
      </w:r>
      <w:proofErr w:type="spellStart"/>
      <w:r w:rsidRPr="00074250">
        <w:rPr>
          <w:rFonts w:cs="Arial"/>
          <w:sz w:val="22"/>
          <w:szCs w:val="22"/>
          <w:lang w:val="es-ES"/>
        </w:rPr>
        <w:t>Mobular</w:t>
      </w:r>
      <w:proofErr w:type="spellEnd"/>
      <w:r w:rsidRPr="00074250">
        <w:rPr>
          <w:rFonts w:cs="Arial"/>
          <w:sz w:val="22"/>
          <w:szCs w:val="22"/>
          <w:lang w:val="es-ES"/>
        </w:rPr>
        <w:t xml:space="preserve"> (</w:t>
      </w:r>
      <w:proofErr w:type="spellStart"/>
      <w:r w:rsidRPr="00074250">
        <w:rPr>
          <w:rFonts w:cs="Arial"/>
          <w:i/>
          <w:iCs/>
          <w:sz w:val="22"/>
          <w:szCs w:val="22"/>
          <w:lang w:val="es-ES"/>
        </w:rPr>
        <w:t>Mobula</w:t>
      </w:r>
      <w:proofErr w:type="spellEnd"/>
      <w:r w:rsidRPr="00074250">
        <w:rPr>
          <w:rFonts w:cs="Arial"/>
          <w:i/>
          <w:iCs/>
          <w:sz w:val="22"/>
          <w:szCs w:val="22"/>
          <w:lang w:val="es-ES"/>
        </w:rPr>
        <w:t xml:space="preserve"> </w:t>
      </w:r>
      <w:proofErr w:type="spellStart"/>
      <w:r w:rsidRPr="00074250">
        <w:rPr>
          <w:rFonts w:cs="Arial"/>
          <w:i/>
          <w:iCs/>
          <w:sz w:val="22"/>
          <w:szCs w:val="22"/>
          <w:lang w:val="es-ES"/>
        </w:rPr>
        <w:t>mobular</w:t>
      </w:r>
      <w:proofErr w:type="spellEnd"/>
      <w:r w:rsidRPr="00074250">
        <w:rPr>
          <w:rFonts w:cs="Arial"/>
          <w:i/>
          <w:iCs/>
          <w:sz w:val="22"/>
          <w:szCs w:val="22"/>
          <w:lang w:val="es-ES"/>
        </w:rPr>
        <w:t>)</w:t>
      </w:r>
      <w:r w:rsidRPr="00074250">
        <w:rPr>
          <w:rFonts w:cs="Arial"/>
          <w:sz w:val="22"/>
          <w:szCs w:val="22"/>
          <w:lang w:val="es-ES"/>
        </w:rPr>
        <w:t xml:space="preserve"> a 335 toneladas/año de Tiburón oceánico. Sin datos de desembarco para el Tiburón arenero, </w:t>
      </w:r>
      <w:proofErr w:type="spellStart"/>
      <w:r w:rsidRPr="00074250">
        <w:rPr>
          <w:rFonts w:cs="Arial"/>
          <w:sz w:val="22"/>
          <w:szCs w:val="22"/>
          <w:lang w:val="es-ES"/>
        </w:rPr>
        <w:t>Rhynchobatus</w:t>
      </w:r>
      <w:proofErr w:type="spellEnd"/>
      <w:r w:rsidRPr="00074250">
        <w:rPr>
          <w:rFonts w:cs="Arial"/>
          <w:sz w:val="22"/>
          <w:szCs w:val="22"/>
          <w:lang w:val="es-ES"/>
        </w:rPr>
        <w:t xml:space="preserve"> </w:t>
      </w:r>
      <w:proofErr w:type="spellStart"/>
      <w:r w:rsidRPr="00074250">
        <w:rPr>
          <w:rFonts w:cs="Arial"/>
          <w:sz w:val="22"/>
          <w:szCs w:val="22"/>
          <w:lang w:val="es-ES"/>
        </w:rPr>
        <w:t>laevis</w:t>
      </w:r>
      <w:proofErr w:type="spellEnd"/>
      <w:r w:rsidRPr="00074250">
        <w:rPr>
          <w:rFonts w:cs="Arial"/>
          <w:sz w:val="22"/>
          <w:szCs w:val="22"/>
          <w:lang w:val="es-ES"/>
        </w:rPr>
        <w:t xml:space="preserve">, Tiburón blanco, Tiburón peregrino, Tiburón </w:t>
      </w:r>
      <w:proofErr w:type="spellStart"/>
      <w:proofErr w:type="gramStart"/>
      <w:r w:rsidRPr="00074250">
        <w:rPr>
          <w:rFonts w:cs="Arial"/>
          <w:sz w:val="22"/>
          <w:szCs w:val="22"/>
          <w:lang w:val="es-ES"/>
        </w:rPr>
        <w:t>ballena,ni</w:t>
      </w:r>
      <w:proofErr w:type="spellEnd"/>
      <w:proofErr w:type="gramEnd"/>
      <w:r w:rsidRPr="00074250">
        <w:rPr>
          <w:rFonts w:cs="Arial"/>
          <w:sz w:val="22"/>
          <w:szCs w:val="22"/>
          <w:lang w:val="es-ES"/>
        </w:rPr>
        <w:t xml:space="preserve"> ninguno etiquetado específico de </w:t>
      </w:r>
      <w:proofErr w:type="spellStart"/>
      <w:r w:rsidRPr="00074250">
        <w:rPr>
          <w:rFonts w:cs="Arial"/>
          <w:sz w:val="22"/>
          <w:szCs w:val="22"/>
          <w:lang w:val="es-ES"/>
        </w:rPr>
        <w:t>Mobúlidas</w:t>
      </w:r>
      <w:proofErr w:type="spellEnd"/>
      <w:r w:rsidRPr="00074250">
        <w:rPr>
          <w:rFonts w:cs="Arial"/>
          <w:sz w:val="22"/>
          <w:szCs w:val="22"/>
          <w:lang w:val="es-ES"/>
        </w:rPr>
        <w:t xml:space="preserve"> y Pez sierra. </w:t>
      </w:r>
    </w:p>
    <w:p w14:paraId="5C22B79A" w14:textId="77777777" w:rsidR="00E14786" w:rsidRPr="00074250" w:rsidRDefault="00E14786" w:rsidP="00E14786">
      <w:pPr>
        <w:contextualSpacing/>
        <w:jc w:val="both"/>
        <w:rPr>
          <w:rFonts w:cs="Arial"/>
          <w:sz w:val="22"/>
          <w:szCs w:val="22"/>
          <w:lang w:val="es-ES"/>
        </w:rPr>
      </w:pPr>
    </w:p>
    <w:p w14:paraId="05CA343E" w14:textId="3AEA6B68" w:rsidR="00620032" w:rsidRPr="00074250" w:rsidRDefault="00620032"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Las Zonas FAO con la proporción más alta de desembarcos notificados incluyen Atlántico noroccidental (Zona FAO 21; 20 %), Pacífico centro-oeste (Zona FAO 71; 19 %), océano Índico oriental (Zona FAO 57; 16 %), Pacífico suroriental (Zona FAO 87; 14 %) y océano Índico occidental (Zona FAO 51; 11 %). Las zonas que supusieron &lt;1 % de los desembarcos notificados incluyen el mar Mediterráneo y el mar Negro (Zona FAO 37), Atlántico centro-occidental (Zona FAO 31), Pacífico noroccidental (Zona FAO 61) y las zonas que rodean la Antártida.</w:t>
      </w:r>
    </w:p>
    <w:p w14:paraId="4E27542A" w14:textId="77777777" w:rsidR="00E14786" w:rsidRPr="00074250" w:rsidRDefault="00E14786"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p>
    <w:p w14:paraId="3942E5E5" w14:textId="14000DC4" w:rsidR="00620032" w:rsidRPr="00074250" w:rsidRDefault="00620032" w:rsidP="00E14786">
      <w:pPr>
        <w:contextualSpacing/>
        <w:jc w:val="both"/>
        <w:rPr>
          <w:rFonts w:cs="Arial"/>
          <w:sz w:val="22"/>
          <w:szCs w:val="22"/>
          <w:lang w:val="es-ES"/>
        </w:rPr>
      </w:pPr>
      <w:r w:rsidRPr="00074250">
        <w:rPr>
          <w:rFonts w:cs="Arial"/>
          <w:sz w:val="22"/>
          <w:szCs w:val="22"/>
          <w:lang w:val="es-ES"/>
        </w:rPr>
        <w:t xml:space="preserve">Los desembarcos de especies enumeradas en el Anexo 1 del </w:t>
      </w:r>
      <w:proofErr w:type="spellStart"/>
      <w:r w:rsidRPr="00074250">
        <w:rPr>
          <w:rFonts w:cs="Arial"/>
          <w:sz w:val="22"/>
          <w:szCs w:val="22"/>
          <w:lang w:val="es-ES"/>
        </w:rPr>
        <w:t>MdE</w:t>
      </w:r>
      <w:proofErr w:type="spellEnd"/>
      <w:r w:rsidRPr="00074250">
        <w:rPr>
          <w:rFonts w:cs="Arial"/>
          <w:sz w:val="22"/>
          <w:szCs w:val="22"/>
          <w:lang w:val="es-ES"/>
        </w:rPr>
        <w:t xml:space="preserve"> sobre tiburones en la mayoría de las Zonas FAO fueron notificados por Signatarios y Estados de Área de Distribución sin aguas nacionales en la región. Las únicas Zonas FAO con desembarcos notificados exclusivamente de naciones con territorios en la región incluyen el mar Mediterráneo y en mar Negro (Zona FAO 37), Pacífico noroccidental (Zona FAO 61) y Pacífico nororiental (Zona FAO 67). En casi la mitad de las Zonas FAO, el mayor número de desembarcos de especies enumeradas en el Anexo 1 del </w:t>
      </w:r>
      <w:proofErr w:type="spellStart"/>
      <w:r w:rsidRPr="00074250">
        <w:rPr>
          <w:rFonts w:cs="Arial"/>
          <w:sz w:val="22"/>
          <w:szCs w:val="22"/>
          <w:lang w:val="es-ES"/>
        </w:rPr>
        <w:t>MdE</w:t>
      </w:r>
      <w:proofErr w:type="spellEnd"/>
      <w:r w:rsidRPr="00074250">
        <w:rPr>
          <w:rFonts w:cs="Arial"/>
          <w:sz w:val="22"/>
          <w:szCs w:val="22"/>
          <w:lang w:val="es-ES"/>
        </w:rPr>
        <w:t xml:space="preserve"> sobre tiburones proceden de Signatarios sin aguas nacionales en la zona (Zonas FAO 21, 31, 41, 47, 81, y 87). Esto puede haber sido en parte debido a que los Signatarios de la UE informaron de una proporción menor de sus desembarcos en categorías de desembarcos genéricas y conjuntas, lo que permite una identificación específica de especie más precisa de los desembarcos (para más información, véase </w:t>
      </w:r>
      <w:hyperlink w:anchor="Section5" w:history="1">
        <w:r w:rsidRPr="00074250">
          <w:rPr>
            <w:rFonts w:cs="Arial"/>
            <w:color w:val="0000FF"/>
            <w:sz w:val="22"/>
            <w:szCs w:val="22"/>
            <w:u w:val="single"/>
            <w:lang w:val="es-ES"/>
          </w:rPr>
          <w:t>Sección 5</w:t>
        </w:r>
      </w:hyperlink>
      <w:r w:rsidRPr="00074250">
        <w:rPr>
          <w:rFonts w:cs="Arial"/>
          <w:sz w:val="22"/>
          <w:szCs w:val="22"/>
          <w:lang w:val="es-ES"/>
        </w:rPr>
        <w:t>).</w:t>
      </w:r>
    </w:p>
    <w:p w14:paraId="5BB8469F" w14:textId="77777777" w:rsidR="00E14786" w:rsidRPr="00074250" w:rsidRDefault="00E14786" w:rsidP="00E14786">
      <w:pPr>
        <w:contextualSpacing/>
        <w:jc w:val="both"/>
        <w:rPr>
          <w:rFonts w:cs="Arial"/>
          <w:sz w:val="22"/>
          <w:szCs w:val="22"/>
          <w:lang w:val="es-ES"/>
        </w:rPr>
      </w:pPr>
    </w:p>
    <w:p w14:paraId="567A64F2" w14:textId="77777777" w:rsidR="00620032" w:rsidRPr="00074250" w:rsidRDefault="00620032"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La composición de especies de los desembarcos notificados en cada Zona FAO varió sustancialmente con algunas zonas con una especie dominando los desembarcos y otras teniendo una mayor diversidad de especies enumeradas incluidas en la lista. La distribución y la magnitud de los desembarcos de las especies enumeradas en el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MdE</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sobre tiburones de los Signatarios y de los Estados de Área de Distribución de las diferentes Zonas FAO están resumidos en la Figura 2 y se muestran detalladamente en </w:t>
      </w:r>
      <w:hyperlink r:id="rId34" w:history="1">
        <w:r w:rsidRPr="00074250">
          <w:rPr>
            <w:rFonts w:eastAsia="Arial Unicode MS" w:cs="Arial"/>
            <w:color w:val="0000FF"/>
            <w:sz w:val="22"/>
            <w:szCs w:val="22"/>
            <w:u w:val="single" w:color="000000"/>
            <w:bdr w:val="nil"/>
            <w:lang w:val="es-ES" w:eastAsia="es-ES"/>
            <w14:textOutline w14:w="0" w14:cap="flat" w14:cmpd="sng" w14:algn="ctr">
              <w14:noFill/>
              <w14:prstDash w14:val="solid"/>
              <w14:bevel/>
            </w14:textOutline>
          </w:rPr>
          <w:t>Información Complementaria 2</w:t>
        </w:r>
      </w:hyperlink>
      <w:r w:rsidRPr="00074250">
        <w:rPr>
          <w:rFonts w:eastAsia="Arial Unicode MS" w:cs="Arial"/>
          <w:color w:val="000000"/>
          <w:sz w:val="22"/>
          <w:szCs w:val="22"/>
          <w:u w:val="single" w:color="000000"/>
          <w:bdr w:val="nil"/>
          <w:lang w:val="es-ES" w:eastAsia="es-ES"/>
          <w14:textOutline w14:w="0" w14:cap="flat" w14:cmpd="sng" w14:algn="ctr">
            <w14:noFill/>
            <w14:prstDash w14:val="solid"/>
            <w14:bevel/>
          </w14:textOutline>
        </w:rPr>
        <w:t>.</w:t>
      </w:r>
    </w:p>
    <w:p w14:paraId="307F8131" w14:textId="77777777" w:rsidR="00620032" w:rsidRPr="00074250" w:rsidRDefault="00620032"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p>
    <w:p w14:paraId="268BF025" w14:textId="32AD2592" w:rsidR="00620032" w:rsidRPr="00074250" w:rsidRDefault="00620032" w:rsidP="00E14786">
      <w:pPr>
        <w:keepNext/>
        <w:keepLines/>
        <w:outlineLvl w:val="2"/>
        <w:rPr>
          <w:rFonts w:cs="Arial"/>
          <w:b/>
          <w:bCs/>
          <w:sz w:val="22"/>
          <w:szCs w:val="22"/>
          <w:lang w:val="es-ES"/>
        </w:rPr>
      </w:pPr>
      <w:bookmarkStart w:id="13" w:name="Section4c"/>
      <w:r w:rsidRPr="00074250">
        <w:rPr>
          <w:rFonts w:cs="Arial"/>
          <w:b/>
          <w:bCs/>
          <w:sz w:val="22"/>
          <w:szCs w:val="22"/>
          <w:lang w:val="es-ES"/>
        </w:rPr>
        <w:t>4.</w:t>
      </w:r>
      <w:r w:rsidR="00FA667F">
        <w:rPr>
          <w:rFonts w:cs="Arial"/>
          <w:b/>
          <w:bCs/>
          <w:sz w:val="22"/>
          <w:szCs w:val="22"/>
          <w:lang w:val="es-ES"/>
        </w:rPr>
        <w:t>3</w:t>
      </w:r>
      <w:r w:rsidRPr="00074250">
        <w:rPr>
          <w:rFonts w:cs="Arial"/>
          <w:b/>
          <w:bCs/>
          <w:sz w:val="22"/>
          <w:szCs w:val="22"/>
          <w:lang w:val="es-ES"/>
        </w:rPr>
        <w:tab/>
      </w:r>
      <w:bookmarkEnd w:id="13"/>
      <w:r w:rsidRPr="00074250">
        <w:rPr>
          <w:rFonts w:cs="Arial"/>
          <w:b/>
          <w:bCs/>
          <w:sz w:val="22"/>
          <w:szCs w:val="22"/>
          <w:lang w:val="es-ES"/>
        </w:rPr>
        <w:t>Observaciones y recomendaciones específicas</w:t>
      </w:r>
    </w:p>
    <w:p w14:paraId="61888FE2" w14:textId="77777777" w:rsidR="00620032" w:rsidRPr="00074250" w:rsidRDefault="00620032" w:rsidP="00E14786">
      <w:pPr>
        <w:rPr>
          <w:lang w:val="es-ES"/>
        </w:rPr>
      </w:pPr>
    </w:p>
    <w:p w14:paraId="4F04C624" w14:textId="77777777" w:rsidR="00620032" w:rsidRPr="00074250" w:rsidRDefault="00620032" w:rsidP="00E14786">
      <w:pPr>
        <w:spacing w:after="80"/>
        <w:contextualSpacing/>
        <w:jc w:val="both"/>
        <w:rPr>
          <w:rFonts w:cs="Arial"/>
          <w:sz w:val="22"/>
          <w:szCs w:val="22"/>
          <w:lang w:val="es-ES"/>
        </w:rPr>
      </w:pPr>
      <w:r w:rsidRPr="00074250">
        <w:rPr>
          <w:rFonts w:cs="Arial"/>
          <w:sz w:val="22"/>
          <w:szCs w:val="22"/>
          <w:lang w:val="es-ES"/>
        </w:rPr>
        <w:t xml:space="preserve">Los desembarcos de especies enumeradas en el </w:t>
      </w:r>
      <w:proofErr w:type="spellStart"/>
      <w:r w:rsidRPr="00074250">
        <w:rPr>
          <w:rFonts w:cs="Arial"/>
          <w:sz w:val="22"/>
          <w:szCs w:val="22"/>
          <w:lang w:val="es-ES"/>
        </w:rPr>
        <w:t>MdE</w:t>
      </w:r>
      <w:proofErr w:type="spellEnd"/>
      <w:r w:rsidRPr="00074250">
        <w:rPr>
          <w:rFonts w:cs="Arial"/>
          <w:sz w:val="22"/>
          <w:szCs w:val="22"/>
          <w:lang w:val="es-ES"/>
        </w:rPr>
        <w:t xml:space="preserve"> sobre tiburones no se distribuyen uniformemente entre naciones con aguas nacionales en cada Zona FAO. De hecho, las flotas de pesca de larga distancia de naciones extranjeras declaran a menudo la mayor cantidad de desembarcos. Por lo </w:t>
      </w:r>
      <w:proofErr w:type="gramStart"/>
      <w:r w:rsidRPr="00074250">
        <w:rPr>
          <w:rFonts w:cs="Arial"/>
          <w:sz w:val="22"/>
          <w:szCs w:val="22"/>
          <w:lang w:val="es-ES"/>
        </w:rPr>
        <w:t>tanto</w:t>
      </w:r>
      <w:proofErr w:type="gramEnd"/>
      <w:r w:rsidRPr="00074250">
        <w:rPr>
          <w:rFonts w:cs="Arial"/>
          <w:sz w:val="22"/>
          <w:szCs w:val="22"/>
          <w:lang w:val="es-ES"/>
        </w:rPr>
        <w:t xml:space="preserve"> los desembarcos de las especies enumeradas en el </w:t>
      </w:r>
      <w:proofErr w:type="spellStart"/>
      <w:r w:rsidRPr="00074250">
        <w:rPr>
          <w:rFonts w:cs="Arial"/>
          <w:sz w:val="22"/>
          <w:szCs w:val="22"/>
          <w:lang w:val="es-ES"/>
        </w:rPr>
        <w:t>MdE</w:t>
      </w:r>
      <w:proofErr w:type="spellEnd"/>
      <w:r w:rsidRPr="00074250">
        <w:rPr>
          <w:rFonts w:cs="Arial"/>
          <w:sz w:val="22"/>
          <w:szCs w:val="22"/>
          <w:lang w:val="es-ES"/>
        </w:rPr>
        <w:t xml:space="preserve"> sobre tiburones de los Signatarios de una Zona FAO determinada deben trabajar conjuntamente para abordar las prioridades regionales de investigación identificadas, incluso si no tienen aguas nacionales en esa </w:t>
      </w:r>
      <w:r w:rsidRPr="00074250">
        <w:rPr>
          <w:rFonts w:cs="Arial"/>
          <w:sz w:val="22"/>
          <w:szCs w:val="22"/>
          <w:lang w:val="es-ES"/>
        </w:rPr>
        <w:lastRenderedPageBreak/>
        <w:t xml:space="preserve">región. Las recomendaciones para los siguientes pasos teniendo en cuenta los resultados del análisis son: </w:t>
      </w:r>
    </w:p>
    <w:p w14:paraId="05322248" w14:textId="77777777" w:rsidR="00620032" w:rsidRPr="00074250" w:rsidRDefault="00620032" w:rsidP="002C7D6A">
      <w:pPr>
        <w:widowControl/>
        <w:numPr>
          <w:ilvl w:val="2"/>
          <w:numId w:val="16"/>
        </w:numPr>
        <w:pBdr>
          <w:top w:val="nil"/>
          <w:left w:val="nil"/>
          <w:bottom w:val="nil"/>
          <w:right w:val="nil"/>
          <w:between w:val="nil"/>
          <w:bar w:val="nil"/>
        </w:pBdr>
        <w:autoSpaceDE/>
        <w:autoSpaceDN/>
        <w:adjustRightInd/>
        <w:spacing w:after="80"/>
        <w:jc w:val="both"/>
        <w:rPr>
          <w:rFonts w:cs="Arial"/>
          <w:sz w:val="22"/>
          <w:szCs w:val="22"/>
          <w:lang w:val="es-ES"/>
        </w:rPr>
      </w:pPr>
      <w:r w:rsidRPr="00074250">
        <w:rPr>
          <w:rFonts w:cs="Arial"/>
          <w:sz w:val="22"/>
          <w:szCs w:val="22"/>
          <w:lang w:val="es-ES"/>
        </w:rPr>
        <w:t xml:space="preserve">Considerar la posibilidad de incluir a todos los Signatarios con flotas de larga distancia en una Zona FAO como se indica en la </w:t>
      </w:r>
      <w:hyperlink r:id="rId35" w:history="1">
        <w:r w:rsidRPr="00074250">
          <w:rPr>
            <w:rFonts w:cs="Arial"/>
            <w:color w:val="0000FF"/>
            <w:sz w:val="22"/>
            <w:szCs w:val="22"/>
            <w:u w:val="single"/>
            <w:lang w:val="es-ES"/>
          </w:rPr>
          <w:t>Información Complementaria 2</w:t>
        </w:r>
      </w:hyperlink>
      <w:r w:rsidRPr="00074250">
        <w:rPr>
          <w:rFonts w:cs="Arial"/>
          <w:sz w:val="22"/>
          <w:szCs w:val="22"/>
          <w:lang w:val="es-ES"/>
        </w:rPr>
        <w:t xml:space="preserve"> a la hora de diseñar e implementar planes de investigación coordinados a escala regional para abordar las prioridades regionales de investigación.</w:t>
      </w:r>
    </w:p>
    <w:p w14:paraId="6F59D768" w14:textId="77777777" w:rsidR="00620032" w:rsidRPr="00074250" w:rsidRDefault="00620032" w:rsidP="002C7D6A">
      <w:pPr>
        <w:widowControl/>
        <w:numPr>
          <w:ilvl w:val="2"/>
          <w:numId w:val="16"/>
        </w:numPr>
        <w:pBdr>
          <w:top w:val="nil"/>
          <w:left w:val="nil"/>
          <w:bottom w:val="nil"/>
          <w:right w:val="nil"/>
          <w:between w:val="nil"/>
          <w:bar w:val="nil"/>
        </w:pBdr>
        <w:autoSpaceDE/>
        <w:autoSpaceDN/>
        <w:adjustRightInd/>
        <w:spacing w:after="80"/>
        <w:jc w:val="both"/>
        <w:rPr>
          <w:rFonts w:cs="Arial"/>
          <w:sz w:val="22"/>
          <w:szCs w:val="22"/>
          <w:lang w:val="es-ES"/>
        </w:rPr>
      </w:pPr>
      <w:r w:rsidRPr="00074250">
        <w:rPr>
          <w:rFonts w:cs="Arial"/>
          <w:sz w:val="22"/>
          <w:szCs w:val="22"/>
          <w:lang w:val="es-ES"/>
        </w:rPr>
        <w:t xml:space="preserve">Los Signatarios con las cantidades más elevadas de desembarcos en cada Zona FAO para una especie en particular, como se indica en </w:t>
      </w:r>
      <w:hyperlink r:id="rId36" w:history="1">
        <w:r w:rsidRPr="00074250">
          <w:rPr>
            <w:rFonts w:cs="Arial"/>
            <w:color w:val="0000FF"/>
            <w:sz w:val="22"/>
            <w:szCs w:val="22"/>
            <w:u w:val="single"/>
            <w:lang w:val="es-ES"/>
          </w:rPr>
          <w:t>Información Complementaria 2</w:t>
        </w:r>
      </w:hyperlink>
      <w:r w:rsidRPr="00074250">
        <w:rPr>
          <w:rFonts w:cs="Arial"/>
          <w:sz w:val="22"/>
          <w:szCs w:val="22"/>
          <w:lang w:val="es-ES"/>
        </w:rPr>
        <w:t xml:space="preserve">,deberían convertirse en actores clave para mejorar el conocimiento si la especie se identifica como prioridad regional de investigación, dado el alto grado de interacción de sus pesquerías importante para mejorar el entendimiento de su biología y el estado de la población. </w:t>
      </w:r>
    </w:p>
    <w:p w14:paraId="64A993E9" w14:textId="5634AE71" w:rsidR="00620032" w:rsidRPr="00074250" w:rsidRDefault="00620032" w:rsidP="002C7D6A">
      <w:pPr>
        <w:widowControl/>
        <w:numPr>
          <w:ilvl w:val="2"/>
          <w:numId w:val="16"/>
        </w:numPr>
        <w:pBdr>
          <w:top w:val="nil"/>
          <w:left w:val="nil"/>
          <w:bottom w:val="nil"/>
          <w:right w:val="nil"/>
          <w:between w:val="nil"/>
          <w:bar w:val="nil"/>
        </w:pBdr>
        <w:autoSpaceDE/>
        <w:autoSpaceDN/>
        <w:adjustRightInd/>
        <w:jc w:val="both"/>
        <w:rPr>
          <w:rFonts w:cs="Arial"/>
          <w:sz w:val="22"/>
          <w:szCs w:val="22"/>
          <w:lang w:val="es-ES"/>
        </w:rPr>
      </w:pPr>
      <w:r w:rsidRPr="00074250">
        <w:rPr>
          <w:rFonts w:cs="Arial"/>
          <w:sz w:val="22"/>
          <w:szCs w:val="22"/>
          <w:lang w:val="es-ES"/>
        </w:rPr>
        <w:t>Los no-signatarios informan de una proporción significativa de los desembarcos oficiales en ciertas Zonas FAO. Se debe instar a esfuerzos colaborativos en gestión de pesquerías, conservación e investigación científica a través de acuerdos regionales y bilaterales, acciones concertadas y Organismos Regionales de Ordenación Pesquera (OROP) y Organismos Regionales de Pesca (ORP) relevantes.</w:t>
      </w:r>
    </w:p>
    <w:p w14:paraId="3E150BB4" w14:textId="77777777" w:rsidR="00E14786" w:rsidRPr="00074250" w:rsidRDefault="00E14786" w:rsidP="00E14786">
      <w:pPr>
        <w:widowControl/>
        <w:pBdr>
          <w:top w:val="nil"/>
          <w:left w:val="nil"/>
          <w:bottom w:val="nil"/>
          <w:right w:val="nil"/>
          <w:between w:val="nil"/>
          <w:bar w:val="nil"/>
        </w:pBdr>
        <w:autoSpaceDE/>
        <w:autoSpaceDN/>
        <w:adjustRightInd/>
        <w:ind w:left="426"/>
        <w:jc w:val="both"/>
        <w:rPr>
          <w:rFonts w:cs="Arial"/>
          <w:sz w:val="22"/>
          <w:szCs w:val="22"/>
          <w:lang w:val="es-ES"/>
        </w:rPr>
      </w:pPr>
    </w:p>
    <w:p w14:paraId="1DA3D3D2" w14:textId="30BACCDB" w:rsidR="00A32203" w:rsidRPr="00074250" w:rsidRDefault="00620032" w:rsidP="00E14786">
      <w:pPr>
        <w:ind w:right="26"/>
        <w:jc w:val="both"/>
        <w:rPr>
          <w:rFonts w:cs="Arial"/>
          <w:sz w:val="22"/>
          <w:szCs w:val="22"/>
          <w:lang w:val="es-ES"/>
        </w:rPr>
      </w:pPr>
      <w:r w:rsidRPr="00074250">
        <w:rPr>
          <w:rFonts w:cs="Arial"/>
          <w:sz w:val="22"/>
          <w:szCs w:val="22"/>
          <w:lang w:val="es-ES"/>
        </w:rPr>
        <w:t xml:space="preserve">Los Signatarios deben instar a los Estados del Área de Distribución no signatarios a unirse al </w:t>
      </w:r>
      <w:proofErr w:type="spellStart"/>
      <w:r w:rsidRPr="00074250">
        <w:rPr>
          <w:rFonts w:cs="Arial"/>
          <w:sz w:val="22"/>
          <w:szCs w:val="22"/>
          <w:lang w:val="es-ES"/>
        </w:rPr>
        <w:t>MdE</w:t>
      </w:r>
      <w:proofErr w:type="spellEnd"/>
      <w:r w:rsidRPr="00074250">
        <w:rPr>
          <w:rFonts w:cs="Arial"/>
          <w:sz w:val="22"/>
          <w:szCs w:val="22"/>
          <w:lang w:val="es-ES"/>
        </w:rPr>
        <w:t xml:space="preserve"> sobre tiburones, para mejorar la coordinación de los planes de investigación y las acciones de conservación y sostenibilidad de pesquerías relevantes.</w:t>
      </w:r>
    </w:p>
    <w:p w14:paraId="0951A9A8" w14:textId="1CE63912" w:rsidR="009454AA" w:rsidRPr="00074250" w:rsidRDefault="009454AA" w:rsidP="00E14786">
      <w:pPr>
        <w:ind w:right="26"/>
        <w:jc w:val="both"/>
        <w:rPr>
          <w:rFonts w:cs="Arial"/>
          <w:bCs/>
          <w:iCs/>
          <w:sz w:val="22"/>
          <w:szCs w:val="22"/>
          <w:lang w:val="es-ES"/>
        </w:rPr>
      </w:pPr>
    </w:p>
    <w:p w14:paraId="6C477017" w14:textId="77777777" w:rsidR="009454AA" w:rsidRPr="00074250" w:rsidRDefault="009454AA" w:rsidP="00E14786">
      <w:pPr>
        <w:ind w:right="26"/>
        <w:jc w:val="both"/>
        <w:rPr>
          <w:rFonts w:cs="Arial"/>
          <w:bCs/>
          <w:iCs/>
          <w:sz w:val="22"/>
          <w:szCs w:val="22"/>
          <w:lang w:val="es-ES"/>
        </w:rPr>
        <w:sectPr w:rsidR="009454AA" w:rsidRPr="00074250" w:rsidSect="00620032">
          <w:headerReference w:type="default" r:id="rId37"/>
          <w:headerReference w:type="first" r:id="rId38"/>
          <w:pgSz w:w="11906" w:h="16838" w:code="9"/>
          <w:pgMar w:top="1138" w:right="1138" w:bottom="1138" w:left="1138" w:header="706" w:footer="706" w:gutter="0"/>
          <w:cols w:space="720"/>
          <w:titlePg/>
          <w:docGrid w:linePitch="245"/>
        </w:sectPr>
      </w:pPr>
    </w:p>
    <w:p w14:paraId="49DAE6AE" w14:textId="10600A58" w:rsidR="009454AA" w:rsidRPr="00074250" w:rsidRDefault="009454AA" w:rsidP="009454AA">
      <w:pPr>
        <w:widowControl/>
        <w:pBdr>
          <w:top w:val="nil"/>
          <w:left w:val="nil"/>
          <w:bottom w:val="nil"/>
          <w:right w:val="nil"/>
          <w:between w:val="nil"/>
          <w:bar w:val="nil"/>
        </w:pBdr>
        <w:autoSpaceDE/>
        <w:autoSpaceDN/>
        <w:adjustRightInd/>
        <w:spacing w:after="160" w:line="276" w:lineRule="auto"/>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sectPr w:rsidR="009454AA" w:rsidRPr="00074250" w:rsidSect="00E31F80">
          <w:footerReference w:type="default" r:id="rId39"/>
          <w:pgSz w:w="15840" w:h="12240" w:orient="landscape"/>
          <w:pgMar w:top="1440" w:right="1440" w:bottom="142" w:left="1440" w:header="426" w:footer="706" w:gutter="0"/>
          <w:cols w:space="720"/>
          <w:docGrid w:linePitch="245"/>
        </w:sectPr>
      </w:pPr>
      <w:r w:rsidRPr="00074250">
        <w:rPr>
          <w:rFonts w:eastAsia="Arial Unicode MS" w:cs="Arial"/>
          <w:b/>
          <w:bCs/>
          <w:noProof/>
          <w:color w:val="000000"/>
          <w:sz w:val="22"/>
          <w:szCs w:val="22"/>
          <w:u w:color="000000"/>
          <w:bdr w:val="nil"/>
          <w:lang w:val="es-ES" w:eastAsia="es-ES"/>
          <w14:textOutline w14:w="0" w14:cap="flat" w14:cmpd="sng" w14:algn="ctr">
            <w14:noFill/>
            <w14:prstDash w14:val="solid"/>
            <w14:bevel/>
          </w14:textOutline>
        </w:rPr>
        <w:lastRenderedPageBreak/>
        <mc:AlternateContent>
          <mc:Choice Requires="wps">
            <w:drawing>
              <wp:anchor distT="45720" distB="45720" distL="114300" distR="114300" simplePos="0" relativeHeight="251661312" behindDoc="1" locked="0" layoutInCell="1" allowOverlap="1" wp14:anchorId="732C0DAC" wp14:editId="1DEAFC09">
                <wp:simplePos x="0" y="0"/>
                <wp:positionH relativeFrom="column">
                  <wp:posOffset>-428625</wp:posOffset>
                </wp:positionH>
                <wp:positionV relativeFrom="paragraph">
                  <wp:posOffset>5553075</wp:posOffset>
                </wp:positionV>
                <wp:extent cx="9042400" cy="1028700"/>
                <wp:effectExtent l="0" t="0" r="635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0" cy="1028700"/>
                        </a:xfrm>
                        <a:prstGeom prst="rect">
                          <a:avLst/>
                        </a:prstGeom>
                        <a:solidFill>
                          <a:srgbClr val="FFFFFF"/>
                        </a:solidFill>
                        <a:ln w="9525">
                          <a:noFill/>
                          <a:miter lim="800000"/>
                          <a:headEnd/>
                          <a:tailEnd/>
                        </a:ln>
                      </wps:spPr>
                      <wps:txbx>
                        <w:txbxContent>
                          <w:p w14:paraId="22A03209" w14:textId="77777777" w:rsidR="00E31F80" w:rsidRPr="009B36B6" w:rsidRDefault="00E31F80" w:rsidP="009454AA">
                            <w:pPr>
                              <w:jc w:val="both"/>
                              <w:rPr>
                                <w:szCs w:val="18"/>
                                <w:lang w:val="es-ES"/>
                              </w:rPr>
                            </w:pPr>
                            <w:r w:rsidRPr="009B36B6">
                              <w:rPr>
                                <w:b/>
                                <w:bCs/>
                                <w:szCs w:val="18"/>
                                <w:lang w:val="es-ES"/>
                              </w:rPr>
                              <w:t>Figura 2: media anual mundial de desembarcos incluidos en el Anexo I del MdE sobre tiburones, según lo notificado a la FAO (2015-2019; toneladas de peso vivo).</w:t>
                            </w:r>
                            <w:r w:rsidRPr="009B36B6">
                              <w:rPr>
                                <w:szCs w:val="18"/>
                                <w:lang w:val="es-ES"/>
                              </w:rPr>
                              <w:t xml:space="preserve"> La magnitud total de los desembarcos informados para cada Zona FAO se indica con la intensidad del color (Referencia parte superior izquierda). Las parcelas de cada Zona FAO representan las tres primeras naciones con la magnitud más alta de desembarcos notificados y el total para las naciones restantes. Los desembarcos de cada especie se representan con un color diferente (Referencia en la parte inferior). El estado de cada nación respecto a su adhesión a la CMS y al MdE sobre tiburones se representa con un cuadrado de color en el eje x de cada parcela (Referencia arriba a la derecha). Los Estados Miembros de la UE están todos destacados como Signatarios del MdE sobre tiburones y Parte de la CMS (azul) independientemente de si el país individual ha firmado el MdE sobre tiburones. Véase </w:t>
                            </w:r>
                            <w:hyperlink r:id="rId40" w:history="1">
                              <w:r w:rsidRPr="009B36B6">
                                <w:rPr>
                                  <w:rStyle w:val="Hyperlink"/>
                                  <w:rFonts w:cs="Arial"/>
                                  <w:szCs w:val="18"/>
                                  <w:lang w:val="es-ES"/>
                                </w:rPr>
                                <w:t>Información Complementaria 2</w:t>
                              </w:r>
                            </w:hyperlink>
                            <w:r w:rsidRPr="009B36B6">
                              <w:rPr>
                                <w:rStyle w:val="Hyperlink"/>
                                <w:rFonts w:cs="Arial"/>
                                <w:szCs w:val="18"/>
                                <w:lang w:val="es-ES"/>
                              </w:rPr>
                              <w:t xml:space="preserve"> </w:t>
                            </w:r>
                            <w:r w:rsidRPr="009B36B6">
                              <w:rPr>
                                <w:szCs w:val="18"/>
                                <w:lang w:val="es-ES"/>
                              </w:rPr>
                              <w:t>para consultar los países informadores y las especies desembarcadas en cada Zona FAO.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2C0DAC" id="_x0000_t202" coordsize="21600,21600" o:spt="202" path="m,l,21600r21600,l21600,xe">
                <v:stroke joinstyle="miter"/>
                <v:path gradientshapeok="t" o:connecttype="rect"/>
              </v:shapetype>
              <v:shape id="Text Box 2" o:spid="_x0000_s1026" type="#_x0000_t202" style="position:absolute;left:0;text-align:left;margin-left:-33.75pt;margin-top:437.25pt;width:712pt;height:81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JP+CgIAAPcDAAAOAAAAZHJzL2Uyb0RvYy54bWysU1Fv0zAQfkfiP1h+p0mrlm1R02l0FCGN&#10;gTT4AY7jNBaOz5zdJuXXc3ayrsAbwg+Wz3f+7u67z+vboTPsqNBrsCWfz3LOlJVQa7sv+bevuzfX&#10;nPkgbC0MWFXyk/L8dvP61bp3hVpAC6ZWyAjE+qJ3JW9DcEWWedmqTvgZOGXJ2QB2IpCJ+6xG0RN6&#10;Z7JFnr/NesDaIUjlPd3ej06+SfhNo2T43DReBWZKTrWFtGPaq7hnm7Uo9ihcq+VUhviHKjqhLSU9&#10;Q92LINgB9V9QnZYIHpowk9Bl0DRaqtQDdTPP/+jmqRVOpV6IHO/ONPn/Bysfj0/uC7IwvIOBBpia&#10;8O4B5HfPLGxbYffqDhH6VomaEs8jZVnvfDE9jVT7wkeQqv8ENQ1ZHAIkoKHBLrJCfTJCpwGczqSr&#10;ITBJlzf5crHMySXJN88X11dkxByieH7u0IcPCjoWDyVHmmqCF8cHH8bQ55CYzYPR9U4bkwzcV1uD&#10;7ChIAbu0JvTfwoxlPdWyWqwSsoX4Pomj04EUanRX8us8rlEzkY73tk4hQWgznqloYyd+IiUjOWGo&#10;BgqMPFVQn4gphFGJ9HPo0AL+5KwnFZbc/zgIVJyZj5bYvpkvl1G2yViurhZk4KWnuvQIKwmq5IGz&#10;8bgNSeqRBwt3NJVGJ75eKplqJXUlxqefEOV7aaeol/+6+QUAAP//AwBQSwMEFAAGAAgAAAAhACDe&#10;bODeAAAADQEAAA8AAABkcnMvZG93bnJldi54bWxMj8FOg0AQhu8mvsNmTLyYdtEWqMjSqInGa2sf&#10;YIApENlZwm4LfXunJ719k/nzzzf5dra9OtPoO8cGHpcRKOLK1R03Bg7fH4sNKB+Qa+wdk4ELedgW&#10;tzc5ZrWbeEfnfWiUlLDP0EAbwpBp7auWLPqlG4hld3SjxSDj2Oh6xEnKba+foijRFjuWCy0O9N5S&#10;9bM/WQPHr+khfp7Kz3BId+vkDbu0dBdj7u/m1xdQgebwF4arvqhDIU6lO3HtVW9gkaSxRA1s0rXA&#10;NbGKE6FSKFoJ6SLX/78ofgEAAP//AwBQSwECLQAUAAYACAAAACEAtoM4kv4AAADhAQAAEwAAAAAA&#10;AAAAAAAAAAAAAAAAW0NvbnRlbnRfVHlwZXNdLnhtbFBLAQItABQABgAIAAAAIQA4/SH/1gAAAJQB&#10;AAALAAAAAAAAAAAAAAAAAC8BAABfcmVscy8ucmVsc1BLAQItABQABgAIAAAAIQCv4JP+CgIAAPcD&#10;AAAOAAAAAAAAAAAAAAAAAC4CAABkcnMvZTJvRG9jLnhtbFBLAQItABQABgAIAAAAIQAg3mzg3gAA&#10;AA0BAAAPAAAAAAAAAAAAAAAAAGQEAABkcnMvZG93bnJldi54bWxQSwUGAAAAAAQABADzAAAAbwUA&#10;AAAA&#10;" stroked="f">
                <v:textbox>
                  <w:txbxContent>
                    <w:p w14:paraId="22A03209" w14:textId="77777777" w:rsidR="00E31F80" w:rsidRPr="009B36B6" w:rsidRDefault="00E31F80" w:rsidP="009454AA">
                      <w:pPr>
                        <w:jc w:val="both"/>
                        <w:rPr>
                          <w:szCs w:val="18"/>
                          <w:lang w:val="es-ES"/>
                        </w:rPr>
                      </w:pPr>
                      <w:r w:rsidRPr="009B36B6">
                        <w:rPr>
                          <w:b/>
                          <w:bCs/>
                          <w:szCs w:val="18"/>
                          <w:lang w:val="es-ES"/>
                        </w:rPr>
                        <w:t>Figura 2: media anual mundial de desembarcos incluidos en el Anexo I del MdE sobre tiburones, según lo notificado a la FAO (2015-2019; toneladas de peso vivo).</w:t>
                      </w:r>
                      <w:r w:rsidRPr="009B36B6">
                        <w:rPr>
                          <w:szCs w:val="18"/>
                          <w:lang w:val="es-ES"/>
                        </w:rPr>
                        <w:t xml:space="preserve"> La magnitud total de los desembarcos informados para cada Zona FAO se indica con la intensidad del color (Referencia parte superior izquierda). Las parcelas de cada Zona FAO representan las tres primeras naciones con la magnitud más alta de desembarcos notificados y el total para las naciones restantes. Los desembarcos de cada especie se representan con un color diferente (Referencia en la parte inferior). El estado de cada nación respecto a su adhesión a la CMS y al MdE sobre tiburones se representa con un cuadrado de color en el eje x de cada parcela (Referencia arriba a la derecha). Los Estados Miembros de la UE están todos destacados como Signatarios del MdE sobre tiburones y Parte de la CMS (azul) independientemente de si el país individual ha firmado el MdE sobre tiburones. Véase </w:t>
                      </w:r>
                      <w:hyperlink r:id="rId41" w:history="1">
                        <w:r w:rsidRPr="009B36B6">
                          <w:rPr>
                            <w:rStyle w:val="Hyperlink"/>
                            <w:rFonts w:cs="Arial"/>
                            <w:szCs w:val="18"/>
                            <w:lang w:val="es-ES"/>
                          </w:rPr>
                          <w:t>Información Complementaria 2</w:t>
                        </w:r>
                      </w:hyperlink>
                      <w:r w:rsidRPr="009B36B6">
                        <w:rPr>
                          <w:rStyle w:val="Hyperlink"/>
                          <w:rFonts w:cs="Arial"/>
                          <w:szCs w:val="18"/>
                          <w:lang w:val="es-ES"/>
                        </w:rPr>
                        <w:t xml:space="preserve"> </w:t>
                      </w:r>
                      <w:r w:rsidRPr="009B36B6">
                        <w:rPr>
                          <w:szCs w:val="18"/>
                          <w:lang w:val="es-ES"/>
                        </w:rPr>
                        <w:t>para consultar los países informadores y las especies desembarcadas en cada Zona FAO.</w:t>
                      </w:r>
                    </w:p>
                  </w:txbxContent>
                </v:textbox>
              </v:shape>
            </w:pict>
          </mc:Fallback>
        </mc:AlternateContent>
      </w:r>
      <w:r w:rsidRPr="00074250">
        <w:rPr>
          <w:rFonts w:eastAsia="Arial Unicode MS" w:cs="Arial"/>
          <w:noProof/>
          <w:color w:val="000000"/>
          <w:sz w:val="22"/>
          <w:szCs w:val="22"/>
          <w:u w:color="000000"/>
          <w:bdr w:val="nil"/>
          <w:lang w:val="es-ES" w:eastAsia="es-ES"/>
          <w14:textOutline w14:w="0" w14:cap="flat" w14:cmpd="sng" w14:algn="ctr">
            <w14:noFill/>
            <w14:prstDash w14:val="solid"/>
            <w14:bevel/>
          </w14:textOutline>
        </w:rPr>
        <w:drawing>
          <wp:anchor distT="0" distB="0" distL="114300" distR="114300" simplePos="0" relativeHeight="251662336" behindDoc="0" locked="0" layoutInCell="1" allowOverlap="1" wp14:anchorId="6DD08457" wp14:editId="1C1301F8">
            <wp:simplePos x="0" y="0"/>
            <wp:positionH relativeFrom="column">
              <wp:posOffset>17929</wp:posOffset>
            </wp:positionH>
            <wp:positionV relativeFrom="paragraph">
              <wp:posOffset>-385482</wp:posOffset>
            </wp:positionV>
            <wp:extent cx="8202706" cy="5879776"/>
            <wp:effectExtent l="0" t="0" r="8255" b="6985"/>
            <wp:wrapNone/>
            <wp:docPr id="3" name="officeArt object"/>
            <wp:cNvGraphicFramePr/>
            <a:graphic xmlns:a="http://schemas.openxmlformats.org/drawingml/2006/main">
              <a:graphicData uri="http://schemas.openxmlformats.org/drawingml/2006/picture">
                <pic:pic xmlns:pic="http://schemas.openxmlformats.org/drawingml/2006/picture">
                  <pic:nvPicPr>
                    <pic:cNvPr id="8" name="officeArt object"/>
                    <pic:cNvPicPr>
                      <a:picLocks noChangeAspect="1"/>
                    </pic:cNvPicPr>
                  </pic:nvPicPr>
                  <pic:blipFill rotWithShape="1">
                    <a:blip r:embed="rId42" cstate="print">
                      <a:extLst>
                        <a:ext uri="{28A0092B-C50C-407E-A947-70E740481C1C}">
                          <a14:useLocalDpi xmlns:a14="http://schemas.microsoft.com/office/drawing/2010/main" val="0"/>
                        </a:ext>
                      </a:extLst>
                    </a:blip>
                    <a:srcRect l="703" r="743"/>
                    <a:stretch/>
                  </pic:blipFill>
                  <pic:spPr bwMode="auto">
                    <a:xfrm>
                      <a:off x="0" y="0"/>
                      <a:ext cx="8203158" cy="58801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3E169B81" w14:textId="19EF35A2" w:rsidR="009454AA" w:rsidRPr="00074250" w:rsidRDefault="009454AA" w:rsidP="002C7D6A">
      <w:pPr>
        <w:widowControl/>
        <w:numPr>
          <w:ilvl w:val="0"/>
          <w:numId w:val="20"/>
        </w:numPr>
        <w:pBdr>
          <w:top w:val="nil"/>
          <w:left w:val="nil"/>
          <w:bottom w:val="nil"/>
          <w:right w:val="nil"/>
          <w:between w:val="nil"/>
          <w:bar w:val="nil"/>
        </w:pBdr>
        <w:autoSpaceDE/>
        <w:autoSpaceDN/>
        <w:adjustRightInd/>
        <w:jc w:val="both"/>
        <w:outlineLvl w:val="1"/>
        <w:rPr>
          <w:rFonts w:cs="Arial"/>
          <w:b/>
          <w:bCs/>
          <w:sz w:val="22"/>
          <w:szCs w:val="22"/>
          <w:u w:val="single"/>
          <w:lang w:val="es-ES"/>
        </w:rPr>
      </w:pPr>
      <w:bookmarkStart w:id="14" w:name="Section5"/>
      <w:r w:rsidRPr="00074250">
        <w:rPr>
          <w:rFonts w:cs="Arial"/>
          <w:b/>
          <w:bCs/>
          <w:sz w:val="22"/>
          <w:szCs w:val="22"/>
          <w:u w:val="single"/>
          <w:lang w:val="es-ES"/>
        </w:rPr>
        <w:lastRenderedPageBreak/>
        <w:t xml:space="preserve">Los desembarcos de tiburones y rayas notificados mediante los códigos de especies genéricas y conjuntos pueden estar o no relacionados con especies enumeradas en el Anexo 1 del </w:t>
      </w:r>
      <w:proofErr w:type="spellStart"/>
      <w:r w:rsidRPr="00074250">
        <w:rPr>
          <w:rFonts w:cs="Arial"/>
          <w:b/>
          <w:bCs/>
          <w:sz w:val="22"/>
          <w:szCs w:val="22"/>
          <w:u w:val="single"/>
          <w:lang w:val="es-ES"/>
        </w:rPr>
        <w:t>MdE</w:t>
      </w:r>
      <w:proofErr w:type="spellEnd"/>
      <w:r w:rsidRPr="00074250">
        <w:rPr>
          <w:rFonts w:cs="Arial"/>
          <w:b/>
          <w:bCs/>
          <w:sz w:val="22"/>
          <w:szCs w:val="22"/>
          <w:u w:val="single"/>
          <w:lang w:val="es-ES"/>
        </w:rPr>
        <w:t xml:space="preserve"> sobre tiburones.</w:t>
      </w:r>
    </w:p>
    <w:p w14:paraId="08E94C31" w14:textId="77777777" w:rsidR="009454AA" w:rsidRPr="00074250" w:rsidRDefault="009454AA" w:rsidP="009454AA">
      <w:pPr>
        <w:widowControl/>
        <w:pBdr>
          <w:top w:val="nil"/>
          <w:left w:val="nil"/>
          <w:bottom w:val="nil"/>
          <w:right w:val="nil"/>
          <w:between w:val="nil"/>
          <w:bar w:val="nil"/>
        </w:pBdr>
        <w:autoSpaceDE/>
        <w:autoSpaceDN/>
        <w:adjustRightInd/>
        <w:ind w:left="360"/>
        <w:jc w:val="both"/>
        <w:outlineLvl w:val="1"/>
        <w:rPr>
          <w:rFonts w:cs="Arial"/>
          <w:b/>
          <w:bCs/>
          <w:sz w:val="22"/>
          <w:szCs w:val="22"/>
          <w:u w:val="single"/>
          <w:lang w:val="es-ES"/>
        </w:rPr>
      </w:pPr>
    </w:p>
    <w:bookmarkEnd w:id="14"/>
    <w:p w14:paraId="04586B6C" w14:textId="69A53357" w:rsidR="009454AA" w:rsidRPr="00074250" w:rsidRDefault="009454AA" w:rsidP="009454AA">
      <w:pPr>
        <w:keepNext/>
        <w:keepLines/>
        <w:outlineLvl w:val="2"/>
        <w:rPr>
          <w:rFonts w:cs="Arial"/>
          <w:b/>
          <w:bCs/>
          <w:sz w:val="22"/>
          <w:szCs w:val="22"/>
          <w:lang w:val="es-ES"/>
        </w:rPr>
      </w:pPr>
      <w:r w:rsidRPr="00074250">
        <w:rPr>
          <w:rFonts w:cs="Arial"/>
          <w:b/>
          <w:bCs/>
          <w:sz w:val="22"/>
          <w:szCs w:val="22"/>
          <w:lang w:val="es-ES"/>
        </w:rPr>
        <w:t>5.</w:t>
      </w:r>
      <w:r w:rsidR="00FA667F">
        <w:rPr>
          <w:rFonts w:cs="Arial"/>
          <w:b/>
          <w:bCs/>
          <w:sz w:val="22"/>
          <w:szCs w:val="22"/>
          <w:lang w:val="es-ES"/>
        </w:rPr>
        <w:t>1</w:t>
      </w:r>
      <w:r w:rsidRPr="00074250">
        <w:rPr>
          <w:rFonts w:cs="Arial"/>
          <w:b/>
          <w:bCs/>
          <w:sz w:val="22"/>
          <w:szCs w:val="22"/>
          <w:lang w:val="es-ES"/>
        </w:rPr>
        <w:tab/>
        <w:t>Antecedentes</w:t>
      </w:r>
    </w:p>
    <w:p w14:paraId="0277F250" w14:textId="77777777" w:rsidR="009454AA" w:rsidRPr="00074250" w:rsidRDefault="009454AA" w:rsidP="009454AA">
      <w:pPr>
        <w:keepNext/>
        <w:keepLines/>
        <w:outlineLvl w:val="2"/>
        <w:rPr>
          <w:rFonts w:cs="Arial"/>
          <w:b/>
          <w:bCs/>
          <w:sz w:val="22"/>
          <w:szCs w:val="22"/>
          <w:lang w:val="es-ES"/>
        </w:rPr>
      </w:pPr>
    </w:p>
    <w:p w14:paraId="4F1DD39E" w14:textId="4E9794FE" w:rsidR="009454AA" w:rsidRPr="00074250"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bookmarkStart w:id="15" w:name="_Hlk118021990"/>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Los desembarcos notificados a la FAO son clasificados en categorías de especies normalizadas reconocidas por la </w:t>
      </w:r>
      <w:hyperlink r:id="rId43" w:history="1">
        <w:r w:rsidRPr="00074250">
          <w:rPr>
            <w:rFonts w:eastAsia="Arial Unicode MS" w:cs="Arial"/>
            <w:color w:val="0000FF"/>
            <w:sz w:val="22"/>
            <w:szCs w:val="22"/>
            <w:u w:val="single" w:color="000000"/>
            <w:bdr w:val="nil"/>
            <w:lang w:val="es-ES" w:eastAsia="es-ES"/>
            <w14:textOutline w14:w="0" w14:cap="flat" w14:cmpd="sng" w14:algn="ctr">
              <w14:noFill/>
              <w14:prstDash w14:val="solid"/>
              <w14:bevel/>
            </w14:textOutline>
          </w:rPr>
          <w:t>lista de especies ASFIS</w:t>
        </w:r>
      </w:hyperlink>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Cuando se preparó este documento, la lista de especies ASFIS incluía 13 060 categorías taxonómicas relevantes para las pesquerías y los sectores acuícolas del mundo (publicación de la base de datos 2021). </w:t>
      </w:r>
    </w:p>
    <w:p w14:paraId="283BBB61" w14:textId="77777777" w:rsidR="009454AA" w:rsidRPr="00074250"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p>
    <w:bookmarkEnd w:id="15"/>
    <w:p w14:paraId="464C35E1" w14:textId="0F5F05F2" w:rsidR="009454AA" w:rsidRPr="00074250" w:rsidRDefault="009454AA" w:rsidP="009454AA">
      <w:pPr>
        <w:contextualSpacing/>
        <w:jc w:val="both"/>
        <w:rPr>
          <w:rFonts w:cs="Arial"/>
          <w:sz w:val="22"/>
          <w:szCs w:val="22"/>
          <w:lang w:val="es-ES"/>
        </w:rPr>
      </w:pPr>
      <w:r w:rsidRPr="00074250">
        <w:rPr>
          <w:rFonts w:cs="Arial"/>
          <w:sz w:val="22"/>
          <w:szCs w:val="22"/>
          <w:lang w:val="es-ES"/>
        </w:rPr>
        <w:t xml:space="preserve">Había 59 categorías que podían usarse para identificar desembarcos de especies de tiburones y rayas enumeradas en el Anexo 1 del </w:t>
      </w:r>
      <w:proofErr w:type="spellStart"/>
      <w:r w:rsidRPr="00074250">
        <w:rPr>
          <w:rFonts w:cs="Arial"/>
          <w:sz w:val="22"/>
          <w:szCs w:val="22"/>
          <w:lang w:val="es-ES"/>
        </w:rPr>
        <w:t>MdE</w:t>
      </w:r>
      <w:proofErr w:type="spellEnd"/>
      <w:r w:rsidRPr="00074250">
        <w:rPr>
          <w:rFonts w:cs="Arial"/>
          <w:sz w:val="22"/>
          <w:szCs w:val="22"/>
          <w:lang w:val="es-ES"/>
        </w:rPr>
        <w:t xml:space="preserve"> sobre tiburones. Estas categorías de especies oscilaban entre las especies (p.ej. Tiburón jaquetón), género (p.ej. “Cazones </w:t>
      </w:r>
      <w:proofErr w:type="spellStart"/>
      <w:r w:rsidRPr="00074250">
        <w:rPr>
          <w:rFonts w:cs="Arial"/>
          <w:i/>
          <w:iCs/>
          <w:sz w:val="22"/>
          <w:szCs w:val="22"/>
          <w:lang w:val="es-ES"/>
        </w:rPr>
        <w:t>Carcharhinus</w:t>
      </w:r>
      <w:proofErr w:type="spellEnd"/>
      <w:r w:rsidRPr="00074250">
        <w:rPr>
          <w:rFonts w:cs="Arial"/>
          <w:sz w:val="22"/>
          <w:szCs w:val="22"/>
          <w:lang w:val="es-ES"/>
        </w:rPr>
        <w:t xml:space="preserve"> </w:t>
      </w:r>
      <w:proofErr w:type="spellStart"/>
      <w:r w:rsidRPr="00074250">
        <w:rPr>
          <w:rFonts w:cs="Arial"/>
          <w:sz w:val="22"/>
          <w:szCs w:val="22"/>
          <w:lang w:val="es-ES"/>
        </w:rPr>
        <w:t>nep</w:t>
      </w:r>
      <w:proofErr w:type="spellEnd"/>
      <w:r w:rsidRPr="00074250">
        <w:rPr>
          <w:rFonts w:cs="Arial"/>
          <w:sz w:val="22"/>
          <w:szCs w:val="22"/>
          <w:lang w:val="es-ES"/>
        </w:rPr>
        <w:t>”) o nivel familiar (p.ej. "cazones, picudos,</w:t>
      </w:r>
      <w:r w:rsidR="008D29FA" w:rsidRPr="00074250">
        <w:rPr>
          <w:rFonts w:cs="Arial"/>
          <w:sz w:val="22"/>
          <w:szCs w:val="22"/>
          <w:lang w:val="es-ES"/>
        </w:rPr>
        <w:t xml:space="preserve"> </w:t>
      </w:r>
      <w:proofErr w:type="spellStart"/>
      <w:r w:rsidRPr="00074250">
        <w:rPr>
          <w:rFonts w:cs="Arial"/>
          <w:sz w:val="22"/>
          <w:szCs w:val="22"/>
          <w:lang w:val="es-ES"/>
        </w:rPr>
        <w:t>tintoretas</w:t>
      </w:r>
      <w:proofErr w:type="spellEnd"/>
      <w:r w:rsidRPr="00074250">
        <w:rPr>
          <w:rFonts w:cs="Arial"/>
          <w:sz w:val="22"/>
          <w:szCs w:val="22"/>
          <w:lang w:val="es-ES"/>
        </w:rPr>
        <w:t xml:space="preserve"> </w:t>
      </w:r>
      <w:proofErr w:type="spellStart"/>
      <w:r w:rsidRPr="00074250">
        <w:rPr>
          <w:rFonts w:cs="Arial"/>
          <w:sz w:val="22"/>
          <w:szCs w:val="22"/>
          <w:lang w:val="es-ES"/>
        </w:rPr>
        <w:t>nep</w:t>
      </w:r>
      <w:proofErr w:type="spellEnd"/>
      <w:r w:rsidRPr="00074250">
        <w:rPr>
          <w:rFonts w:cs="Arial"/>
          <w:sz w:val="22"/>
          <w:szCs w:val="22"/>
          <w:lang w:val="es-ES"/>
        </w:rPr>
        <w:t xml:space="preserve">) hasta niveles taxonómicos superiores (p.ej., "Rayas, pastinacas, mantas </w:t>
      </w:r>
      <w:proofErr w:type="spellStart"/>
      <w:r w:rsidRPr="00074250">
        <w:rPr>
          <w:rFonts w:cs="Arial"/>
          <w:sz w:val="22"/>
          <w:szCs w:val="22"/>
          <w:lang w:val="es-ES"/>
        </w:rPr>
        <w:t>nep</w:t>
      </w:r>
      <w:proofErr w:type="spellEnd"/>
      <w:r w:rsidRPr="00074250">
        <w:rPr>
          <w:rFonts w:cs="Arial"/>
          <w:sz w:val="22"/>
          <w:szCs w:val="22"/>
          <w:lang w:val="es-ES"/>
        </w:rPr>
        <w:t xml:space="preserve">"), superórdenes (p.ej., "Escualos diversos </w:t>
      </w:r>
      <w:proofErr w:type="spellStart"/>
      <w:r w:rsidRPr="00074250">
        <w:rPr>
          <w:rFonts w:cs="Arial"/>
          <w:sz w:val="22"/>
          <w:szCs w:val="22"/>
          <w:lang w:val="es-ES"/>
        </w:rPr>
        <w:t>nep</w:t>
      </w:r>
      <w:proofErr w:type="spellEnd"/>
      <w:r w:rsidRPr="00074250">
        <w:rPr>
          <w:rFonts w:cs="Arial"/>
          <w:sz w:val="22"/>
          <w:szCs w:val="22"/>
          <w:lang w:val="es-ES"/>
        </w:rPr>
        <w:t xml:space="preserve">"), subclases (p.ej. "Tiburones, rayas, </w:t>
      </w:r>
      <w:proofErr w:type="spellStart"/>
      <w:r w:rsidRPr="00074250">
        <w:rPr>
          <w:rFonts w:cs="Arial"/>
          <w:sz w:val="22"/>
          <w:szCs w:val="22"/>
          <w:lang w:val="es-ES"/>
        </w:rPr>
        <w:t>etc.nep</w:t>
      </w:r>
      <w:proofErr w:type="spellEnd"/>
      <w:r w:rsidRPr="00074250">
        <w:rPr>
          <w:rFonts w:cs="Arial"/>
          <w:sz w:val="22"/>
          <w:szCs w:val="22"/>
          <w:lang w:val="es-ES"/>
        </w:rPr>
        <w:t xml:space="preserve">) o incluso clases (p.ej., "Peces cartilaginosos </w:t>
      </w:r>
      <w:proofErr w:type="spellStart"/>
      <w:r w:rsidRPr="00074250">
        <w:rPr>
          <w:rFonts w:cs="Arial"/>
          <w:sz w:val="22"/>
          <w:szCs w:val="22"/>
          <w:lang w:val="es-ES"/>
        </w:rPr>
        <w:t>nep</w:t>
      </w:r>
      <w:proofErr w:type="spellEnd"/>
      <w:r w:rsidRPr="00074250">
        <w:rPr>
          <w:rFonts w:cs="Arial"/>
          <w:sz w:val="22"/>
          <w:szCs w:val="22"/>
          <w:lang w:val="es-ES"/>
        </w:rPr>
        <w:t xml:space="preserve">" – que incluyen tiburones, rayas y quimeras). </w:t>
      </w:r>
    </w:p>
    <w:p w14:paraId="74BBDEA3" w14:textId="77777777" w:rsidR="009454AA" w:rsidRPr="00074250" w:rsidRDefault="009454AA" w:rsidP="009454AA">
      <w:pPr>
        <w:contextualSpacing/>
        <w:jc w:val="both"/>
        <w:rPr>
          <w:rFonts w:cs="Arial"/>
          <w:sz w:val="22"/>
          <w:szCs w:val="22"/>
          <w:lang w:val="es-ES"/>
        </w:rPr>
      </w:pPr>
    </w:p>
    <w:p w14:paraId="6659149D" w14:textId="77777777" w:rsidR="009454AA" w:rsidRPr="00074250" w:rsidRDefault="009454AA" w:rsidP="009454AA">
      <w:pPr>
        <w:contextualSpacing/>
        <w:jc w:val="both"/>
        <w:rPr>
          <w:rFonts w:cs="Arial"/>
          <w:sz w:val="22"/>
          <w:szCs w:val="22"/>
          <w:lang w:val="es-ES"/>
        </w:rPr>
      </w:pPr>
      <w:r w:rsidRPr="00074250">
        <w:rPr>
          <w:rFonts w:cs="Arial"/>
          <w:sz w:val="22"/>
          <w:szCs w:val="22"/>
          <w:lang w:val="es-ES"/>
        </w:rPr>
        <w:t xml:space="preserve">Idealmente, los desembarcos para cada especie deberían identificarse por nivel de especie o género si la identificación entre especies es un reto (p.ej., las </w:t>
      </w:r>
      <w:proofErr w:type="spellStart"/>
      <w:r w:rsidRPr="00074250">
        <w:rPr>
          <w:rFonts w:cs="Arial"/>
          <w:sz w:val="22"/>
          <w:szCs w:val="22"/>
          <w:lang w:val="es-ES"/>
        </w:rPr>
        <w:t>especies</w:t>
      </w:r>
      <w:r w:rsidRPr="00074250">
        <w:rPr>
          <w:rFonts w:cs="Arial"/>
          <w:i/>
          <w:iCs/>
          <w:sz w:val="22"/>
          <w:szCs w:val="22"/>
          <w:lang w:val="es-ES"/>
        </w:rPr>
        <w:t>Mobula</w:t>
      </w:r>
      <w:proofErr w:type="spellEnd"/>
      <w:r w:rsidRPr="00074250">
        <w:rPr>
          <w:rFonts w:cs="Arial"/>
          <w:sz w:val="22"/>
          <w:szCs w:val="22"/>
          <w:lang w:val="es-ES"/>
        </w:rPr>
        <w:t>). Este sistema de notificación específico de especie asegura que hay una resolución suficiente en desembarcos para proporcionar evaluaciones más precisas de desembarcos y para informar sobre la evaluación de poblaciones, gestión de pesquerías y conservación.</w:t>
      </w:r>
    </w:p>
    <w:p w14:paraId="0278BF8D" w14:textId="77777777" w:rsidR="009454AA" w:rsidRPr="00074250" w:rsidRDefault="009454AA" w:rsidP="009454AA">
      <w:pPr>
        <w:contextualSpacing/>
        <w:jc w:val="both"/>
        <w:rPr>
          <w:rFonts w:cs="Arial"/>
          <w:sz w:val="22"/>
          <w:szCs w:val="22"/>
          <w:lang w:val="es-ES"/>
        </w:rPr>
      </w:pPr>
    </w:p>
    <w:p w14:paraId="6D594901" w14:textId="77777777" w:rsidR="009454AA" w:rsidRPr="00074250" w:rsidRDefault="009454AA" w:rsidP="009454AA">
      <w:pPr>
        <w:contextualSpacing/>
        <w:jc w:val="both"/>
        <w:rPr>
          <w:rFonts w:cs="Arial"/>
          <w:sz w:val="22"/>
          <w:szCs w:val="22"/>
          <w:lang w:val="es-ES"/>
        </w:rPr>
      </w:pPr>
      <w:r w:rsidRPr="00074250">
        <w:rPr>
          <w:rFonts w:cs="Arial"/>
          <w:sz w:val="22"/>
          <w:szCs w:val="22"/>
          <w:lang w:val="es-ES"/>
        </w:rPr>
        <w:t xml:space="preserve">Debido a estos problemas como falta de requisitos de información o formación para pescadores y observadores de pesquerías, los desembarcos también son notificados en niveles de categorías más amplios </w:t>
      </w:r>
      <w:r w:rsidRPr="00074250">
        <w:rPr>
          <w:rFonts w:cs="Arial"/>
          <w:sz w:val="22"/>
          <w:szCs w:val="22"/>
          <w:lang w:val="es-ES"/>
        </w:rPr>
        <w:fldChar w:fldCharType="begin" w:fldLock="1"/>
      </w:r>
      <w:r w:rsidRPr="00074250">
        <w:rPr>
          <w:rFonts w:cs="Arial"/>
          <w:sz w:val="22"/>
          <w:szCs w:val="22"/>
          <w:lang w:val="es-ES"/>
        </w:rPr>
        <w:instrText>ADDIN CSL_CITATION {"citationItems":[{"id":"ITEM-1","itemData":{"DOI":"10.1016/j.marpol.2019.02.041","ISSN":"0308597X","abstract":"One in four fishes of the subclass Elasmobranchii (sharks and rays) is estimated to be threatened with extinction, according to the IUCN Red List. Their primary threat is overfishing, but data deficiency makes stock assessment difficult. Over 50% of shark and ray species are listed as Data Deficient, in part because the taxonomic resolution of existing catch statistics is too low to identify species-level trends of abundance. Less than 25% of the shark catch reported to the FAO is identified below the genus level; the other 75% is lumped into categories such as “sharks”, “rays”, or “elasmobranchs nei”, (not elsewhere included). This study evaluates the taxonomic resolution of domestic elasmobranch landings in the Mediterranean and Black Seas, where over half of shark and ray species are threatened with extinction, but data deficiency and ambiguity consistently limit conservation action. A Taxonomic Resolution Index (TRI) was calculated for the landings of 24 countries over 65 years (1950–2014) to evaluate the quality of catch reporting over time. The TRI revealed that less than a quarter of commercial elasmobranch taxa are represented in Mediterranean and Black Seas landings data, and reporting quality has hardly improved. Conservation and management policy exists for effective fisheries data collection in the Mediterranean and Black Seas, but lacks implementation.","author":[{"dropping-particle":"","family":"Cashion","given":"Madeline S.","non-dropping-particle":"","parse-names":false,"suffix":""},{"dropping-particle":"","family":"Bailly","given":"Nicolas","non-dropping-particle":"","parse-names":false,"suffix":""},{"dropping-particle":"","family":"Pauly","given":"Daniel","non-dropping-particle":"","parse-names":false,"suffix":""}],"container-title":"Marine Policy","id":"ITEM-1","issued":{"date-parts":[["2019","7","1"]]},"page":"1-9","publisher":"Pergamon","title":"Official catch data underrepresent shark and ray taxa caught in Mediterranean and Black Sea fisheries","type":"article-journal","volume":"105"},"uris":["http://www.mendeley.com/documents/?uuid=7b734666-437b-32bf-a907-bb3d2dcff326"]}],"mendeley":{"formattedCitation":"(Cashion et al. 2019)","plainTextFormattedCitation":"(Cashion et al. 2019)","previouslyFormattedCitation":"(Cashion et al. 2019)"},"properties":{"noteIndex":0},"schema":"https://github.com/citation-style-language/schema/raw/master/csl-citation.json"}</w:instrText>
      </w:r>
      <w:r w:rsidRPr="00074250">
        <w:rPr>
          <w:rFonts w:cs="Arial"/>
          <w:sz w:val="22"/>
          <w:szCs w:val="22"/>
          <w:lang w:val="es-ES"/>
        </w:rPr>
        <w:fldChar w:fldCharType="separate"/>
      </w:r>
      <w:r w:rsidRPr="00074250">
        <w:rPr>
          <w:rFonts w:cs="Arial"/>
          <w:sz w:val="22"/>
          <w:szCs w:val="22"/>
          <w:lang w:val="es-ES"/>
        </w:rPr>
        <w:t>(Cashion et al. 2019)</w:t>
      </w:r>
      <w:r w:rsidRPr="00074250">
        <w:rPr>
          <w:rFonts w:cs="Arial"/>
          <w:sz w:val="22"/>
          <w:szCs w:val="22"/>
          <w:lang w:val="es-ES"/>
        </w:rPr>
        <w:fldChar w:fldCharType="end"/>
      </w:r>
      <w:r w:rsidRPr="00074250">
        <w:rPr>
          <w:rFonts w:cs="Arial"/>
          <w:sz w:val="22"/>
          <w:szCs w:val="22"/>
          <w:lang w:val="es-ES"/>
        </w:rPr>
        <w:t xml:space="preserve">. Estos son particularmente problemáticos para las especies enumeradas cuando las categorías engloban otras especies no protegidas, ya que hay incertidumbre respecto a si los desembarcos notificados en categorías mayores se componen de especies enumeradas y en una proporción relativa. Por ejemplo, los desembarcos notificados bajo la categoría de "Cornudas, cachudas </w:t>
      </w:r>
      <w:proofErr w:type="spellStart"/>
      <w:r w:rsidRPr="00074250">
        <w:rPr>
          <w:rFonts w:cs="Arial"/>
          <w:sz w:val="22"/>
          <w:szCs w:val="22"/>
          <w:lang w:val="es-ES"/>
        </w:rPr>
        <w:t>etc.nep</w:t>
      </w:r>
      <w:proofErr w:type="spellEnd"/>
      <w:r w:rsidRPr="00074250">
        <w:rPr>
          <w:rFonts w:cs="Arial"/>
          <w:sz w:val="22"/>
          <w:szCs w:val="22"/>
          <w:lang w:val="es-ES"/>
        </w:rPr>
        <w:t xml:space="preserve">" pueden incluir cualquiera de las tres especies que están enumeradas en el Anexo 1 del </w:t>
      </w:r>
      <w:proofErr w:type="spellStart"/>
      <w:r w:rsidRPr="00074250">
        <w:rPr>
          <w:rFonts w:cs="Arial"/>
          <w:sz w:val="22"/>
          <w:szCs w:val="22"/>
          <w:lang w:val="es-ES"/>
        </w:rPr>
        <w:t>MdE</w:t>
      </w:r>
      <w:proofErr w:type="spellEnd"/>
      <w:r w:rsidRPr="00074250">
        <w:rPr>
          <w:rFonts w:cs="Arial"/>
          <w:sz w:val="22"/>
          <w:szCs w:val="22"/>
          <w:lang w:val="es-ES"/>
        </w:rPr>
        <w:t xml:space="preserve"> sobre tiburones y/o cualquiera de las otras especies existentes. Por lo tanto, hay una necesidad crítica de identificar para qué especies y dónde se necesita poner más esfuerzo para mejorar la resolución de los desembarcos notificados.</w:t>
      </w:r>
    </w:p>
    <w:p w14:paraId="1552A1D5" w14:textId="77777777" w:rsidR="009454AA" w:rsidRPr="00074250" w:rsidRDefault="009454AA" w:rsidP="009454AA">
      <w:pPr>
        <w:widowControl/>
        <w:pBdr>
          <w:top w:val="nil"/>
          <w:left w:val="nil"/>
          <w:bottom w:val="nil"/>
          <w:right w:val="nil"/>
          <w:between w:val="nil"/>
          <w:bar w:val="nil"/>
        </w:pBdr>
        <w:autoSpaceDE/>
        <w:autoSpaceDN/>
        <w:adjustRightInd/>
        <w:jc w:val="both"/>
        <w:rPr>
          <w:rFonts w:eastAsia="Arial Unicode MS" w:cs="Arial"/>
          <w:b/>
          <w:bCs/>
          <w:color w:val="000000"/>
          <w:sz w:val="22"/>
          <w:szCs w:val="22"/>
          <w:u w:color="000000"/>
          <w:bdr w:val="nil"/>
          <w:lang w:val="es-ES" w:eastAsia="en-GB"/>
          <w14:textOutline w14:w="0" w14:cap="flat" w14:cmpd="sng" w14:algn="ctr">
            <w14:noFill/>
            <w14:prstDash w14:val="solid"/>
            <w14:bevel/>
          </w14:textOutline>
        </w:rPr>
      </w:pPr>
    </w:p>
    <w:p w14:paraId="1E17132A" w14:textId="0F60DEB2" w:rsidR="009454AA" w:rsidRPr="00074250" w:rsidRDefault="009454AA" w:rsidP="009454AA">
      <w:pPr>
        <w:keepNext/>
        <w:keepLines/>
        <w:outlineLvl w:val="2"/>
        <w:rPr>
          <w:rFonts w:cs="Arial"/>
          <w:b/>
          <w:bCs/>
          <w:sz w:val="22"/>
          <w:szCs w:val="22"/>
          <w:lang w:val="es-ES"/>
        </w:rPr>
      </w:pPr>
      <w:r w:rsidRPr="00074250">
        <w:rPr>
          <w:rFonts w:cs="Arial"/>
          <w:b/>
          <w:bCs/>
          <w:sz w:val="22"/>
          <w:szCs w:val="22"/>
          <w:lang w:val="es-ES"/>
        </w:rPr>
        <w:t>5.</w:t>
      </w:r>
      <w:r w:rsidR="00FA667F">
        <w:rPr>
          <w:rFonts w:cs="Arial"/>
          <w:b/>
          <w:bCs/>
          <w:sz w:val="22"/>
          <w:szCs w:val="22"/>
          <w:lang w:val="es-ES"/>
        </w:rPr>
        <w:t>2</w:t>
      </w:r>
      <w:r w:rsidRPr="00074250">
        <w:rPr>
          <w:rFonts w:cs="Arial"/>
          <w:b/>
          <w:bCs/>
          <w:sz w:val="22"/>
          <w:szCs w:val="22"/>
          <w:lang w:val="es-ES"/>
        </w:rPr>
        <w:tab/>
        <w:t>Resultados</w:t>
      </w:r>
    </w:p>
    <w:p w14:paraId="26C5FA93" w14:textId="77777777" w:rsidR="009454AA" w:rsidRPr="00074250" w:rsidRDefault="009454AA" w:rsidP="009454AA">
      <w:pPr>
        <w:keepNext/>
        <w:keepLines/>
        <w:outlineLvl w:val="2"/>
        <w:rPr>
          <w:rFonts w:cs="Arial"/>
          <w:b/>
          <w:bCs/>
          <w:sz w:val="22"/>
          <w:szCs w:val="22"/>
          <w:lang w:val="es-ES"/>
        </w:rPr>
      </w:pPr>
    </w:p>
    <w:p w14:paraId="7647013B" w14:textId="77777777" w:rsidR="009454AA" w:rsidRPr="00074250"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De 2015 a 2019, 399 642 toneladas /año del total anual de los desembarcos notificados de tiburones y rayas fueron a nivel taxonómico lo que hace incierto determinar si comprendían especies enumeradas en el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MdE</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sobre tiburones, siendo equivalente al 57 % (los Signatarios de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MdE</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sobre tiburones representan el 11 % de estos desembarcos genéricos y conjuntos, mientras que los No-Parte notificaron el restante 46 %).</w:t>
      </w:r>
    </w:p>
    <w:p w14:paraId="1D071F82" w14:textId="0801C306" w:rsidR="009454AA" w:rsidRPr="00074250" w:rsidRDefault="009454AA" w:rsidP="009454AA">
      <w:pPr>
        <w:contextualSpacing/>
        <w:jc w:val="both"/>
        <w:rPr>
          <w:rFonts w:cs="Arial"/>
          <w:sz w:val="22"/>
          <w:szCs w:val="22"/>
          <w:lang w:val="es-ES"/>
        </w:rPr>
      </w:pPr>
      <w:r w:rsidRPr="00074250">
        <w:rPr>
          <w:rFonts w:cs="Arial"/>
          <w:sz w:val="22"/>
          <w:szCs w:val="22"/>
          <w:lang w:val="es-ES"/>
        </w:rPr>
        <w:t xml:space="preserve">Las especies taxonómicas generales más comunes que obstaculizaron la identificación específica de especie de las especies enumeradas en el Anexo 1 del </w:t>
      </w:r>
      <w:proofErr w:type="spellStart"/>
      <w:r w:rsidRPr="00074250">
        <w:rPr>
          <w:rFonts w:cs="Arial"/>
          <w:sz w:val="22"/>
          <w:szCs w:val="22"/>
          <w:lang w:val="es-ES"/>
        </w:rPr>
        <w:t>MdE</w:t>
      </w:r>
      <w:proofErr w:type="spellEnd"/>
      <w:r w:rsidRPr="00074250">
        <w:rPr>
          <w:rFonts w:cs="Arial"/>
          <w:sz w:val="22"/>
          <w:szCs w:val="22"/>
          <w:lang w:val="es-ES"/>
        </w:rPr>
        <w:t xml:space="preserve"> sobre tiburones incluyen: "Tiburones, rayas, etc., </w:t>
      </w:r>
      <w:proofErr w:type="spellStart"/>
      <w:r w:rsidRPr="00074250">
        <w:rPr>
          <w:rFonts w:cs="Arial"/>
          <w:sz w:val="22"/>
          <w:szCs w:val="22"/>
          <w:lang w:val="es-ES"/>
        </w:rPr>
        <w:t>nep</w:t>
      </w:r>
      <w:proofErr w:type="spellEnd"/>
      <w:r w:rsidRPr="00074250">
        <w:rPr>
          <w:rFonts w:cs="Arial"/>
          <w:sz w:val="22"/>
          <w:szCs w:val="22"/>
          <w:lang w:val="es-ES"/>
        </w:rPr>
        <w:t xml:space="preserve">" (54 %; 214 213 toneladas/año), "Rayas, pastinacas, mantas </w:t>
      </w:r>
      <w:proofErr w:type="spellStart"/>
      <w:r w:rsidRPr="00074250">
        <w:rPr>
          <w:rFonts w:cs="Arial"/>
          <w:sz w:val="22"/>
          <w:szCs w:val="22"/>
          <w:lang w:val="es-ES"/>
        </w:rPr>
        <w:t>nep</w:t>
      </w:r>
      <w:proofErr w:type="spellEnd"/>
      <w:r w:rsidRPr="00074250">
        <w:rPr>
          <w:rFonts w:cs="Arial"/>
          <w:sz w:val="22"/>
          <w:szCs w:val="22"/>
          <w:lang w:val="es-ES"/>
        </w:rPr>
        <w:t xml:space="preserve">" (35 %; 140 315 toneladas/año),"Cazones, picudos, </w:t>
      </w:r>
      <w:proofErr w:type="spellStart"/>
      <w:r w:rsidRPr="00074250">
        <w:rPr>
          <w:rFonts w:cs="Arial"/>
          <w:sz w:val="22"/>
          <w:szCs w:val="22"/>
          <w:lang w:val="es-ES"/>
        </w:rPr>
        <w:t>tintoretas</w:t>
      </w:r>
      <w:proofErr w:type="spellEnd"/>
      <w:r w:rsidRPr="00074250">
        <w:rPr>
          <w:rFonts w:cs="Arial"/>
          <w:sz w:val="22"/>
          <w:szCs w:val="22"/>
          <w:lang w:val="es-ES"/>
        </w:rPr>
        <w:t xml:space="preserve"> </w:t>
      </w:r>
      <w:proofErr w:type="spellStart"/>
      <w:r w:rsidRPr="00074250">
        <w:rPr>
          <w:rFonts w:cs="Arial"/>
          <w:sz w:val="22"/>
          <w:szCs w:val="22"/>
          <w:lang w:val="es-ES"/>
        </w:rPr>
        <w:t>nep</w:t>
      </w:r>
      <w:proofErr w:type="spellEnd"/>
      <w:r w:rsidRPr="00074250">
        <w:rPr>
          <w:rFonts w:cs="Arial"/>
          <w:sz w:val="22"/>
          <w:szCs w:val="22"/>
          <w:lang w:val="es-ES"/>
        </w:rPr>
        <w:t xml:space="preserve">" (6 %; 23 317 toneladas año), "Cornudas, cachudas, etc., </w:t>
      </w:r>
      <w:proofErr w:type="spellStart"/>
      <w:r w:rsidRPr="00074250">
        <w:rPr>
          <w:rFonts w:cs="Arial"/>
          <w:sz w:val="22"/>
          <w:szCs w:val="22"/>
          <w:lang w:val="es-ES"/>
        </w:rPr>
        <w:t>nep</w:t>
      </w:r>
      <w:proofErr w:type="spellEnd"/>
      <w:r w:rsidRPr="00074250">
        <w:rPr>
          <w:rFonts w:cs="Arial"/>
          <w:sz w:val="22"/>
          <w:szCs w:val="22"/>
          <w:lang w:val="es-ES"/>
        </w:rPr>
        <w:t xml:space="preserve">" (2 %; 8331 toneladas/año) y "Galludos y tollos </w:t>
      </w:r>
      <w:proofErr w:type="spellStart"/>
      <w:r w:rsidRPr="00074250">
        <w:rPr>
          <w:rFonts w:cs="Arial"/>
          <w:sz w:val="22"/>
          <w:szCs w:val="22"/>
          <w:lang w:val="es-ES"/>
        </w:rPr>
        <w:t>nep</w:t>
      </w:r>
      <w:proofErr w:type="spellEnd"/>
      <w:r w:rsidRPr="00074250">
        <w:rPr>
          <w:rFonts w:cs="Arial"/>
          <w:sz w:val="22"/>
          <w:szCs w:val="22"/>
          <w:lang w:val="es-ES"/>
        </w:rPr>
        <w:t>" (2 %; 7962 toneladas/año). Las categorías restantes contribuyen a menos del 1 % cada una, incluyen: "</w:t>
      </w:r>
      <w:proofErr w:type="spellStart"/>
      <w:proofErr w:type="gramStart"/>
      <w:r w:rsidRPr="00074250">
        <w:rPr>
          <w:rFonts w:cs="Arial"/>
          <w:sz w:val="22"/>
          <w:szCs w:val="22"/>
          <w:lang w:val="es-ES"/>
        </w:rPr>
        <w:t>Rhinobatidae,etc.nep</w:t>
      </w:r>
      <w:proofErr w:type="spellEnd"/>
      <w:proofErr w:type="gramEnd"/>
      <w:r w:rsidRPr="00074250">
        <w:rPr>
          <w:rFonts w:cs="Arial"/>
          <w:sz w:val="22"/>
          <w:szCs w:val="22"/>
          <w:lang w:val="es-ES"/>
        </w:rPr>
        <w:t xml:space="preserve">" (3221 toneladas/año), "Escualos diversos </w:t>
      </w:r>
      <w:proofErr w:type="spellStart"/>
      <w:r w:rsidRPr="00074250">
        <w:rPr>
          <w:rFonts w:cs="Arial"/>
          <w:sz w:val="22"/>
          <w:szCs w:val="22"/>
          <w:lang w:val="es-ES"/>
        </w:rPr>
        <w:t>nep</w:t>
      </w:r>
      <w:proofErr w:type="spellEnd"/>
      <w:r w:rsidRPr="00074250">
        <w:rPr>
          <w:rFonts w:cs="Arial"/>
          <w:sz w:val="22"/>
          <w:szCs w:val="22"/>
          <w:lang w:val="es-ES"/>
        </w:rPr>
        <w:t xml:space="preserve">" (1719 toneladas/año), "Angelotes, peces ángel </w:t>
      </w:r>
      <w:proofErr w:type="spellStart"/>
      <w:r w:rsidRPr="00074250">
        <w:rPr>
          <w:rFonts w:cs="Arial"/>
          <w:sz w:val="22"/>
          <w:szCs w:val="22"/>
          <w:lang w:val="es-ES"/>
        </w:rPr>
        <w:t>nep</w:t>
      </w:r>
      <w:proofErr w:type="spellEnd"/>
      <w:r w:rsidRPr="00074250">
        <w:rPr>
          <w:rFonts w:cs="Arial"/>
          <w:sz w:val="22"/>
          <w:szCs w:val="22"/>
          <w:lang w:val="es-ES"/>
        </w:rPr>
        <w:t xml:space="preserve">" (345 toneladas/año), "Galludos, tollos y musolas </w:t>
      </w:r>
      <w:proofErr w:type="spellStart"/>
      <w:r w:rsidRPr="00074250">
        <w:rPr>
          <w:rFonts w:cs="Arial"/>
          <w:sz w:val="22"/>
          <w:szCs w:val="22"/>
          <w:lang w:val="es-ES"/>
        </w:rPr>
        <w:t>nep</w:t>
      </w:r>
      <w:proofErr w:type="spellEnd"/>
      <w:r w:rsidRPr="00074250">
        <w:rPr>
          <w:rFonts w:cs="Arial"/>
          <w:sz w:val="22"/>
          <w:szCs w:val="22"/>
          <w:lang w:val="es-ES"/>
        </w:rPr>
        <w:t xml:space="preserve">" (213 toneladas/año), "Mielgas </w:t>
      </w:r>
      <w:proofErr w:type="spellStart"/>
      <w:r w:rsidRPr="00074250">
        <w:rPr>
          <w:rFonts w:cs="Arial"/>
          <w:sz w:val="22"/>
          <w:szCs w:val="22"/>
          <w:lang w:val="es-ES"/>
        </w:rPr>
        <w:t>nep</w:t>
      </w:r>
      <w:proofErr w:type="spellEnd"/>
      <w:r w:rsidRPr="00074250">
        <w:rPr>
          <w:rFonts w:cs="Arial"/>
          <w:sz w:val="22"/>
          <w:szCs w:val="22"/>
          <w:lang w:val="es-ES"/>
        </w:rPr>
        <w:t xml:space="preserve">" (4 toneladas/año), "Cazones </w:t>
      </w:r>
      <w:proofErr w:type="spellStart"/>
      <w:r w:rsidRPr="00074250">
        <w:rPr>
          <w:rFonts w:cs="Arial"/>
          <w:sz w:val="22"/>
          <w:szCs w:val="22"/>
          <w:lang w:val="es-ES"/>
        </w:rPr>
        <w:t>Carcharius</w:t>
      </w:r>
      <w:proofErr w:type="spellEnd"/>
      <w:r w:rsidRPr="00074250">
        <w:rPr>
          <w:rFonts w:cs="Arial"/>
          <w:sz w:val="22"/>
          <w:szCs w:val="22"/>
          <w:lang w:val="es-ES"/>
        </w:rPr>
        <w:t xml:space="preserve"> </w:t>
      </w:r>
      <w:proofErr w:type="spellStart"/>
      <w:r w:rsidRPr="00074250">
        <w:rPr>
          <w:rFonts w:cs="Arial"/>
          <w:sz w:val="22"/>
          <w:szCs w:val="22"/>
          <w:lang w:val="es-ES"/>
        </w:rPr>
        <w:t>nep</w:t>
      </w:r>
      <w:proofErr w:type="spellEnd"/>
      <w:r w:rsidRPr="00074250">
        <w:rPr>
          <w:rFonts w:cs="Arial"/>
          <w:sz w:val="22"/>
          <w:szCs w:val="22"/>
          <w:lang w:val="es-ES"/>
        </w:rPr>
        <w:t xml:space="preserve">" (2 toneladas/año), "Cornudas, cachudas </w:t>
      </w:r>
      <w:proofErr w:type="spellStart"/>
      <w:r w:rsidRPr="00074250">
        <w:rPr>
          <w:rFonts w:cs="Arial"/>
          <w:sz w:val="22"/>
          <w:szCs w:val="22"/>
          <w:lang w:val="es-ES"/>
        </w:rPr>
        <w:t>nep</w:t>
      </w:r>
      <w:proofErr w:type="spellEnd"/>
      <w:r w:rsidRPr="00074250">
        <w:rPr>
          <w:rFonts w:cs="Arial"/>
          <w:sz w:val="22"/>
          <w:szCs w:val="22"/>
          <w:lang w:val="es-ES"/>
        </w:rPr>
        <w:t>" (0,66 toneladas/año) y "</w:t>
      </w:r>
      <w:proofErr w:type="spellStart"/>
      <w:r w:rsidRPr="00074250">
        <w:rPr>
          <w:rFonts w:cs="Arial"/>
          <w:sz w:val="22"/>
          <w:szCs w:val="22"/>
          <w:lang w:val="es-ES"/>
        </w:rPr>
        <w:t>Squaliformes</w:t>
      </w:r>
      <w:proofErr w:type="spellEnd"/>
      <w:r w:rsidRPr="00074250">
        <w:rPr>
          <w:rFonts w:cs="Arial"/>
          <w:sz w:val="22"/>
          <w:szCs w:val="22"/>
          <w:lang w:val="es-ES"/>
        </w:rPr>
        <w:t xml:space="preserve">, </w:t>
      </w:r>
      <w:proofErr w:type="spellStart"/>
      <w:r w:rsidRPr="00074250">
        <w:rPr>
          <w:rFonts w:cs="Arial"/>
          <w:sz w:val="22"/>
          <w:szCs w:val="22"/>
          <w:lang w:val="es-ES"/>
        </w:rPr>
        <w:t>etc.nep</w:t>
      </w:r>
      <w:proofErr w:type="spellEnd"/>
      <w:r w:rsidRPr="00074250">
        <w:rPr>
          <w:rFonts w:cs="Arial"/>
          <w:sz w:val="22"/>
          <w:szCs w:val="22"/>
          <w:lang w:val="es-ES"/>
        </w:rPr>
        <w:t xml:space="preserve">" (0,03 toneladas/año). Curiosamente, pocas naciones usaron algunas de las últimas categorías mencionadas y menos utilizadas, a diferencia de las mencionadas en primer lugar, las más usadas, que fueron notificadas hasta por 91 naciones. </w:t>
      </w:r>
    </w:p>
    <w:p w14:paraId="3550876F" w14:textId="77777777" w:rsidR="009454AA" w:rsidRPr="00074250" w:rsidRDefault="009454AA" w:rsidP="009454AA">
      <w:pPr>
        <w:contextualSpacing/>
        <w:jc w:val="both"/>
        <w:rPr>
          <w:rFonts w:cs="Arial"/>
          <w:sz w:val="22"/>
          <w:szCs w:val="22"/>
          <w:lang w:val="es-ES"/>
        </w:rPr>
      </w:pPr>
    </w:p>
    <w:p w14:paraId="6D68728E" w14:textId="77777777" w:rsidR="009454AA" w:rsidRPr="00074250" w:rsidRDefault="009454AA" w:rsidP="009454AA">
      <w:pPr>
        <w:contextualSpacing/>
        <w:jc w:val="both"/>
        <w:rPr>
          <w:rFonts w:cs="Arial"/>
          <w:sz w:val="22"/>
          <w:szCs w:val="22"/>
          <w:lang w:val="es-ES"/>
        </w:rPr>
      </w:pPr>
      <w:r w:rsidRPr="00074250">
        <w:rPr>
          <w:rFonts w:cs="Arial"/>
          <w:sz w:val="22"/>
          <w:szCs w:val="22"/>
          <w:lang w:val="es-ES"/>
        </w:rPr>
        <w:lastRenderedPageBreak/>
        <w:t xml:space="preserve">La contribución de cada Zona FAO al total de notificaciones de desembarcos genéricos y conjuntos oscilaban entre 16 % y el 0,09 %. Las zonas con la mayor cantidad de desembarcos genéricos y conjuntos fueron el océano Índico occidental (Zona FAO 51; 16 %), Pacífico centro-oeste (Zona FAO 71; 16 %), océano Índico oriental (Zona FAO 57; 13 %), Pacífico oriental y central (Zona FAO 77; 12 %) y el Atlántico centro oriental (Zona FAO 34; 11 %). Las zonas que contribuyeron menos del 1 % a la cantidad de desembarcos genéricos y conjuntos incluyen las Zonas FAO 81,27,21 y el océano Austral. Sin embargo, la proporción de desembarcos genéricos y conjuntos varió en cada zona considerablemente, de todos a casi todos los desembarcos siendo conjuntos y en categorías inespecíficas en el Pacífico noroccidental (Zona FAO 61), Pacífico nororiental (Zona FAO 67), Pacífico oriental y central (Zona FAO 77) y océano Índico oriental (Zona FAO 51), a solo el 1 % en el Atlántico nororiental (Zona FAO 27) y el Atlántico noroccidental (Zona FAO 21). Del mismo modo, la proporción de desembarcos genéricos y conjuntos varió considerablemente entre naciones en una zona. Para obtener más información, véase la Figura 3 </w:t>
      </w:r>
      <w:hyperlink r:id="rId44" w:history="1">
        <w:r w:rsidRPr="00074250">
          <w:rPr>
            <w:rFonts w:cs="Arial"/>
            <w:color w:val="0000FF"/>
            <w:sz w:val="22"/>
            <w:szCs w:val="22"/>
            <w:u w:val="single"/>
            <w:lang w:val="es-ES"/>
          </w:rPr>
          <w:t>Información Complementaria 3</w:t>
        </w:r>
      </w:hyperlink>
      <w:r w:rsidRPr="00074250">
        <w:rPr>
          <w:rFonts w:cs="Arial"/>
          <w:sz w:val="22"/>
          <w:szCs w:val="22"/>
          <w:lang w:val="es-ES"/>
        </w:rPr>
        <w:t>.</w:t>
      </w:r>
    </w:p>
    <w:p w14:paraId="5AFFAB7E" w14:textId="77777777" w:rsidR="009454AA" w:rsidRPr="00074250" w:rsidRDefault="009454AA" w:rsidP="009454AA">
      <w:pPr>
        <w:contextualSpacing/>
        <w:jc w:val="both"/>
        <w:rPr>
          <w:rFonts w:cs="Arial"/>
          <w:sz w:val="22"/>
          <w:szCs w:val="22"/>
          <w:lang w:val="es-ES"/>
        </w:rPr>
      </w:pPr>
    </w:p>
    <w:p w14:paraId="1D62EEFF" w14:textId="58099BDF" w:rsidR="009454AA" w:rsidRPr="00074250" w:rsidRDefault="009454AA" w:rsidP="009454AA">
      <w:pPr>
        <w:keepNext/>
        <w:keepLines/>
        <w:outlineLvl w:val="2"/>
        <w:rPr>
          <w:rFonts w:cs="Arial"/>
          <w:b/>
          <w:bCs/>
          <w:sz w:val="22"/>
          <w:szCs w:val="22"/>
          <w:lang w:val="es-ES"/>
        </w:rPr>
      </w:pPr>
      <w:bookmarkStart w:id="16" w:name="Section5c"/>
      <w:bookmarkStart w:id="17" w:name="_Hlk122367479"/>
      <w:r w:rsidRPr="00074250">
        <w:rPr>
          <w:rFonts w:cs="Arial"/>
          <w:b/>
          <w:bCs/>
          <w:sz w:val="22"/>
          <w:szCs w:val="22"/>
          <w:lang w:val="es-ES"/>
        </w:rPr>
        <w:t>5.</w:t>
      </w:r>
      <w:r w:rsidR="00FA667F">
        <w:rPr>
          <w:rFonts w:cs="Arial"/>
          <w:b/>
          <w:bCs/>
          <w:sz w:val="22"/>
          <w:szCs w:val="22"/>
          <w:lang w:val="es-ES"/>
        </w:rPr>
        <w:t>3</w:t>
      </w:r>
      <w:r w:rsidRPr="00074250">
        <w:rPr>
          <w:rFonts w:cs="Arial"/>
          <w:b/>
          <w:bCs/>
          <w:sz w:val="22"/>
          <w:szCs w:val="22"/>
          <w:lang w:val="es-ES"/>
        </w:rPr>
        <w:tab/>
      </w:r>
      <w:bookmarkEnd w:id="16"/>
      <w:r w:rsidRPr="00074250">
        <w:rPr>
          <w:rFonts w:cs="Arial"/>
          <w:b/>
          <w:bCs/>
          <w:sz w:val="22"/>
          <w:szCs w:val="22"/>
          <w:lang w:val="es-ES"/>
        </w:rPr>
        <w:t xml:space="preserve">Observaciones y recomendaciones específicas </w:t>
      </w:r>
    </w:p>
    <w:p w14:paraId="44C96798" w14:textId="77777777" w:rsidR="009454AA" w:rsidRPr="00074250" w:rsidRDefault="009454AA" w:rsidP="009454AA">
      <w:pPr>
        <w:keepNext/>
        <w:keepLines/>
        <w:outlineLvl w:val="2"/>
        <w:rPr>
          <w:rFonts w:cs="Arial"/>
          <w:b/>
          <w:bCs/>
          <w:sz w:val="22"/>
          <w:szCs w:val="22"/>
          <w:lang w:val="es-ES"/>
        </w:rPr>
      </w:pPr>
    </w:p>
    <w:p w14:paraId="77776787" w14:textId="77777777" w:rsidR="009454AA" w:rsidRPr="00074250" w:rsidRDefault="009454AA" w:rsidP="009454AA">
      <w:pPr>
        <w:widowControl/>
        <w:pBdr>
          <w:top w:val="nil"/>
          <w:left w:val="nil"/>
          <w:bottom w:val="nil"/>
          <w:right w:val="nil"/>
          <w:between w:val="nil"/>
          <w:bar w:val="nil"/>
        </w:pBdr>
        <w:autoSpaceDE/>
        <w:autoSpaceDN/>
        <w:adjustRightInd/>
        <w:spacing w:after="80"/>
        <w:jc w:val="both"/>
        <w:rPr>
          <w:rFonts w:cs="Arial"/>
          <w:sz w:val="22"/>
          <w:szCs w:val="22"/>
          <w:lang w:val="es-ES"/>
        </w:rPr>
      </w:pPr>
      <w:r w:rsidRPr="00074250">
        <w:rPr>
          <w:rFonts w:cs="Arial"/>
          <w:sz w:val="22"/>
          <w:szCs w:val="22"/>
          <w:lang w:val="es-ES"/>
        </w:rPr>
        <w:t xml:space="preserve">La falta de información específica de especie de desembarcos notificados puede reducir considerablemente la precisión de la evaluación de las tendencias y los estatus de población, lo que puede socavar los esfuerzos de ambos, la gestión de las pesquerías y las acciones de conservación. En consecuencia, los Signatarios deberían priorizar mejorando la resolución taxonómica de los desembarcos notificados. Recomendaciones para mejorar las notificaciones específicas de especie de los desembarcos de las especies enumeradas en el </w:t>
      </w:r>
      <w:proofErr w:type="spellStart"/>
      <w:r w:rsidRPr="00074250">
        <w:rPr>
          <w:rFonts w:cs="Arial"/>
          <w:sz w:val="22"/>
          <w:szCs w:val="22"/>
          <w:lang w:val="es-ES"/>
        </w:rPr>
        <w:t>MdE</w:t>
      </w:r>
      <w:proofErr w:type="spellEnd"/>
      <w:r w:rsidRPr="00074250">
        <w:rPr>
          <w:rFonts w:cs="Arial"/>
          <w:sz w:val="22"/>
          <w:szCs w:val="22"/>
          <w:lang w:val="es-ES"/>
        </w:rPr>
        <w:t xml:space="preserve"> sobre tiburones incluyen:</w:t>
      </w:r>
    </w:p>
    <w:p w14:paraId="3ACB9D68" w14:textId="77777777" w:rsidR="009454AA" w:rsidRPr="00074250" w:rsidRDefault="009454AA" w:rsidP="002C7D6A">
      <w:pPr>
        <w:widowControl/>
        <w:numPr>
          <w:ilvl w:val="2"/>
          <w:numId w:val="19"/>
        </w:numPr>
        <w:pBdr>
          <w:top w:val="nil"/>
          <w:left w:val="nil"/>
          <w:bottom w:val="nil"/>
          <w:right w:val="nil"/>
          <w:between w:val="nil"/>
          <w:bar w:val="nil"/>
        </w:pBdr>
        <w:autoSpaceDE/>
        <w:autoSpaceDN/>
        <w:adjustRightInd/>
        <w:spacing w:after="80"/>
        <w:jc w:val="both"/>
        <w:rPr>
          <w:rFonts w:cs="Arial"/>
          <w:sz w:val="22"/>
          <w:szCs w:val="22"/>
          <w:lang w:val="es-ES"/>
        </w:rPr>
      </w:pPr>
      <w:r w:rsidRPr="00074250">
        <w:rPr>
          <w:rFonts w:cs="Arial"/>
          <w:sz w:val="22"/>
          <w:szCs w:val="22"/>
          <w:lang w:val="es-ES"/>
        </w:rPr>
        <w:t>los Signatarios deberían evaluar su recogida de datos nacionales y sus sistemas de notificación y asegurarse de que todos los desembarcos se notifican a nivel de especie (o género cuando sea más apropiado).</w:t>
      </w:r>
    </w:p>
    <w:p w14:paraId="30625FE5" w14:textId="77777777" w:rsidR="009454AA" w:rsidRPr="00074250" w:rsidRDefault="009454AA" w:rsidP="002C7D6A">
      <w:pPr>
        <w:widowControl/>
        <w:numPr>
          <w:ilvl w:val="2"/>
          <w:numId w:val="19"/>
        </w:numPr>
        <w:pBdr>
          <w:top w:val="nil"/>
          <w:left w:val="nil"/>
          <w:bottom w:val="nil"/>
          <w:right w:val="nil"/>
          <w:between w:val="nil"/>
          <w:bar w:val="nil"/>
        </w:pBdr>
        <w:autoSpaceDE/>
        <w:autoSpaceDN/>
        <w:adjustRightInd/>
        <w:spacing w:after="80"/>
        <w:jc w:val="both"/>
        <w:rPr>
          <w:rFonts w:cs="Arial"/>
          <w:sz w:val="22"/>
          <w:szCs w:val="22"/>
          <w:lang w:val="es-ES"/>
        </w:rPr>
      </w:pPr>
      <w:r w:rsidRPr="00074250">
        <w:rPr>
          <w:rFonts w:cs="Arial"/>
          <w:sz w:val="22"/>
          <w:szCs w:val="22"/>
          <w:lang w:val="es-ES"/>
        </w:rPr>
        <w:t xml:space="preserve">Los Signatarios deberían proporcionar formación, cuando sea necesario, para permitir a los pescadores, personal portuario y a los observadores identificar sistemáticamente las especies enumeradas en el </w:t>
      </w:r>
      <w:proofErr w:type="spellStart"/>
      <w:r w:rsidRPr="00074250">
        <w:rPr>
          <w:rFonts w:cs="Arial"/>
          <w:sz w:val="22"/>
          <w:szCs w:val="22"/>
          <w:lang w:val="es-ES"/>
        </w:rPr>
        <w:t>MdE</w:t>
      </w:r>
      <w:proofErr w:type="spellEnd"/>
      <w:r w:rsidRPr="00074250">
        <w:rPr>
          <w:rFonts w:cs="Arial"/>
          <w:sz w:val="22"/>
          <w:szCs w:val="22"/>
          <w:lang w:val="es-ES"/>
        </w:rPr>
        <w:t xml:space="preserve"> sobre tiburones a nivel de especie a lo largo del tiempo.</w:t>
      </w:r>
    </w:p>
    <w:p w14:paraId="4905A81C" w14:textId="77777777" w:rsidR="009454AA" w:rsidRPr="00074250" w:rsidRDefault="009454AA" w:rsidP="002C7D6A">
      <w:pPr>
        <w:widowControl/>
        <w:numPr>
          <w:ilvl w:val="2"/>
          <w:numId w:val="19"/>
        </w:numPr>
        <w:pBdr>
          <w:top w:val="nil"/>
          <w:left w:val="nil"/>
          <w:bottom w:val="nil"/>
          <w:right w:val="nil"/>
          <w:between w:val="nil"/>
          <w:bar w:val="nil"/>
        </w:pBdr>
        <w:autoSpaceDE/>
        <w:autoSpaceDN/>
        <w:adjustRightInd/>
        <w:spacing w:after="80"/>
        <w:jc w:val="both"/>
        <w:rPr>
          <w:rFonts w:cs="Arial"/>
          <w:sz w:val="22"/>
          <w:szCs w:val="22"/>
          <w:lang w:val="es-ES"/>
        </w:rPr>
      </w:pPr>
      <w:r w:rsidRPr="00074250">
        <w:rPr>
          <w:rFonts w:cs="Arial"/>
          <w:sz w:val="22"/>
          <w:szCs w:val="22"/>
          <w:lang w:val="es-ES"/>
        </w:rPr>
        <w:t>Los Signatarios deberían fortalecer los procedimientos de control en los puntos de desembarque para asegurar su cumplimiento y mejorar la supervisión, educación y ejecución donde sea necesario.</w:t>
      </w:r>
    </w:p>
    <w:p w14:paraId="790F24CB" w14:textId="77777777" w:rsidR="009454AA" w:rsidRPr="00074250" w:rsidRDefault="009454AA" w:rsidP="002C7D6A">
      <w:pPr>
        <w:widowControl/>
        <w:numPr>
          <w:ilvl w:val="2"/>
          <w:numId w:val="19"/>
        </w:numPr>
        <w:pBdr>
          <w:top w:val="nil"/>
          <w:left w:val="nil"/>
          <w:bottom w:val="nil"/>
          <w:right w:val="nil"/>
          <w:between w:val="nil"/>
          <w:bar w:val="nil"/>
        </w:pBdr>
        <w:autoSpaceDE/>
        <w:autoSpaceDN/>
        <w:adjustRightInd/>
        <w:spacing w:after="80"/>
        <w:jc w:val="both"/>
        <w:rPr>
          <w:rFonts w:cs="Arial"/>
          <w:sz w:val="22"/>
          <w:szCs w:val="22"/>
          <w:lang w:val="es-ES"/>
        </w:rPr>
      </w:pPr>
      <w:r w:rsidRPr="00074250">
        <w:rPr>
          <w:rFonts w:cs="Arial"/>
          <w:sz w:val="22"/>
          <w:szCs w:val="22"/>
          <w:lang w:val="es-ES"/>
        </w:rPr>
        <w:t>se deben alentar los esfuerzos colaborativos para mejorar la resolución taxonómica de desembarcos de tiburones y rayas entre los Signatarios y otros Estados del Área de Distribución no signatarios pertinentes para los que se ha notificado una elevada proporción de desembarcos en las categorías conjunta y genérica. Los conocimientos técnicos y la capacidad de los Signatarios de notificar proporciones mayores de desembarcos de nivel específico de especie (incluyendo financiación de los programas de observación de pesca y formación) son fundamentales para mejorar las notificaciones mundiales.</w:t>
      </w:r>
    </w:p>
    <w:p w14:paraId="55036BCB" w14:textId="77777777" w:rsidR="009454AA" w:rsidRPr="00074250" w:rsidRDefault="009454AA" w:rsidP="002C7D6A">
      <w:pPr>
        <w:widowControl/>
        <w:numPr>
          <w:ilvl w:val="2"/>
          <w:numId w:val="19"/>
        </w:numPr>
        <w:pBdr>
          <w:top w:val="nil"/>
          <w:left w:val="nil"/>
          <w:bottom w:val="nil"/>
          <w:right w:val="nil"/>
          <w:between w:val="nil"/>
          <w:bar w:val="nil"/>
        </w:pBdr>
        <w:autoSpaceDE/>
        <w:autoSpaceDN/>
        <w:adjustRightInd/>
        <w:jc w:val="both"/>
        <w:rPr>
          <w:rFonts w:cs="Arial"/>
          <w:sz w:val="22"/>
          <w:szCs w:val="22"/>
          <w:lang w:val="es-ES"/>
        </w:rPr>
      </w:pPr>
      <w:r w:rsidRPr="00074250">
        <w:rPr>
          <w:rFonts w:cs="Arial"/>
          <w:sz w:val="22"/>
          <w:szCs w:val="22"/>
          <w:lang w:val="es-ES"/>
        </w:rPr>
        <w:t>Si es posible, cuando se produzcan mejoras en las notificaciones, reconstruir los desembarcos históricos (capturas) para minimizar las perturbaciones con las series temporales.</w:t>
      </w:r>
    </w:p>
    <w:bookmarkEnd w:id="17"/>
    <w:p w14:paraId="7D97FE44" w14:textId="77777777" w:rsidR="009454AA" w:rsidRPr="00074250" w:rsidRDefault="009454AA" w:rsidP="009454AA">
      <w:pPr>
        <w:ind w:right="26"/>
        <w:jc w:val="both"/>
        <w:rPr>
          <w:rFonts w:cs="Arial"/>
          <w:bCs/>
          <w:iCs/>
          <w:sz w:val="22"/>
          <w:szCs w:val="22"/>
          <w:lang w:val="es-ES"/>
        </w:rPr>
        <w:sectPr w:rsidR="009454AA" w:rsidRPr="00074250" w:rsidSect="009454AA">
          <w:pgSz w:w="11906" w:h="16838" w:code="9"/>
          <w:pgMar w:top="1138" w:right="1138" w:bottom="1138" w:left="1138" w:header="706" w:footer="706" w:gutter="0"/>
          <w:cols w:space="720"/>
          <w:titlePg/>
          <w:docGrid w:linePitch="245"/>
        </w:sectPr>
      </w:pPr>
    </w:p>
    <w:p w14:paraId="27C53CB5" w14:textId="77777777" w:rsidR="009454AA" w:rsidRPr="00074250" w:rsidRDefault="009454AA" w:rsidP="009454AA">
      <w:pPr>
        <w:pStyle w:val="ListParagraph"/>
        <w:keepNext/>
        <w:spacing w:line="276" w:lineRule="auto"/>
        <w:ind w:left="0"/>
        <w:jc w:val="center"/>
        <w:rPr>
          <w:rFonts w:cs="Arial"/>
          <w:b/>
          <w:bCs/>
          <w:sz w:val="22"/>
          <w:szCs w:val="22"/>
          <w:lang w:val="es-ES"/>
        </w:rPr>
      </w:pPr>
      <w:r w:rsidRPr="00074250">
        <w:rPr>
          <w:rFonts w:cs="Arial"/>
          <w:b/>
          <w:bCs/>
          <w:noProof/>
          <w:sz w:val="22"/>
          <w:szCs w:val="22"/>
          <w:lang w:val="es-ES" w:eastAsia="es-ES"/>
        </w:rPr>
        <w:lastRenderedPageBreak/>
        <mc:AlternateContent>
          <mc:Choice Requires="wps">
            <w:drawing>
              <wp:anchor distT="45720" distB="45720" distL="114300" distR="114300" simplePos="0" relativeHeight="251664384" behindDoc="1" locked="0" layoutInCell="1" allowOverlap="1" wp14:anchorId="7F6BB08E" wp14:editId="1F93DDAD">
                <wp:simplePos x="0" y="0"/>
                <wp:positionH relativeFrom="column">
                  <wp:posOffset>-320040</wp:posOffset>
                </wp:positionH>
                <wp:positionV relativeFrom="paragraph">
                  <wp:posOffset>5242560</wp:posOffset>
                </wp:positionV>
                <wp:extent cx="8870950" cy="1341120"/>
                <wp:effectExtent l="0" t="0" r="635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0" cy="1341120"/>
                        </a:xfrm>
                        <a:prstGeom prst="rect">
                          <a:avLst/>
                        </a:prstGeom>
                        <a:solidFill>
                          <a:srgbClr val="FFFFFF"/>
                        </a:solidFill>
                        <a:ln w="9525">
                          <a:noFill/>
                          <a:miter lim="800000"/>
                          <a:headEnd/>
                          <a:tailEnd/>
                        </a:ln>
                      </wps:spPr>
                      <wps:txbx>
                        <w:txbxContent>
                          <w:p w14:paraId="537DE52B" w14:textId="77777777" w:rsidR="00E31F80" w:rsidRPr="009B36B6" w:rsidRDefault="00E31F80" w:rsidP="009454AA">
                            <w:pPr>
                              <w:jc w:val="both"/>
                              <w:rPr>
                                <w:szCs w:val="18"/>
                                <w:lang w:val="es-ES"/>
                              </w:rPr>
                            </w:pPr>
                            <w:r w:rsidRPr="009B36B6">
                              <w:rPr>
                                <w:b/>
                                <w:bCs/>
                                <w:szCs w:val="18"/>
                                <w:lang w:val="es-ES"/>
                              </w:rPr>
                              <w:t>Figura 3. Media anual mundial de desembarcos de todas las especies de elasmobranquios, según se ha informado a la FAO (2015-2019; toneladas de peso vivo).</w:t>
                            </w:r>
                            <w:r w:rsidRPr="009B36B6">
                              <w:rPr>
                                <w:szCs w:val="18"/>
                                <w:lang w:val="es-ES"/>
                              </w:rPr>
                              <w:t xml:space="preserve"> La magnitud total de los desembarcos inciertos del </w:t>
                            </w:r>
                            <w:r w:rsidRPr="009B36B6">
                              <w:rPr>
                                <w:szCs w:val="18"/>
                                <w:lang w:val="es-ES"/>
                              </w:rPr>
                              <w:t xml:space="preserve">MdE sobre tiburones para cada Zona FAO se indica por intensidad de color (Referencia arriba a la izquierda). Las parcelas de cada Zona FAO representan las tres primeras naciones con la magnitud más alta de desembarcos y el total de las naciones restantes de la región. Porcentaje de desembarcos del MdE sobre tiburones, los no pertenecientes al MdE sobre tiburones y las categorías inciertas se representan con colores diferentes (Referencia en la parte inferior). El estado de las naciones respecto a su adhesión a la CMS y al MdE sobre tiburones se representa con un cuadrado de color bajo su barra (Referencia arriba a la derecha). Los Estados Miembros de la UE están todos destacados como Signatarios del MdE sobre tiburones y Parte de la CMS (azul) independientemente de si el país individual ha firmado el MdE sobre tiburones. El porcentaje en azul para cada parcela representa la fracción total de desembarcos inciertos de MdE sobre tiburones en la Zona FAO. Véase </w:t>
                            </w:r>
                            <w:r w:rsidR="0026143E">
                              <w:fldChar w:fldCharType="begin"/>
                            </w:r>
                            <w:r w:rsidR="0026143E" w:rsidRPr="0026143E">
                              <w:rPr>
                                <w:lang w:val="es-ES"/>
                              </w:rPr>
                              <w:instrText xml:space="preserve"> HYPERLINK "https://github.com/mpozo-montoro/MOS4-Doc.10.5.1" </w:instrText>
                            </w:r>
                            <w:r w:rsidR="0026143E">
                              <w:fldChar w:fldCharType="separate"/>
                            </w:r>
                            <w:r w:rsidRPr="009B36B6">
                              <w:rPr>
                                <w:rStyle w:val="Hyperlink"/>
                                <w:rFonts w:cs="Arial"/>
                                <w:szCs w:val="18"/>
                                <w:lang w:val="es-ES"/>
                              </w:rPr>
                              <w:t>Información Complementaria 3</w:t>
                            </w:r>
                            <w:r w:rsidR="0026143E">
                              <w:rPr>
                                <w:rStyle w:val="Hyperlink"/>
                                <w:rFonts w:cs="Arial"/>
                                <w:szCs w:val="18"/>
                                <w:lang w:val="es-ES"/>
                              </w:rPr>
                              <w:fldChar w:fldCharType="end"/>
                            </w:r>
                            <w:r w:rsidRPr="009B36B6">
                              <w:rPr>
                                <w:szCs w:val="18"/>
                                <w:lang w:val="es-ES"/>
                              </w:rPr>
                              <w:t xml:space="preserve"> para consultar los países y las categorías informantes de cada Zona FAO de pesca.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BB08E" id="_x0000_s1027" type="#_x0000_t202" style="position:absolute;left:0;text-align:left;margin-left:-25.2pt;margin-top:412.8pt;width:698.5pt;height:105.6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H6EAIAAP4DAAAOAAAAZHJzL2Uyb0RvYy54bWysk92O2yAQhe8r9R0Q943tNOkmVpzVNttU&#10;lbY/0rYPgAHHqJihQGKnT98Be7PR9q6qLxB44DDzzWFzO3SanKTzCkxFi1lOiTQchDKHiv74vn+z&#10;osQHZgTTYGRFz9LT2+3rV5velnIOLWghHUER48veVrQNwZZZ5nkrO+ZnYKXBYAOuYwGX7pAJx3pU&#10;73Q2z/N3WQ9OWAdceo9/78cg3Sb9ppE8fG0aLwPRFcXcQhpdGus4ZtsNKw+O2VbxKQ32D1l0TBm8&#10;9CJ1zwIjR6f+kuoUd+ChCTMOXQZNo7hMNWA1Rf6imseWWZlqQTjeXjD5/yfLv5we7TdHwvAeBmxg&#10;KsLbB+A/PTGwa5k5yDvnoG8lE3hxEZFlvfXldDSi9qWPInX/GQQ2mR0DJKGhcV2kgnUSVMcGnC/Q&#10;5RAIx5+r1U2+XmKIY6x4uyiKeWpLxsqn49b58FFCR+Kkog67muTZ6cGHmA4rn7bE2zxoJfZK67Rw&#10;h3qnHTkxdMA+famCF9u0IX1F18v5MikbiOeTOToV0KFadZhqHr/RMxHHByPSlsCUHueYiTYTn4hk&#10;hBOGeiBKTPAirhrEGYE5GA2JDwgnLbjflPRoxor6X0fmJCX6k0Ho62KxiO5Ni8XyBgkRdx2pryPM&#10;cJSqaKBknO5CcnzEYeAOm9OohO05kyllNFmiOT2I6OLrddr1/Gy3fwAAAP//AwBQSwMEFAAGAAgA&#10;AAAhAMycJY7gAAAADQEAAA8AAABkcnMvZG93bnJldi54bWxMj0FOwzAQRfdI3MEaJDaotWkTN4Q4&#10;FSCB2Lb0AJPYTSLicRS7TXp73BXd/dE8/XlTbGfbs7MZfedIwfNSADNUO91Ro+Dw87nIgPmApLF3&#10;ZBRcjIdteX9XYK7dRDtz3oeGxRLyOSpoQxhyzn3dGot+6QZDcXd0o8UQx7HhesQpltuer4SQ3GJH&#10;8UKLg/loTf27P1kFx+/pKX2Zqq9w2OwS+Y7dpnIXpR4f5rdXYMHM4R+Gq35UhzI6Ve5E2rNewSIV&#10;SUQVZKtUArsS60TGVMUk1jIDXhb89ovyDwAA//8DAFBLAQItABQABgAIAAAAIQC2gziS/gAAAOEB&#10;AAATAAAAAAAAAAAAAAAAAAAAAABbQ29udGVudF9UeXBlc10ueG1sUEsBAi0AFAAGAAgAAAAhADj9&#10;If/WAAAAlAEAAAsAAAAAAAAAAAAAAAAALwEAAF9yZWxzLy5yZWxzUEsBAi0AFAAGAAgAAAAhAOVC&#10;kfoQAgAA/gMAAA4AAAAAAAAAAAAAAAAALgIAAGRycy9lMm9Eb2MueG1sUEsBAi0AFAAGAAgAAAAh&#10;AMycJY7gAAAADQEAAA8AAAAAAAAAAAAAAAAAagQAAGRycy9kb3ducmV2LnhtbFBLBQYAAAAABAAE&#10;APMAAAB3BQAAAAA=&#10;" stroked="f">
                <v:textbox>
                  <w:txbxContent>
                    <w:p w14:paraId="537DE52B" w14:textId="77777777" w:rsidR="00E31F80" w:rsidRPr="009B36B6" w:rsidRDefault="00E31F80" w:rsidP="009454AA">
                      <w:pPr>
                        <w:jc w:val="both"/>
                        <w:rPr>
                          <w:szCs w:val="18"/>
                          <w:lang w:val="es-ES"/>
                        </w:rPr>
                      </w:pPr>
                      <w:r w:rsidRPr="009B36B6">
                        <w:rPr>
                          <w:b/>
                          <w:bCs/>
                          <w:szCs w:val="18"/>
                          <w:lang w:val="es-ES"/>
                        </w:rPr>
                        <w:t>Figura 3. Media anual mundial de desembarcos de todas las especies de elasmobranquios, según se ha informado a la FAO (2015-2019; toneladas de peso vivo).</w:t>
                      </w:r>
                      <w:r w:rsidRPr="009B36B6">
                        <w:rPr>
                          <w:szCs w:val="18"/>
                          <w:lang w:val="es-ES"/>
                        </w:rPr>
                        <w:t xml:space="preserve"> La magnitud total de los desembarcos inciertos del </w:t>
                      </w:r>
                      <w:r w:rsidRPr="009B36B6">
                        <w:rPr>
                          <w:szCs w:val="18"/>
                          <w:lang w:val="es-ES"/>
                        </w:rPr>
                        <w:t xml:space="preserve">MdE sobre tiburones para cada Zona FAO se indica por intensidad de color (Referencia arriba a la izquierda). Las parcelas de cada Zona FAO representan las tres primeras naciones con la magnitud más alta de desembarcos y el total de las naciones restantes de la región. Porcentaje de desembarcos del MdE sobre tiburones, los no pertenecientes al MdE sobre tiburones y las categorías inciertas se representan con colores diferentes (Referencia en la parte inferior). El estado de las naciones respecto a su adhesión a la CMS y al MdE sobre tiburones se representa con un cuadrado de color bajo su barra (Referencia arriba a la derecha). Los Estados Miembros de la UE están todos destacados como Signatarios del MdE sobre tiburones y Parte de la CMS (azul) independientemente de si el país individual ha firmado el MdE sobre tiburones. El porcentaje en azul para cada parcela representa la fracción total de desembarcos inciertos de MdE sobre tiburones en la Zona FAO. Véase </w:t>
                      </w:r>
                      <w:r w:rsidR="0026143E">
                        <w:fldChar w:fldCharType="begin"/>
                      </w:r>
                      <w:r w:rsidR="0026143E" w:rsidRPr="0026143E">
                        <w:rPr>
                          <w:lang w:val="es-ES"/>
                        </w:rPr>
                        <w:instrText xml:space="preserve"> HYPERLINK "https://github.com/mpozo-montoro/MOS4-Doc.10.5.1" </w:instrText>
                      </w:r>
                      <w:r w:rsidR="0026143E">
                        <w:fldChar w:fldCharType="separate"/>
                      </w:r>
                      <w:r w:rsidRPr="009B36B6">
                        <w:rPr>
                          <w:rStyle w:val="Hyperlink"/>
                          <w:rFonts w:cs="Arial"/>
                          <w:szCs w:val="18"/>
                          <w:lang w:val="es-ES"/>
                        </w:rPr>
                        <w:t>Información Complementaria 3</w:t>
                      </w:r>
                      <w:r w:rsidR="0026143E">
                        <w:rPr>
                          <w:rStyle w:val="Hyperlink"/>
                          <w:rFonts w:cs="Arial"/>
                          <w:szCs w:val="18"/>
                          <w:lang w:val="es-ES"/>
                        </w:rPr>
                        <w:fldChar w:fldCharType="end"/>
                      </w:r>
                      <w:r w:rsidRPr="009B36B6">
                        <w:rPr>
                          <w:szCs w:val="18"/>
                          <w:lang w:val="es-ES"/>
                        </w:rPr>
                        <w:t xml:space="preserve"> para consultar los países y las categorías informantes de cada Zona FAO de pesca.</w:t>
                      </w:r>
                    </w:p>
                  </w:txbxContent>
                </v:textbox>
              </v:shape>
            </w:pict>
          </mc:Fallback>
        </mc:AlternateContent>
      </w:r>
      <w:r w:rsidRPr="00074250">
        <w:rPr>
          <w:rFonts w:cs="Arial"/>
          <w:i/>
          <w:iCs/>
          <w:noProof/>
          <w:sz w:val="22"/>
          <w:szCs w:val="22"/>
          <w:lang w:val="es-ES" w:eastAsia="es-ES"/>
        </w:rPr>
        <w:drawing>
          <wp:anchor distT="0" distB="0" distL="114300" distR="114300" simplePos="0" relativeHeight="251665408" behindDoc="1" locked="0" layoutInCell="1" allowOverlap="1" wp14:anchorId="6A442B17" wp14:editId="5435FC34">
            <wp:simplePos x="0" y="0"/>
            <wp:positionH relativeFrom="column">
              <wp:posOffset>63943</wp:posOffset>
            </wp:positionH>
            <wp:positionV relativeFrom="paragraph">
              <wp:posOffset>-286990</wp:posOffset>
            </wp:positionV>
            <wp:extent cx="8103235" cy="5580380"/>
            <wp:effectExtent l="0" t="0" r="0" b="127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officeArt object"/>
                    <pic:cNvPicPr>
                      <a:picLocks noChangeAspect="1"/>
                    </pic:cNvPicPr>
                  </pic:nvPicPr>
                  <pic:blipFill rotWithShape="1">
                    <a:blip r:embed="rId45" cstate="print">
                      <a:extLst>
                        <a:ext uri="{28A0092B-C50C-407E-A947-70E740481C1C}">
                          <a14:useLocalDpi xmlns:a14="http://schemas.microsoft.com/office/drawing/2010/main" val="0"/>
                        </a:ext>
                      </a:extLst>
                    </a:blip>
                    <a:srcRect t="-167" b="1659"/>
                    <a:stretch/>
                  </pic:blipFill>
                  <pic:spPr bwMode="auto">
                    <a:xfrm>
                      <a:off x="0" y="0"/>
                      <a:ext cx="8103235" cy="5580380"/>
                    </a:xfrm>
                    <a:prstGeom prst="rect">
                      <a:avLst/>
                    </a:prstGeom>
                    <a:ln>
                      <a:noFill/>
                    </a:ln>
                    <a:effectLst/>
                    <a:extLst>
                      <a:ext uri="{53640926-AAD7-44D8-BBD7-CCE9431645EC}">
                        <a14:shadowObscured xmlns:a14="http://schemas.microsoft.com/office/drawing/2010/main"/>
                      </a:ext>
                    </a:extLst>
                  </pic:spPr>
                </pic:pic>
              </a:graphicData>
            </a:graphic>
          </wp:anchor>
        </w:drawing>
      </w:r>
      <w:r w:rsidRPr="00074250">
        <w:rPr>
          <w:rFonts w:cs="Arial"/>
          <w:b/>
          <w:bCs/>
          <w:sz w:val="22"/>
          <w:szCs w:val="22"/>
          <w:lang w:val="es-ES"/>
        </w:rPr>
        <w:t xml:space="preserve"> </w:t>
      </w:r>
    </w:p>
    <w:p w14:paraId="54B6AF30" w14:textId="77777777" w:rsidR="009454AA" w:rsidRPr="00074250" w:rsidRDefault="009454AA" w:rsidP="009454AA">
      <w:pPr>
        <w:pStyle w:val="ListParagraph"/>
        <w:keepNext/>
        <w:spacing w:line="276" w:lineRule="auto"/>
        <w:ind w:left="0"/>
        <w:jc w:val="both"/>
        <w:rPr>
          <w:rFonts w:cs="Arial"/>
          <w:sz w:val="22"/>
          <w:szCs w:val="22"/>
          <w:lang w:val="es-ES"/>
        </w:rPr>
        <w:sectPr w:rsidR="009454AA" w:rsidRPr="00074250" w:rsidSect="00E31F80">
          <w:headerReference w:type="first" r:id="rId46"/>
          <w:pgSz w:w="15840" w:h="12240" w:orient="landscape"/>
          <w:pgMar w:top="1440" w:right="1440" w:bottom="1440" w:left="1440" w:header="706" w:footer="706" w:gutter="0"/>
          <w:cols w:space="720"/>
          <w:titlePg/>
          <w:docGrid w:linePitch="245"/>
        </w:sectPr>
      </w:pPr>
    </w:p>
    <w:p w14:paraId="7C64BB35" w14:textId="0B2902EE" w:rsidR="009454AA" w:rsidRPr="00074250" w:rsidRDefault="009454AA" w:rsidP="002C7D6A">
      <w:pPr>
        <w:widowControl/>
        <w:numPr>
          <w:ilvl w:val="0"/>
          <w:numId w:val="23"/>
        </w:numPr>
        <w:pBdr>
          <w:top w:val="nil"/>
          <w:left w:val="nil"/>
          <w:bottom w:val="nil"/>
          <w:right w:val="nil"/>
          <w:between w:val="nil"/>
          <w:bar w:val="nil"/>
        </w:pBdr>
        <w:autoSpaceDE/>
        <w:autoSpaceDN/>
        <w:adjustRightInd/>
        <w:jc w:val="both"/>
        <w:outlineLvl w:val="1"/>
        <w:rPr>
          <w:rFonts w:cs="Arial"/>
          <w:b/>
          <w:bCs/>
          <w:sz w:val="22"/>
          <w:szCs w:val="22"/>
          <w:u w:val="single"/>
          <w:lang w:val="es-ES"/>
        </w:rPr>
      </w:pPr>
      <w:bookmarkStart w:id="18" w:name="Section6"/>
      <w:r w:rsidRPr="00074250">
        <w:rPr>
          <w:rFonts w:cs="Arial"/>
          <w:noProof/>
          <w:sz w:val="22"/>
          <w:szCs w:val="22"/>
          <w:lang w:val="es-ES" w:eastAsia="es-ES"/>
        </w:rPr>
        <w:lastRenderedPageBreak/>
        <w:drawing>
          <wp:anchor distT="0" distB="0" distL="114300" distR="114300" simplePos="0" relativeHeight="251667456" behindDoc="0" locked="0" layoutInCell="1" allowOverlap="1" wp14:anchorId="02739AE4" wp14:editId="2809C225">
            <wp:simplePos x="0" y="0"/>
            <wp:positionH relativeFrom="column">
              <wp:posOffset>63500</wp:posOffset>
            </wp:positionH>
            <wp:positionV relativeFrom="paragraph">
              <wp:posOffset>-45999400</wp:posOffset>
            </wp:positionV>
            <wp:extent cx="8098790" cy="5880100"/>
            <wp:effectExtent l="0" t="0" r="0" b="635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officeArt object"/>
                    <pic:cNvPicPr>
                      <a:picLocks noChangeAspect="1"/>
                    </pic:cNvPicPr>
                  </pic:nvPicPr>
                  <pic:blipFill rotWithShape="1">
                    <a:blip r:embed="rId47" cstate="print">
                      <a:extLst>
                        <a:ext uri="{28A0092B-C50C-407E-A947-70E740481C1C}">
                          <a14:useLocalDpi xmlns:a14="http://schemas.microsoft.com/office/drawing/2010/main" val="0"/>
                        </a:ext>
                      </a:extLst>
                    </a:blip>
                    <a:srcRect l="791" t="-384" r="1103" b="-201"/>
                    <a:stretch/>
                  </pic:blipFill>
                  <pic:spPr bwMode="auto">
                    <a:xfrm>
                      <a:off x="0" y="0"/>
                      <a:ext cx="8098790" cy="58801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Pr="00074250">
        <w:rPr>
          <w:rFonts w:cs="Arial"/>
          <w:b/>
          <w:bCs/>
          <w:sz w:val="22"/>
          <w:szCs w:val="22"/>
          <w:u w:val="single"/>
          <w:lang w:val="es-ES"/>
        </w:rPr>
        <w:t xml:space="preserve">Limitaciones de datos: lagunas de información y calidad de los datos. </w:t>
      </w:r>
    </w:p>
    <w:p w14:paraId="3F6218D6" w14:textId="77777777" w:rsidR="009454AA" w:rsidRPr="00074250" w:rsidRDefault="009454AA" w:rsidP="009454AA">
      <w:pPr>
        <w:widowControl/>
        <w:pBdr>
          <w:top w:val="nil"/>
          <w:left w:val="nil"/>
          <w:bottom w:val="nil"/>
          <w:right w:val="nil"/>
          <w:between w:val="nil"/>
          <w:bar w:val="nil"/>
        </w:pBdr>
        <w:autoSpaceDE/>
        <w:autoSpaceDN/>
        <w:adjustRightInd/>
        <w:ind w:left="360"/>
        <w:jc w:val="both"/>
        <w:outlineLvl w:val="1"/>
        <w:rPr>
          <w:rFonts w:cs="Arial"/>
          <w:b/>
          <w:bCs/>
          <w:sz w:val="22"/>
          <w:szCs w:val="22"/>
          <w:u w:val="single"/>
          <w:lang w:val="es-ES"/>
        </w:rPr>
      </w:pPr>
    </w:p>
    <w:bookmarkEnd w:id="18"/>
    <w:p w14:paraId="3F6EDBA9" w14:textId="60BB8BAC" w:rsidR="009454AA" w:rsidRPr="00074250" w:rsidRDefault="009454AA" w:rsidP="009454AA">
      <w:pPr>
        <w:widowControl/>
        <w:pBdr>
          <w:top w:val="nil"/>
          <w:left w:val="nil"/>
          <w:bottom w:val="nil"/>
          <w:right w:val="nil"/>
          <w:between w:val="nil"/>
          <w:bar w:val="nil"/>
        </w:pBdr>
        <w:autoSpaceDE/>
        <w:autoSpaceDN/>
        <w:adjustRightInd/>
        <w:jc w:val="both"/>
        <w:rPr>
          <w:rFonts w:cs="Arial"/>
          <w:b/>
          <w:bCs/>
          <w:sz w:val="22"/>
          <w:szCs w:val="22"/>
          <w:lang w:val="es-ES"/>
        </w:rPr>
      </w:pPr>
      <w:r w:rsidRPr="00074250">
        <w:rPr>
          <w:rFonts w:cs="Arial"/>
          <w:b/>
          <w:bCs/>
          <w:sz w:val="22"/>
          <w:szCs w:val="22"/>
          <w:lang w:val="es-ES"/>
        </w:rPr>
        <w:t>6.</w:t>
      </w:r>
      <w:r w:rsidR="00FA667F">
        <w:rPr>
          <w:rFonts w:cs="Arial"/>
          <w:b/>
          <w:bCs/>
          <w:sz w:val="22"/>
          <w:szCs w:val="22"/>
          <w:lang w:val="es-ES"/>
        </w:rPr>
        <w:t>1</w:t>
      </w:r>
      <w:r w:rsidRPr="00074250">
        <w:rPr>
          <w:rFonts w:cs="Arial"/>
          <w:b/>
          <w:bCs/>
          <w:sz w:val="22"/>
          <w:szCs w:val="22"/>
          <w:lang w:val="es-ES"/>
        </w:rPr>
        <w:tab/>
        <w:t>Antecedentes</w:t>
      </w:r>
    </w:p>
    <w:p w14:paraId="2EAB8112" w14:textId="77777777" w:rsidR="009454AA" w:rsidRPr="00074250" w:rsidRDefault="009454AA" w:rsidP="009454AA">
      <w:pPr>
        <w:widowControl/>
        <w:pBdr>
          <w:top w:val="nil"/>
          <w:left w:val="nil"/>
          <w:bottom w:val="nil"/>
          <w:right w:val="nil"/>
          <w:between w:val="nil"/>
          <w:bar w:val="nil"/>
        </w:pBdr>
        <w:autoSpaceDE/>
        <w:autoSpaceDN/>
        <w:adjustRightInd/>
        <w:jc w:val="both"/>
        <w:rPr>
          <w:rFonts w:cs="Arial"/>
          <w:b/>
          <w:bCs/>
          <w:sz w:val="22"/>
          <w:szCs w:val="22"/>
          <w:lang w:val="es-ES"/>
        </w:rPr>
      </w:pPr>
    </w:p>
    <w:p w14:paraId="1AEDC288" w14:textId="77777777" w:rsidR="009454AA" w:rsidRPr="00074250" w:rsidRDefault="009454AA" w:rsidP="009454AA">
      <w:pPr>
        <w:contextualSpacing/>
        <w:jc w:val="both"/>
        <w:rPr>
          <w:rFonts w:cs="Arial"/>
          <w:sz w:val="22"/>
          <w:szCs w:val="22"/>
          <w:lang w:val="es-ES"/>
        </w:rPr>
      </w:pPr>
      <w:r w:rsidRPr="00074250">
        <w:rPr>
          <w:rFonts w:cs="Arial"/>
          <w:sz w:val="22"/>
          <w:szCs w:val="22"/>
          <w:lang w:val="es-ES"/>
        </w:rPr>
        <w:t xml:space="preserve">Los datos de desembarcos recopilados por la FAO de las Naciones Unidas es un recurso expansivo para proporcionar información de los niveles de explotación de las especies enumeradas en la CMS y en el </w:t>
      </w:r>
      <w:proofErr w:type="spellStart"/>
      <w:r w:rsidRPr="00074250">
        <w:rPr>
          <w:rFonts w:cs="Arial"/>
          <w:sz w:val="22"/>
          <w:szCs w:val="22"/>
          <w:lang w:val="es-ES"/>
        </w:rPr>
        <w:t>MdE</w:t>
      </w:r>
      <w:proofErr w:type="spellEnd"/>
      <w:r w:rsidRPr="00074250">
        <w:rPr>
          <w:rFonts w:cs="Arial"/>
          <w:sz w:val="22"/>
          <w:szCs w:val="22"/>
          <w:lang w:val="es-ES"/>
        </w:rPr>
        <w:t xml:space="preserve"> sobre tiburones en todo el mundo </w:t>
      </w:r>
      <w:r w:rsidRPr="00074250">
        <w:rPr>
          <w:rFonts w:cs="Arial"/>
          <w:sz w:val="22"/>
          <w:szCs w:val="22"/>
          <w:lang w:val="es-ES"/>
        </w:rPr>
        <w:fldChar w:fldCharType="begin" w:fldLock="1"/>
      </w:r>
      <w:r w:rsidRPr="00074250">
        <w:rPr>
          <w:rFonts w:cs="Arial"/>
          <w:sz w:val="22"/>
          <w:szCs w:val="22"/>
          <w:lang w:val="es-ES"/>
        </w:rPr>
        <w:instrText>ADDIN CSL_CITATION {"citationItems":[{"id":"ITEM-1","itemData":{"DOI":"10.1016/j.marpol.2011.10.024","ISSN":"0308597X","abstract":"With data series extending for 60 years, including catch data for almost 1850 species items, and reflecting geo-political, historical and natural events, the FAO capture database provides a service to the community interested in fishery information. Over 600 articles from refereed journals cited the database in the last 15 years. Species included grew significantly in the last decade and an analysis of annual reporting showed more timely data submissions, although the number of non-reporting countries remained stable throughout the years. An evaluation of data quality found over half developing countries reporting inadequately but also one-fourth of reports by developed countries were not satisfactory. This article also provides meta information on historical developments, data sources and coverage, and advice on what should be kept in mind when using the database for trend studies. © 2011 Elsevier Ltd.","author":[{"dropping-particle":"","family":"Garibaldi","given":"Luca","non-dropping-particle":"","parse-names":false,"suffix":""}],"container-title":"Marine Policy","id":"ITEM-1","issue":"3","issued":{"date-parts":[["2012","5","1"]]},"page":"760-768","publisher":"Pergamon","title":"The FAO global capture production database: A six-decade effort to catch the trend","type":"article-journal","volume":"36"},"uris":["http://www.mendeley.com/documents/?uuid=8b79dbd6-4f5d-3add-b211-0c19da7c970e"]}],"mendeley":{"formattedCitation":"(Garibaldi 2012)","plainTextFormattedCitation":"(Garibaldi 2012)","previouslyFormattedCitation":"(Garibaldi 2012)"},"properties":{"noteIndex":0},"schema":"https://github.com/citation-style-language/schema/raw/master/csl-citation.json"}</w:instrText>
      </w:r>
      <w:r w:rsidRPr="00074250">
        <w:rPr>
          <w:rFonts w:cs="Arial"/>
          <w:sz w:val="22"/>
          <w:szCs w:val="22"/>
          <w:lang w:val="es-ES"/>
        </w:rPr>
        <w:fldChar w:fldCharType="separate"/>
      </w:r>
      <w:r w:rsidRPr="00074250">
        <w:rPr>
          <w:rFonts w:cs="Arial"/>
          <w:sz w:val="22"/>
          <w:szCs w:val="22"/>
          <w:lang w:val="es-ES"/>
        </w:rPr>
        <w:t>(Garibaldi 2012)</w:t>
      </w:r>
      <w:r w:rsidRPr="00074250">
        <w:rPr>
          <w:rFonts w:cs="Arial"/>
          <w:sz w:val="22"/>
          <w:szCs w:val="22"/>
          <w:lang w:val="es-ES"/>
        </w:rPr>
        <w:fldChar w:fldCharType="end"/>
      </w:r>
      <w:r w:rsidRPr="00074250">
        <w:rPr>
          <w:rFonts w:cs="Arial"/>
          <w:sz w:val="22"/>
          <w:szCs w:val="22"/>
          <w:lang w:val="es-ES"/>
        </w:rPr>
        <w:t xml:space="preserve">. Este enfoque es crucial para identificar los problemas urgentes de conservación para la coordinación mundial y para supervisar las medidas de conservación adoptadas por las pesquerías que son con frecuencia consideradas la mayor amenaza para las especies de tiburones y rayas enumeradas en la CMS y en el </w:t>
      </w:r>
      <w:proofErr w:type="spellStart"/>
      <w:r w:rsidRPr="00074250">
        <w:rPr>
          <w:rFonts w:cs="Arial"/>
          <w:sz w:val="22"/>
          <w:szCs w:val="22"/>
          <w:lang w:val="es-ES"/>
        </w:rPr>
        <w:t>MdE</w:t>
      </w:r>
      <w:proofErr w:type="spellEnd"/>
      <w:r w:rsidRPr="00074250">
        <w:rPr>
          <w:rFonts w:cs="Arial"/>
          <w:sz w:val="22"/>
          <w:szCs w:val="22"/>
          <w:lang w:val="es-ES"/>
        </w:rPr>
        <w:t xml:space="preserve"> sobre tiburones </w:t>
      </w:r>
      <w:r w:rsidRPr="00074250">
        <w:rPr>
          <w:rFonts w:cs="Arial"/>
          <w:sz w:val="22"/>
          <w:szCs w:val="22"/>
          <w:lang w:val="es-ES"/>
        </w:rPr>
        <w:fldChar w:fldCharType="begin" w:fldLock="1"/>
      </w:r>
      <w:r w:rsidRPr="00074250">
        <w:rPr>
          <w:rFonts w:cs="Arial"/>
          <w:sz w:val="22"/>
          <w:szCs w:val="22"/>
          <w:lang w:val="es-ES"/>
        </w:rPr>
        <w:instrText>ADDIN CSL_CITATION {"citationItems":[{"id":"ITEM-1","itemData":{"DOI":"10.1016/j.cub.2021.08.062","ISSN":"09609822","abstract":"Article Overfishing drives over one-third of all sharks and rays toward a global extinction crisis Graphical Abstract Highlights d More than one-third of chondrichthyan fish species are threatened by overfishing d Disproportionate threat in tropics risk loss of ecosystem functions and services d Three species not seen in &gt;80 years are Critically Endangered (Possibly Extinct) d The depletion of these species has been driven by continuing demand for human food","author":[{"dropping-particle":"","family":"Dulvy","given":"Nicholas K.","non-dropping-particle":"","parse-names":false,"suffix":""},{"dropping-particle":"","family":"Pacoureau","given":"Nathan","non-dropping-particle":"","parse-names":false,"suffix":""},{"dropping-particle":"","family":"Rigby","given":"Cassandra L.","non-dropping-particle":"","parse-names":false,"suffix":""},{"dropping-particle":"","family":"Pollom","given":"Riley A.","non-dropping-particle":"","parse-names":false,"suffix":""},{"dropping-particle":"","family":"Jabado","given":"Rima W.","non-dropping-particle":"","parse-names":false,"suffix":""},{"dropping-particle":"","family":"Ebert","given":"David A.","non-dropping-particle":"","parse-names":false,"suffix":""},{"dropping-particle":"","family":"Finucci","given":"Brittany","non-dropping-particle":"","parse-names":false,"suffix":""},{"dropping-particle":"","family":"Pollock","given":"Caroline M.","non-dropping-particle":"","parse-names":false,"suffix":""},{"dropping-particle":"","family":"Cheok","given":"Jessica","non-dropping-particle":"","parse-names":false,"suffix":""},{"dropping-particle":"","family":"Derrick","given":"Danielle H.","non-dropping-particle":"","parse-names":false,"suffix":""},{"dropping-particle":"","family":"Herman","given":"Katelyn B.","non-dropping-particle":"","parse-names":false,"suffix":""},{"dropping-particle":"","family":"Sherman","given":"C. Samantha","non-dropping-particle":"","parse-names":false,"suffix":""},{"dropping-particle":"","family":"VanderWright","given":"Wade J.","non-dropping-particle":"","parse-names":false,"suffix":""},{"dropping-particle":"","family":"Lawson","given":"Julia M.","non-dropping-particle":"","parse-names":false,"suffix":""},{"dropping-particle":"","family":"Walls","given":"Rachel H.L.","non-dropping-particle":"","parse-names":false,"suffix":""},{"dropping-particle":"","family":"Carlson","given":"John K.","non-dropping-particle":"","parse-names":false,"suffix":""},{"dropping-particle":"","family":"Charvet","given":"Patricia","non-dropping-particle":"","parse-names":false,"suffix":""},{"dropping-particle":"","family":"Bineesh","given":"Kinattumkara K.","non-dropping-particle":"","parse-names":false,"suffix":""},{"dropping-particle":"","family":"Fernando","given":"Daniel","non-dropping-particle":"","parse-names":false,"suffix":""},{"dropping-particle":"","family":"Ralph","given":"Gina M.","non-dropping-particle":"","parse-names":false,"suffix":""},{"dropping-particle":"","family":"Matsushiba","given":"Jay H.","non-dropping-particle":"","parse-names":false,"suffix":""},{"dropping-particle":"","family":"Hilton-Taylor","given":"Craig","non-dropping-particle":"","parse-names":false,"suffix":""},{"dropping-particle":"V.","family":"Fordham","given":"Sonja","non-dropping-particle":"","parse-names":false,"suffix":""},{"dropping-particle":"","family":"Simpfendorfer","given":"Colin A.","non-dropping-particle":"","parse-names":false,"suffix":""}],"container-title":"Current Biology","id":"ITEM-1","issued":{"date-parts":[["2021","9","6"]]},"publisher":"Cell Press","title":"Overfishing drives over one-third of all sharks and rays toward a global extinction crisis","type":"article-journal"},"uris":["http://www.mendeley.com/documents/?uuid=4212e61c-cb56-3614-a9b0-26d5df870ac0"]}],"mendeley":{"formattedCitation":"(Dulvy et al. 2021)","plainTextFormattedCitation":"(Dulvy et al. 2021)","previouslyFormattedCitation":"(Dulvy et al. 2021)"},"properties":{"noteIndex":0},"schema":"https://github.com/citation-style-language/schema/raw/master/csl-citation.json"}</w:instrText>
      </w:r>
      <w:r w:rsidRPr="00074250">
        <w:rPr>
          <w:rFonts w:cs="Arial"/>
          <w:sz w:val="22"/>
          <w:szCs w:val="22"/>
          <w:lang w:val="es-ES"/>
        </w:rPr>
        <w:fldChar w:fldCharType="separate"/>
      </w:r>
      <w:r w:rsidRPr="00074250">
        <w:rPr>
          <w:rFonts w:cs="Arial"/>
          <w:sz w:val="22"/>
          <w:szCs w:val="22"/>
          <w:lang w:val="es-ES"/>
        </w:rPr>
        <w:t>(</w:t>
      </w:r>
      <w:proofErr w:type="spellStart"/>
      <w:r w:rsidRPr="00074250">
        <w:rPr>
          <w:rFonts w:cs="Arial"/>
          <w:sz w:val="22"/>
          <w:szCs w:val="22"/>
          <w:lang w:val="es-ES"/>
        </w:rPr>
        <w:t>Dulvy</w:t>
      </w:r>
      <w:proofErr w:type="spellEnd"/>
      <w:r w:rsidRPr="00074250">
        <w:rPr>
          <w:rFonts w:cs="Arial"/>
          <w:sz w:val="22"/>
          <w:szCs w:val="22"/>
          <w:lang w:val="es-ES"/>
        </w:rPr>
        <w:t xml:space="preserve"> et al. 2021)</w:t>
      </w:r>
      <w:r w:rsidRPr="00074250">
        <w:rPr>
          <w:rFonts w:cs="Arial"/>
          <w:sz w:val="22"/>
          <w:szCs w:val="22"/>
          <w:lang w:val="es-ES"/>
        </w:rPr>
        <w:fldChar w:fldCharType="end"/>
      </w:r>
      <w:r w:rsidRPr="00074250">
        <w:rPr>
          <w:rFonts w:cs="Arial"/>
          <w:sz w:val="22"/>
          <w:szCs w:val="22"/>
          <w:lang w:val="es-ES"/>
        </w:rPr>
        <w:t>.</w:t>
      </w:r>
    </w:p>
    <w:p w14:paraId="2E4C909B" w14:textId="77777777" w:rsidR="009454AA" w:rsidRPr="00074250" w:rsidRDefault="009454AA" w:rsidP="009454AA">
      <w:pPr>
        <w:contextualSpacing/>
        <w:jc w:val="both"/>
        <w:rPr>
          <w:rFonts w:cs="Arial"/>
          <w:sz w:val="22"/>
          <w:szCs w:val="22"/>
          <w:lang w:val="es-ES"/>
        </w:rPr>
      </w:pPr>
    </w:p>
    <w:p w14:paraId="4A5462CC" w14:textId="77777777" w:rsidR="009454AA" w:rsidRPr="00074250" w:rsidRDefault="009454AA" w:rsidP="009454AA">
      <w:pPr>
        <w:contextualSpacing/>
        <w:jc w:val="both"/>
        <w:rPr>
          <w:rFonts w:cs="Arial"/>
          <w:sz w:val="22"/>
          <w:szCs w:val="22"/>
          <w:lang w:val="es-ES"/>
        </w:rPr>
      </w:pPr>
      <w:r w:rsidRPr="00074250">
        <w:rPr>
          <w:rFonts w:cs="Arial"/>
          <w:sz w:val="22"/>
          <w:szCs w:val="22"/>
          <w:lang w:val="es-ES"/>
        </w:rPr>
        <w:t xml:space="preserve">La precisión y el valor de los resultados de los análisis de datos de los desembarcos de la FAO dependen en gran medida de la integridad y la calidad de los datos enviados por las naciones </w:t>
      </w:r>
      <w:r w:rsidRPr="00074250">
        <w:rPr>
          <w:rFonts w:cs="Arial"/>
          <w:sz w:val="22"/>
          <w:szCs w:val="22"/>
          <w:lang w:val="es-ES"/>
        </w:rPr>
        <w:fldChar w:fldCharType="begin" w:fldLock="1"/>
      </w:r>
      <w:r w:rsidRPr="00074250">
        <w:rPr>
          <w:rFonts w:cs="Arial"/>
          <w:sz w:val="22"/>
          <w:szCs w:val="22"/>
          <w:lang w:val="es-ES"/>
        </w:rPr>
        <w:instrText>ADDIN CSL_CITATION {"citationItems":[{"id":"ITEM-1","itemData":{"DOI":"10.1016/j.marpol.2011.10.024","ISSN":"0308597X","abstract":"With data series extending for 60 years, including catch data for almost 1850 species items, and reflecting geo-political, historical and natural events, the FAO capture database provides a service to the community interested in fishery information. Over 600 articles from refereed journals cited the database in the last 15 years. Species included grew significantly in the last decade and an analysis of annual reporting showed more timely data submissions, although the number of non-reporting countries remained stable throughout the years. An evaluation of data quality found over half developing countries reporting inadequately but also one-fourth of reports by developed countries were not satisfactory. This article also provides meta information on historical developments, data sources and coverage, and advice on what should be kept in mind when using the database for trend studies. © 2011 Elsevier Ltd.","author":[{"dropping-particle":"","family":"Garibaldi","given":"Luca","non-dropping-particle":"","parse-names":false,"suffix":""}],"container-title":"Marine Policy","id":"ITEM-1","issue":"3","issued":{"date-parts":[["2012","5","1"]]},"page":"760-768","publisher":"Pergamon","title":"The FAO global capture production database: A six-decade effort to catch the trend","type":"article-journal","volume":"36"},"uris":["http://www.mendeley.com/documents/?uuid=8b79dbd6-4f5d-3add-b211-0c19da7c970e"]}],"mendeley":{"formattedCitation":"(Garibaldi 2012)","plainTextFormattedCitation":"(Garibaldi 2012)","previouslyFormattedCitation":"(Garibaldi 2012)"},"properties":{"noteIndex":0},"schema":"https://github.com/citation-style-language/schema/raw/master/csl-citation.json"}</w:instrText>
      </w:r>
      <w:r w:rsidRPr="00074250">
        <w:rPr>
          <w:rFonts w:cs="Arial"/>
          <w:sz w:val="22"/>
          <w:szCs w:val="22"/>
          <w:lang w:val="es-ES"/>
        </w:rPr>
        <w:fldChar w:fldCharType="separate"/>
      </w:r>
      <w:r w:rsidRPr="00074250">
        <w:rPr>
          <w:rFonts w:cs="Arial"/>
          <w:sz w:val="22"/>
          <w:szCs w:val="22"/>
          <w:lang w:val="es-ES"/>
        </w:rPr>
        <w:t>(Garibaldi 2012)</w:t>
      </w:r>
      <w:r w:rsidRPr="00074250">
        <w:rPr>
          <w:rFonts w:cs="Arial"/>
          <w:sz w:val="22"/>
          <w:szCs w:val="22"/>
          <w:lang w:val="es-ES"/>
        </w:rPr>
        <w:fldChar w:fldCharType="end"/>
      </w:r>
      <w:r w:rsidRPr="00074250">
        <w:rPr>
          <w:rFonts w:cs="Arial"/>
          <w:sz w:val="22"/>
          <w:szCs w:val="22"/>
          <w:lang w:val="es-ES"/>
        </w:rPr>
        <w:t xml:space="preserve">. Lo ideal sería que todos los Signatarios notificasen todos sus desembarcos tanto comerciales (incluyendo las flotas de larga distancia), como los artesanales o recreativos en relación con las especies de tiburones y rayas enumeradas hasta la resolución taxonómica más alta posible (p.ej. específico de especie, o nivel de género para taxones con problemas taxonómicos). </w:t>
      </w:r>
    </w:p>
    <w:p w14:paraId="225F19CE" w14:textId="77777777" w:rsidR="009454AA" w:rsidRPr="00074250" w:rsidRDefault="009454AA" w:rsidP="009454AA">
      <w:pPr>
        <w:contextualSpacing/>
        <w:jc w:val="both"/>
        <w:rPr>
          <w:rFonts w:cs="Arial"/>
          <w:sz w:val="22"/>
          <w:szCs w:val="22"/>
          <w:lang w:val="es-ES"/>
        </w:rPr>
      </w:pPr>
    </w:p>
    <w:p w14:paraId="356DCAAE" w14:textId="77777777" w:rsidR="009454AA" w:rsidRPr="00074250" w:rsidRDefault="009454AA" w:rsidP="009454AA">
      <w:pPr>
        <w:contextualSpacing/>
        <w:jc w:val="both"/>
        <w:rPr>
          <w:rFonts w:cs="Arial"/>
          <w:sz w:val="22"/>
          <w:szCs w:val="22"/>
          <w:lang w:val="es-ES"/>
        </w:rPr>
      </w:pPr>
      <w:r w:rsidRPr="00074250">
        <w:rPr>
          <w:rFonts w:cs="Arial"/>
          <w:sz w:val="22"/>
          <w:szCs w:val="22"/>
          <w:lang w:val="es-ES"/>
        </w:rPr>
        <w:t xml:space="preserve">Desafortunadamente, hay varios problemas en la integridad y la calidad de los datos que afectan a los datos notificados a la FAO. Aquí, nuestro objetivo es destacar los problemas identificados en nuestro análisis en relación con las especies enumeradas en el </w:t>
      </w:r>
      <w:proofErr w:type="spellStart"/>
      <w:r w:rsidRPr="00074250">
        <w:rPr>
          <w:rFonts w:cs="Arial"/>
          <w:sz w:val="22"/>
          <w:szCs w:val="22"/>
          <w:lang w:val="es-ES"/>
        </w:rPr>
        <w:t>MdE</w:t>
      </w:r>
      <w:proofErr w:type="spellEnd"/>
      <w:r w:rsidRPr="00074250">
        <w:rPr>
          <w:rFonts w:cs="Arial"/>
          <w:sz w:val="22"/>
          <w:szCs w:val="22"/>
          <w:lang w:val="es-ES"/>
        </w:rPr>
        <w:t xml:space="preserve"> sobre tiburones a la FAO para mejorar los datos disponibles para controlar las tendencias de los desembarcos notificados de estas especies.</w:t>
      </w:r>
    </w:p>
    <w:p w14:paraId="50053CB1" w14:textId="77777777" w:rsidR="009454AA" w:rsidRPr="00074250" w:rsidRDefault="009454AA" w:rsidP="009454AA">
      <w:pPr>
        <w:contextualSpacing/>
        <w:jc w:val="both"/>
        <w:rPr>
          <w:rFonts w:cs="Arial"/>
          <w:sz w:val="22"/>
          <w:szCs w:val="22"/>
          <w:lang w:val="es-ES"/>
        </w:rPr>
      </w:pPr>
    </w:p>
    <w:p w14:paraId="73F63714" w14:textId="327A901F" w:rsidR="009454AA" w:rsidRPr="00074250" w:rsidRDefault="009454AA" w:rsidP="009454AA">
      <w:pPr>
        <w:widowControl/>
        <w:pBdr>
          <w:top w:val="nil"/>
          <w:left w:val="nil"/>
          <w:bottom w:val="nil"/>
          <w:right w:val="nil"/>
          <w:between w:val="nil"/>
          <w:bar w:val="nil"/>
        </w:pBdr>
        <w:autoSpaceDE/>
        <w:autoSpaceDN/>
        <w:adjustRightInd/>
        <w:jc w:val="both"/>
        <w:rPr>
          <w:rFonts w:cs="Arial"/>
          <w:b/>
          <w:bCs/>
          <w:sz w:val="22"/>
          <w:szCs w:val="22"/>
          <w:lang w:val="es-ES"/>
        </w:rPr>
      </w:pPr>
      <w:r w:rsidRPr="00074250">
        <w:rPr>
          <w:rFonts w:cs="Arial"/>
          <w:b/>
          <w:bCs/>
          <w:sz w:val="22"/>
          <w:szCs w:val="22"/>
          <w:lang w:val="es-ES"/>
        </w:rPr>
        <w:t>6.</w:t>
      </w:r>
      <w:r w:rsidR="00FA667F">
        <w:rPr>
          <w:rFonts w:cs="Arial"/>
          <w:b/>
          <w:bCs/>
          <w:sz w:val="22"/>
          <w:szCs w:val="22"/>
          <w:lang w:val="es-ES"/>
        </w:rPr>
        <w:t>2</w:t>
      </w:r>
      <w:r w:rsidRPr="00074250">
        <w:rPr>
          <w:rFonts w:cs="Arial"/>
          <w:b/>
          <w:bCs/>
          <w:sz w:val="22"/>
          <w:szCs w:val="22"/>
          <w:lang w:val="es-ES"/>
        </w:rPr>
        <w:tab/>
        <w:t>Resultados</w:t>
      </w:r>
    </w:p>
    <w:p w14:paraId="3F1B4F2C" w14:textId="77777777" w:rsidR="009454AA" w:rsidRPr="00074250" w:rsidRDefault="009454AA" w:rsidP="009454AA">
      <w:pPr>
        <w:widowControl/>
        <w:pBdr>
          <w:top w:val="nil"/>
          <w:left w:val="nil"/>
          <w:bottom w:val="nil"/>
          <w:right w:val="nil"/>
          <w:between w:val="nil"/>
          <w:bar w:val="nil"/>
        </w:pBdr>
        <w:autoSpaceDE/>
        <w:autoSpaceDN/>
        <w:adjustRightInd/>
        <w:jc w:val="both"/>
        <w:rPr>
          <w:rFonts w:cs="Arial"/>
          <w:b/>
          <w:bCs/>
          <w:sz w:val="22"/>
          <w:szCs w:val="22"/>
          <w:lang w:val="es-ES"/>
        </w:rPr>
      </w:pPr>
    </w:p>
    <w:p w14:paraId="47ABDFDE" w14:textId="15B917F0" w:rsidR="009454AA" w:rsidRPr="00074250"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Durante nuestro análisis, hemos identificado varios casos donde había lagunas de datos a nivel nacional. En el período comprendido entre el 2015 y el 2019, ocho Signatarios (Finlandia, Jordania,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Latvia</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Lituania, Mónaco, Polonia, Somalia y Sudán) no notificaron ningún desembarco de tiburones y rayas a la FAO, a pesar de las pruebas de que pueden estar produciéndose desembarcos de especies enumeradas de tiburones y rayas en algunos de ellos </w:t>
      </w: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fldChar w:fldCharType="begin" w:fldLock="1"/>
      </w: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instrText>ADDIN CSL_CITATION {"citationItems":[{"id":"ITEM-1","itemData":{"DOI":"10.3354/esr00873","ISSN":"16134796","abstract":"All sawfishes have undergone severe declines in numbers and ranges due to anthropogenic activities. Consequently, all species have been listed as Endangered or Critically Endangered by the IUCN. The aim of this study was to identify the species of sawfish that occur in the Sudanese Red Sea and to assess their current status. Encounter data from landing sites and markets (2000-2016) and bottom trawling along the southern coast (2015-2016) were compiled. In addition, data from rostra were obtained from private collections and museums (collected from 1969 to 2014). Only the green sawfish Pristis zijsron was identified based on 26 rostra of neonates, juveniles, and adults as well as 6 carcasses (1 juvenile, 5 adults). Based on necropsies of 5 adult females and 11 live neonates, parturition occurred from October to late April. The smallest female that had developing follicles was 350 cm total length (TL). The number of embryos per brood was 6; however, fishers reported broods of 2, 8, and 12. Size at birth ranged from 60 to 80 cm TL. Current nursery areas are Marsa Ashat, Marsa Trinkitat (Srinikitat), and Agig Bay along the southern coast, and Dungonab and Oseif bays along the northern coast. These areas should be targeted for protection (e.g. marine reserves, time-area closures) if conserving the remaining green sawfish in the region is a priority.","author":[{"dropping-particle":"","family":"Elhassan","given":"Igbal S.","non-dropping-particle":"","parse-names":false,"suffix":""}],"container-title":"Endangered Species Research","id":"ITEM-1","issued":{"date-parts":[["2018","5","17"]]},"page":"41-47","publisher":"Inter-Research","title":"Occurrence of the green sawfish Pristis zijsron in the Sudanese Red Sea with observations on reproduction","type":"article-journal","volume":"36"},"uris":["http://www.mendeley.com/documents/?uuid=c2dea759-7e75-3f89-a3ff-91feea1f950e"]},{"id":"ITEM-2","itemData":{"DOI":"10.18289/OEF.2015.001","author":[{"dropping-particle":"","family":"Glaser","given":"Sarah","non-dropping-particle":"","parse-names":false,"suffix":""},{"dropping-particle":"","family":"Roberts","given":"Paige","non-dropping-particle":"","parse-names":false,"suffix":""},{"dropping-particle":"","family":"Mazurek","given":"Robert","non-dropping-particle":"","parse-names":false,"suffix":""},{"dropping-particle":"","family":"Hurlburt","given":"Kaija","non-dropping-particle":"","parse-names":false,"suffix":""},{"dropping-particle":"","family":"Kane-Hartnet","given":"Liza","non-dropping-particle":"","parse-names":false,"suffix":""}],"id":"ITEM-2","issued":{"date-parts":[["2015"]]},"publisher-place":"Denver, CO","title":"Securing Somali Fisheries","type":"report"},"uris":["http://www.mendeley.com/documents/?uuid=8cd78db9-5d61-34e8-8c29-7269c9d5b031"]},{"id":"ITEM-3","itemData":{"abstract":"Scattered information on marine fisheries was gathered to evaluate the status of Jordan's marine fishery during the last three decades. In addition, assessment of some commercially valuable species was conducted during July 1999 until June 2000 in Jordan's Gulf of Aqaba. Fish landing size, composition, gears and efforts expanded by Jordanian fishermen were compared and analyzed. Variation in the landing size was observed accompanied with gradual decline of commercial fish production. The Jordanian fishermen employ artisanal methods using different fishing gears that differ according to species kind and density. Fluctuation in total landing of marine fish could be attributed to the strict security measures and the depletion of bottom soft communities due to rapid urban development in coastal areas of the Gulf of Aqaba. The majority of the commercial catch comprised of the following fish families; Scombridae, Carangidae, Triakidae, Scaridae, Mullidae, Caesionidae, Siganidae, Mugilidae, and Serranidae. Fish species of Scombridae represented about 60% of the total catch. Fish imports were substantially increased in the last decade. Local marine fish production does not exceed more than 1 % of the total fishery consumption of Jordan. At the same time, Fresh fish in relation to the total consumption was extremely low (0.04%). Similarly, the per capita consumption is considerably low (3.4 kg/head) in comparison to the world's average (13 kg/head). These figures are continuously changing according to the undulation in fish production and imports which are strongly affected by the political and economic conditions in the country. The marine fishery resource would continue to decrease in the future if the past and present restrictions are to continue. Deep-water fishery and mariculture have good potential to reduce the exploitation rate of Jordan fishery resources in the Gulf of Aqaba. Measures to mange these resources are discussed in the context of the present study.","author":[{"dropping-particle":"","family":"Al-Zibdah, M. Khalaf, M. Odat","given":"N.","non-dropping-particle":"","parse-names":false,"suffix":""}],"container-title":"Pure Sciences","id":"ITEM-3","issue":"1","issued":{"date-parts":[["2006"]]},"page":"127-142","title":"The Fishery Status in Jordan’ s Gulf of Aqaba, Red Sea","type":"article-journal","volume":"33"},"uris":["http://www.mendeley.com/documents/?uuid=6c0a6441-8f21-3d50-aee6-a008f3effc7b"]}],"mendeley":{"formattedCitation":"(Al-Zibdah, M. Khalaf, M. Odat 2006; Glaser et al. 2015; Elhassan 2018)","plainTextFormattedCitation":"(Al-Zibdah, M. Khalaf, M. Odat 2006; Glaser et al. 2015; Elhassan 2018)","previouslyFormattedCitation":"(Al-Zibdah, M. Khalaf, M. Odat 2006; Glaser et al. 2015; Elhassan 2018)"},"properties":{"noteIndex":0},"schema":"https://github.com/citation-style-language/schema/raw/master/csl-citation.json"}</w:instrText>
      </w: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fldChar w:fldCharType="separate"/>
      </w: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(Al-Zibdah et al. 2006; Glaser et al. 2015; Elhassan 2018)</w:t>
      </w: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fldChar w:fldCharType="end"/>
      </w: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Sin embargo, el número de naciones que no notificaron a la FAO fue menor en los Signatarios que en los Estados del Área de Distribución (17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nationes</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Bahamas, Bosnia y Herzegovina, Camboya, Corea del Norte, Dominica, Haití, Honduras, Irak, Israel, Jamaica, Kuwait, Birmania, Niue, San Cristóbal y Nieves, Serbia, Timor-Leste, y Vietnam). </w:t>
      </w:r>
    </w:p>
    <w:p w14:paraId="78D81A91" w14:textId="77777777" w:rsidR="009454AA" w:rsidRPr="00074250"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p>
    <w:p w14:paraId="27B82D2E" w14:textId="1580185A" w:rsidR="009454AA" w:rsidRPr="00074250"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A nivel mundial, no se han notificado datos de desembarcos específicos de especie (2015-2019) de Tiburón arenero,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Rhynchobatus</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Laevis</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Tiburón blanco, Peregrino, Tiburón ballena, cualquier Pez sierra y siete especies de Mantas y Diablos. Sin embargo, hay evidencias que muestran que se están desembarcando algunas de estas especies en varias zonas pero no están siendo notificadas </w:t>
      </w: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fldChar w:fldCharType="begin" w:fldLock="1"/>
      </w: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instrText>ADDIN CSL_CITATION {"citationItems":[{"id":"ITEM-1","itemData":{"DOI":"10.22392/actaquatr.812389","ISSN":"2651-5474","abstract":"The high of catching intensity or overfishing of dusky whaler shark, Carcharhinus obscurus (Lesueur, 1818), has threatened its sustainability. Even though fisheries and biological aspects of C. obscurus are important as a basic assessment for making regulation of shark fisheries management. However, those studies never been reported in Indonesia. The aim of this study is to identify the number of catches and biological aspects of C. obscurus. This study was conducted from January to March 2018 at Fishery Port Technical Implementation Unit (FP-TIU) Muncar, Banyuwangi, Indonesia. 54 C. obscurus individuals were obtained using random sampling survey method. Here, we found that the number of C. obscurus landed in 2018 was higher compared to 2014 and 2017. The shark length ranged from 172 to 394 cm. Percentages of male and female adults of C. obscurus were 22.22 and 46.30%, respectively. Whilst in the juveniles were 20.37% males and 11.11% females. The maturity rate based on clasper length, male landed sharks was 82.61% classified within full calcification and 17.39% non-full calcification level. The sex ratio of C. obscurus sharks that are landed was 1:1.34 (M: F).","author":[{"dropping-particle":"","family":"Irsan","given":"Ahmad","non-dropping-particle":"","parse-names":false,"suffix":""},{"dropping-particle":"","family":"Wijayanti","given":"Fahma","non-dropping-particle":"","parse-names":false,"suffix":""},{"dropping-particle":"","family":"Assuyuti","given":"Yayan Mardiansyah","non-dropping-particle":"","parse-names":false,"suffix":""},{"dropping-particle":"","family":"Yuneri","given":"Ranny","non-dropping-particle":"","parse-names":false,"suffix":""}],"container-title":"Acta Aquatica Turcica","id":"ITEM-1","issue":"4","issued":{"date-parts":[["2021","12","1"]]},"page":"463-473","publisher":"Suleyman Demirel Universitesi Egirdir Su Urunleri Fakultesi Dergisi","title":"Fisheries and Biological Aspect of Dusky Whaler Shark (Carcharhinus obscurus, Lesueur 1818) in Muncar Fishing Port, Banyuwangi, Indonesia","type":"article-journal","volume":"17"},"uris":["http://www.mendeley.com/documents/?uuid=a9836545-9995-3f93-9398-afbec305f786"]},{"id":"ITEM-2","itemData":{"DOI":"10.19233/ASHN.2018.10","ISSN":"1408533X","abstract":"Between January 2016 and April 2018, 3 juvenile great white sharks, Carcharodon carcharias (Linnaeus, 1758), were incidentally captured in the coastal waters of the Turkish Aegean Sea. Journeys of young-of-the-year (YOY) and juvenile specimens can increase the risk of their encountering fishing gears if the specimens head for regions where the fishery of the great whites is not banned. An understanding of the geographic range and knowledge of the vertical distribution of the YOY and juvenile great whites are therefore necessary to implement a management plan for great white populations in Turkish waters and to reduce the incidental fishing mortality of this vulnerable top predator.","author":[{"dropping-particle":"","family":"Kabasakal","given":"Hakan","non-dropping-particle":"","parse-names":false,"suffix":""},{"dropping-particle":"","family":"Bayri","given":"Erdi","non-dropping-particle":"","parse-names":false,"suffix":""},{"dropping-particle":"","family":"Ataç","given":"Eylül","non-dropping-particle":"","parse-names":false,"suffix":""}],"container-title":"Annales, Series Historia Naturalis","id":"ITEM-2","issue":"2","issued":{"date-parts":[["2018"]]},"page":"93-98","publisher":"Historical Society of Southern Primorska of Koper","title":"Recent records of the great white shark, carcharodon carcharias (Linnaeus, 1758) (chondrichthyes: Lamnidae), in Turkish waters (eastern mediterranean)","type":"article-journal","volume":"28"},"uris":["http://www.mendeley.com/documents/?uuid=a7cd49e0-e643-35e2-b6e4-24ae88da8307"]},{"id":"ITEM-3","itemData":{"DOI":"10.2984/72.4.6","ISSN":"15346188","abstract":"In the eastern Pacific Ocean, whale sharks (Rhincodon typus) have mostly been studied off the Galápagos Islands, Ecuador, and Baja California, Mexico. Recently, satellite telemetry data revealed connectivity between whale sharks off the Galápagos Islands and Peru. Historic and some recent observations have reported rare occurrences of whale sharks in waters off northern Peru. However, no current detailed information on the occurrence of whale sharks in Peruvian waters has been published. In this study we compiled 27 records of whale sharks along the Peruvian coast as a first step to better understand their use of Peruvian waters. Northern Peru was identified as the main area of occurrence for whale sharks, and reports were more frequent during the austral summer (January to March) and spring (October to December). Moreover, presence of neonatal whale sharks reported in this study, in addition to that of previously satellite-tracked presumably pregnant females, suggests use of northern Peruvian waters as a pupping ground. Interactions occurred only with net fisheries and were evident in most (89%) of the records, but further studies should evaluate the extent of fisheries-shark interactions. As whale shark population numbers decline, effective conservation measures will require understanding of whale shark occurrences, and waters of northern Peru may play an important role in the species' biology and ecology. Systematic research is recommended to improve our understanding of habitat use of individuals present in Peruvian waters.","author":[{"dropping-particle":"","family":"Pajuelo","given":"Mariela","non-dropping-particle":"","parse-names":false,"suffix":""},{"dropping-particle":"","family":"Alfaro-Shigueto","given":"Joanna","non-dropping-particle":"","parse-names":false,"suffix":""},{"dropping-particle":"","family":"Romero","given":"Miguel","non-dropping-particle":"","parse-names":false,"suffix":""},{"dropping-particle":"","family":"Pásara-Polack","given":"Andrea","non-dropping-particle":"","parse-names":false,"suffix":""},{"dropping-particle":"","family":"Solano","given":"Amado","non-dropping-particle":"","parse-names":false,"suffix":""},{"dropping-particle":"","family":"Vela","given":"German","non-dropping-particle":"","parse-names":false,"suffix":""},{"dropping-particle":"","family":"Sarmiento","given":"David","non-dropping-particle":"","parse-names":false,"suffix":""},{"dropping-particle":"","family":"Mangel","given":"Jeffrey C.","non-dropping-particle":"","parse-names":false,"suffix":""}],"container-title":"Pacific Science","id":"ITEM-3","issue":"4","issued":{"date-parts":[["2018","10","1"]]},"page":"463-473","publisher":"University of Hawai'i Press","title":"Occurrence and Bycatch of Juvenile and Neonate Whale Sharks (Rhincodon typus) in Peruvian Waters","type":"article-journal","volume":"72"},"uris":["http://www.mendeley.com/documents/?uuid=429cd9b5-e18d-3952-a73a-2445e2727788"]},{"id":"ITEM-4","itemData":{"DOI":"10.5339/qproc.2016.iwsc4.55","ISSN":"2226-9649","abstract":"Background The whale shark conservation programme along the East Godavari River Estuarine Ecosystem (EGREE) region, of Andhra Pradesh, east-coast of India, was started in June 2012 under the direction of the Government of India, the United Nations Development Programme, the Global Environment Facility and the Government of Andhra Pradesh Godavari Project. It was started for the conservation and management of globally threatened species protected under the Indian Wildlife (Protection) Act of 1972, and employing cross sectoral mechanisms among various stakeholders, namely enforcement departments (state and central governments), production sectors (industries), fishermen and the public. Approach Questionnaire surveys are conducted to learn the present status of whale sharks along the Andhra Pradesh Coast, and literature surveys are done to understand the past and present whale shark distribution along the east coast of India. Major fish landing centres are monitored to record whale sharks landings, including seasonality, size and sex ratio. Massive awareness programmes and campaigns are conducted to improve the knowledge levels of various stakeholders. A whale shark conservation action plan is being prepared for the Andhra Pradesh coast by cross sectoral mechanisms. Results Fishery experts, researchers and local fishermen opined that until late 2007, the whale shark was a rare visitor to the EGREE region, but the number of sharks has increased in recent years. According to fishermen, whale sharks are seen at a depth of 20–40 m and sometimes come close to shore where they become entangled in shore seine nets. The fishermen revealed that whale sharks are seen mostly solitary or in small groups of 3 to 5 individuals, but sometimes over 200–300 individuals will aggregate in the open sea near the EGREE Region. As per the available literature, the total number of whale sharks killed as bycatch was 20 along the Andhra Pradesh coast between 1889 and 1998 (110 years). But surveys by the EGREE Foundation that between June 2013 and January 2016, 79 individual whale sharks were killed. The whale shark landings happened in all months except during the fishing ban from 16th April to 15th June. In September of 2014, 22 whale sharks were brought to the landing center. Of these 22 sharks, four were alive after being caught in a shore-seine fishing net. Both questionnaire and field surveys revealed that coastal and marine areas of the EGREE region have become a hot spot for…","author":[{"dropping-particle":"","family":"Sathiyaselvam","given":"P.","non-dropping-particle":"","parse-names":false,"suffix":""},{"dropping-particle":"","family":"Prashanthi","given":"P.","non-dropping-particle":"","parse-names":false,"suffix":""},{"dropping-particle":"","family":"Kathula","given":"Tarun","non-dropping-particle":"","parse-names":false,"suffix":""},{"dropping-particle":"","family":"Kumar","given":"M. Ravi","non-dropping-particle":"","parse-names":false,"suffix":""},{"dropping-particle":"","family":"Kalghatgi","given":"Ramesh G.","non-dropping-particle":"","parse-names":false,"suffix":""},{"dropping-particle":"","family":"Mishra","given":"S.B.L.","non-dropping-particle":"","parse-names":false,"suffix":""}],"container-title":"QScience Proceedings, The 4th International Whale Shark Conference","id":"ITEM-4","issue":"2","issued":{"date-parts":[["2019","5","15"]]},"page":"55","publisher":"Hamad bin Khalifa University Press (HBKU Press)","title":"Increasing numbers of whale sharks along the Andhra Pradesh coast, India – the conservation and management initiatives taken by EGREE Foundation","type":"paper-conference","volume":"2016"},"uris":["http://www.mendeley.com/documents/?uuid=2cdb85f0-68c2-3b86-8497-286c20698276"]},{"id":"ITEM-5","itemData":{"DOI":"10.21077/ijf.2020.67.4.95636-02","ISSN":"09706011","abstract":"Large sized batoids particularly wedgefishes are highly vulnerable to fishing and yet very few studies have been published on their biology. The reproductive biology and feeding habit of Rhynchobatus laevis (Bloch and Schneider, 1801) collected off the north-west coast of India, Arabian Sea, northern Indian Ocean is presented. A total of 328 individuals, in the size range from 44.0 to 290 cm total length (TL), 300 to 94000 g total weight (TW) were used for the study. The length-weight relationships were significantly different between the sexes (p&lt;0.001). Co-efficients ‘a’ and ‘b’ of the length-weight relationship were estimated as 0.009412 and 2.830218 (r2=0.979) for females and 0.004032 and 3.031303 (r2=0.974) for males, respectively. The length at maturity (Lm) for females and males was estimated to be 190 and 140 cm TL, respectively. Number of embryos ranged from 4 to 10 and the size at birth was estimated to range between 44 and 50 cm TL. Overall sex ratio favoured females (Female:Male = 1.73:1). There was no significant correlation between maternal TL and number of embryos produced. Dietary analysis of stomach contents (%IRI) revealed that R. laevis fed primarily on teleosts (83.4%) and crustaceans (15.1%). This study provides the detailed biological observation on size, sex composition, length at maturity (Lm), length-weight relationship and diet of R. laevis from northern Indian Ocean which can be used as essential inputs to formulate effective management plans and conservation strategies for this species in the region.","author":[{"dropping-particle":"","family":"Purushottama","given":"G. B.","non-dropping-particle":"","parse-names":false,"suffix":""},{"dropping-particle":"","family":"Raje","given":"S. G.","non-dropping-particle":"","parse-names":false,"suffix":""},{"dropping-particle":"","family":"Thakurdas","given":"","non-dropping-particle":"","parse-names":false,"suffix":""},{"dropping-particle":"V.","family":"Akhilesh","given":"K.","non-dropping-particle":"","parse-names":false,"suffix":""},{"dropping-particle":"","family":"Joe Kizhakudan","given":"Shoba","non-dropping-particle":"","parse-names":false,"suffix":""},{"dropping-particle":"","family":"Zacharia","given":"P. U.","non-dropping-particle":"","parse-names":false,"suffix":""}],"container-title":"Indian Journal of Fisheries","id":"ITEM-5","issue":"4","issued":{"date-parts":[["2020"]]},"page":"13-23","publisher":"Indian Council of Agricultural Research","title":"Reproductive biology and diet composition of rhynchobatus Laevis (Bloch and schneider, 1801) (rhinopristiformes:Rhinidae) from the northern Indian ocean","type":"article-journal","volume":"67"},"uris":["http://www.mendeley.com/documents/?uuid=e4dff568-5996-303b-8821-fbc6a2530433"]},{"id":"ITEM-6","itemData":{"DOI":"10.17895/ices.advice.4827","author":[{"dropping-particle":"","family":"ICES","given":"","non-dropping-particle":"","parse-names":false,"suffix":""}],"container-title":"Report of the ICES Advisory Committee","id":"ITEM-6","issue":"bsk.27.nea","issued":{"date-parts":[["2019"]]},"title":"Basking shark (Cetorhinus maximus) in subareas 1–10, 12, and 14 (Northeast Atlantic and adjacent waters).","type":"report","volume":"ICES Advic"},"uris":["http://www.mendeley.com/documents/?uuid=599d297e-9126-36e4-b1b6-b9fbd60a78d7"]},{"id":"ITEM-7","itemData":{"DOI":"10.1007/s10592-018-1108-1","ISSN":"15729737","abstract":"The shark and ray (Elasmobranchii) trade is a commercially valuable industry that has negative consequences for wild populations. An estimated 100 million sharks are caught each year to supply the demand for cultural cuisines, traditions and practices, including shark fin soup and Traditional Chinese Medicine. Despite the establishment of frameworks and regulations by international trade and conservation bodies as well as national legislations, elasmobranch populations continue to decline. While their conservation becomes an ever more pressing concern, a major obstacle that hampers regulation is the mislabelling and/or misidentification of dried products or carcasses that have had fins removed. Here we use DNA barcoding to identify the species of origin for a variety of shark and ray products readily available to consumers in Singapore, a major importer of these goods. We amplified a fragment of the cytochrome c oxidase subunit I gene from shark fin, cartilage and meat, as well as ray gill plates and meat for DNA sequencing. Our analysis of 207 DNA barcodes yielded 28 positively identified elasmobranch species, eight of which are listed under Appendix II of the Convention on International Trade in Endangered Species of Wild Fauna and Flora, and 12 are listed as Endangered or Vulnerable by the International Union for the Conservation of Nature. This information will be useful to regulatory bodies in controlling trade and establishing new or revisiting previous conservation status listings.","author":[{"dropping-particle":"","family":"Wainwright","given":"Benjamin J.","non-dropping-particle":"","parse-names":false,"suffix":""},{"dropping-particle":"","family":"Ip","given":"Yin Cheong Aden","non-dropping-particle":"","parse-names":false,"suffix":""},{"dropping-particle":"","family":"Neo","given":"Mei Lin","non-dropping-particle":"","parse-names":false,"suffix":""},{"dropping-particle":"","family":"Chang","given":"Jia Jin Marc","non-dropping-particle":"","parse-names":false,"suffix":""},{"dropping-particle":"","family":"Gan","given":"Chester Zhikai","non-dropping-particle":"","parse-names":false,"suffix":""},{"dropping-particle":"","family":"Clark-Shen","given":"Naomi","non-dropping-particle":"","parse-names":false,"suffix":""},{"dropping-particle":"","family":"Huang","given":"Danwei","non-dropping-particle":"","parse-names":false,"suffix":""},{"dropping-particle":"","family":"Rao","given":"Madhu","non-dropping-particle":"","parse-names":false,"suffix":""}],"container-title":"Conservation Genetics","id":"ITEM-7","issue":"6","issued":{"date-parts":[["2018","12","1"]]},"page":"1393-1399","publisher":"Springer Netherlands","title":"DNA barcoding of traded shark fins, meat and mobulid gill plates in Singapore uncovers numerous threatened species","type":"article-journal","volume":"19"},"uris":["http://www.mendeley.com/documents/?uuid=79af95f0-f290-3412-8a26-9576c1252ac3"]},{"id":"ITEM-8","itemData":{"DOI":"10.1016/bs.amb.2017.09.003","ISSN":"21625875","PMID":"29056145","abstract":"For over 100 years, sharks have been encountered, as either directed catch or incidental catch, in commercial fisheries throughout the Northeast Pacific Ocean. A long-standing directed fishery for North Pacific Spiny Dogfish (Squalus suckleyi) has occurred and dominated shark landings and discards. Other fisheries, mainly for shark livers, have historically targeted species including Bluntnose Sixgill Shark (Hexanchus griseus) and Tope Shark (Galeorhinus galeus). While incidental catches of numerous species have occurred historically, only recently have these encounters been reliably enumerated in commercial and recreational fisheries. In this chapter we present shark catch statistics (directed and incidental) for commercial and recreational fisheries from Canadian waters (off British Columbia), southern US waters (off California, Oregon, and Washington), and northern US waters (off Alaska). In total, 17 species of sharks have collectively been encountered in these waters. Fishery encounters present conservation challenges for shark management, namely, the need for accurate catch statistics, stock delineation, life history parameter estimates, and improved assessments methods for population status and trends. Improvements in management and conservation of shark populations will only come with the further development of sound science-based fishery management practices for both targeted and incidental shark fisheries.","author":[{"dropping-particle":"","family":"King","given":"Jackie","non-dropping-particle":"","parse-names":false,"suffix":""},{"dropping-particle":"","family":"McFarlane","given":"Gordon A.","non-dropping-particle":"","parse-names":false,"suffix":""},{"dropping-particle":"","family":"Gertseva","given":"Vladlena","non-dropping-particle":"","parse-names":false,"suffix":""},{"dropping-particle":"","fa</w:instrText>
      </w:r>
      <w:r w:rsidRPr="009B36B6">
        <w:rPr>
          <w:rFonts w:eastAsia="Arial Unicode MS" w:cs="Arial"/>
          <w:color w:val="000000"/>
          <w:sz w:val="22"/>
          <w:szCs w:val="22"/>
          <w:u w:color="000000"/>
          <w:bdr w:val="nil"/>
          <w:lang w:val="fr-FR" w:eastAsia="es-ES"/>
          <w14:textOutline w14:w="0" w14:cap="flat" w14:cmpd="sng" w14:algn="ctr">
            <w14:noFill/>
            <w14:prstDash w14:val="solid"/>
            <w14:bevel/>
          </w14:textOutline>
        </w:rPr>
        <w:instrText>mily":"Gasper","given":"Jason","non-dropping-particle":"","parse-names":false,"suffix":""},{"dropping-particle":"","family":"Matson","given":"Sean","non-dropping-particle":"","parse-names":false,"suffix":""},{"dropping-particle":"","family":"Tribuzio","given":"Cindy A.","non-dropping-particle":"","parse-names":false,"suffix":""}],"container-title":"Advances in Marine Biology","id":"ITEM-8","issued":{"date-parts":[["2017","1","1"]]},"page":"9-44","publisher":"Academic Press","title":"Shark Interactions With Directed and Incidental Fisheries in the Northeast Pacific Ocean: Historic and Current Encounters, and Challenges for Shark Conservation","type":"chapter","volume":"78"},"uris":["http://www.mendeley.com/documents/?uuid=fa3b731e-eb38-30b4-9a24-027f9b932456"]}],"mendeley":{"formattedCitation":"(King et al. 2017; Kabasakal et al. 2018; Pajuelo et al. 2018; Wainwright et al. 2018; ICES 2019; Sathiyaselvam et al. 2019; Purushottama et al. 2020; Irsan et al. 2021)","plainTextFormattedCitation":"(King et al. 2017; Kabasakal et al. 2018; Pajuelo et al. 2018; Wainwright et al. 2018; ICES 2019; Sathiyaselvam et al. 2019; Purushottama et al. 2020; Irsan et al. 2021)","previouslyFormattedCitation":"(King et al. 2017; Kabasakal et al. 2018; Pajuelo et al. 2018; Wainwright et al. 2018; ICES 2019; Sathiyaselvam et al. 2019; Purushottama et al. 2020; Irsan et al. 2021)"},"properties":{"noteIndex":0},"schema":"https://github.com/citation-style-language/schema/raw/master/csl-citation.json"}</w:instrText>
      </w: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fldChar w:fldCharType="separate"/>
      </w:r>
      <w:r w:rsidRPr="009B36B6">
        <w:rPr>
          <w:rFonts w:eastAsia="Arial Unicode MS" w:cs="Arial"/>
          <w:color w:val="000000"/>
          <w:sz w:val="22"/>
          <w:szCs w:val="22"/>
          <w:u w:color="000000"/>
          <w:bdr w:val="nil"/>
          <w:lang w:val="fr-FR" w:eastAsia="es-ES"/>
          <w14:textOutline w14:w="0" w14:cap="flat" w14:cmpd="sng" w14:algn="ctr">
            <w14:noFill/>
            <w14:prstDash w14:val="solid"/>
            <w14:bevel/>
          </w14:textOutline>
        </w:rPr>
        <w:t>(King et al. 2017; Kabasakal et al. 2018; Pajuelo et al. 2018; Wainwright et al. 2018; ICES 2019; Sathiyaselvam et al. 2019; Purushottama et al. 2020; Irsan et al. 2021)</w:t>
      </w: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fldChar w:fldCharType="end"/>
      </w:r>
      <w:r w:rsidRPr="009B36B6">
        <w:rPr>
          <w:rFonts w:eastAsia="Arial Unicode MS" w:cs="Arial"/>
          <w:color w:val="000000"/>
          <w:sz w:val="22"/>
          <w:szCs w:val="22"/>
          <w:u w:color="000000"/>
          <w:bdr w:val="nil"/>
          <w:lang w:val="fr-FR" w:eastAsia="es-ES"/>
          <w14:textOutline w14:w="0" w14:cap="flat" w14:cmpd="sng" w14:algn="ctr">
            <w14:noFill/>
            <w14:prstDash w14:val="solid"/>
            <w14:bevel/>
          </w14:textOutline>
        </w:rPr>
        <w:t xml:space="preserve">. </w:t>
      </w: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No había categoría taxonómica de especie para el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Rhynchobatus</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Laevis</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para notificar datos de desembarcos a la FAO. Los enfoques normalizados de cómo las naciones deberían notificar los desembarcos de especies protegidas y prohibidas podrían ser de gran utilidad ya que estos datos pueden simplemente omitirse de los envíos de datos nacionales.</w:t>
      </w:r>
    </w:p>
    <w:p w14:paraId="6E32E8EB" w14:textId="77777777" w:rsidR="009454AA" w:rsidRPr="00074250"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p>
    <w:p w14:paraId="5FA9F5E8" w14:textId="321E705D" w:rsidR="009454AA" w:rsidRPr="00074250"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Por otro lado, algunas de las categorías reconocidas por la lista de especies ASFIS para notificar a la FAO pueden perpetuar errores en la taxonomía de las especies. Por ejemplo, el Diablito de Guinea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Mobula</w:t>
      </w:r>
      <w:proofErr w:type="spellEnd"/>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rochebrunei</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y el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Pristis</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microdon</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Pristis</w:t>
      </w:r>
      <w:proofErr w:type="spellEnd"/>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microdon</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ya no se consideran especies </w:t>
      </w:r>
      <w:proofErr w:type="gram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válidas</w:t>
      </w:r>
      <w:proofErr w:type="gram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sino que son consideradas sinónimos de la Manta del Golfo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Mobula</w:t>
      </w:r>
      <w:proofErr w:type="spellEnd"/>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hypostoma</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y el Pez sierra común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Pristis</w:t>
      </w:r>
      <w:proofErr w:type="spellEnd"/>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pristis</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respectivamente. No obstante, no se han notificado datos bajo estas categorías obsoletas. En otros casos, se han utilizado categorías taxonómicas inexactas durante el período de estudio. Por ejemplo, los desembarcos de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Mobula</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japanica</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Mobula</w:t>
      </w:r>
      <w:proofErr w:type="spellEnd"/>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japanica</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deberían analizarse como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Mobula</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Mobular</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Mobular</w:t>
      </w:r>
      <w:proofErr w:type="spellEnd"/>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mobular</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según los recientes cambios en la taxonomía </w:t>
      </w: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fldChar w:fldCharType="begin" w:fldLock="1"/>
      </w: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instrText>ADDIN CSL_CITATION {"citationItems":[{"id":"ITEM-1","itemData":{"DOI":"10.1093/zoolinnean/zlx018","ISSN":"10963642","abstract":"DNA sequence data from mitochondrial genomes and c. 1000 nuclear exons were analysed for a complete taxon sampling of manta and devilrays (Mobulidae) to estimate a current molecular phylogeny for the family. The resulting inferences were combined with morphological information to adopt an integrated approach to resolving the taxonomic arrangement of the family. The members of the genus Manta were found to consistently nest within the Mobula species and consequently the genus Manta is placed into the synonymy of Mobula. Mobula eregoodootenkee, M. japanica and M. rochebrunei were each found to be junior synonyms of M. kuhlii, M. mobular and M. hypostoma, respectively. The mitochondrial and nuclear tree topologies were in agreement except for the placement of M. tarapacana which was basal to all other mobulids in the nuclear exon analysis, but as the sister group to the M. alfredi– M. birostris–M. mobular clade in the mitochondrial genome analysis. Results from this study are used to a revise the taxonomy for the family Mobulidae. A single genus is now recognized (where there were previously two) and eight nominal species (where there were previously 11).","author":[{"dropping-particle":"","family":"White","given":"William T.","non-dropping-particle":"","parse-names":false,"suffix":""},{"dropping-particle":"","family":"Corrigan","given":"Shannon","non-dropping-particle":"","parse-names":false,"suffix":""},{"dropping-particle":"","family":"Yang","given":"Lei","non-dropping-particle":"","parse-names":false,"suffix":""},{"dropping-particle":"","family":"Henderson","given":"Aaron C.","non-dropping-particle":"","parse-names":false,"suffix":""},{"dropping-particle":"","family":"Bazinet","given":"Adam L.","non-dropping-particle":"","parse-names":false,"suffix":""},{"dropping-particle":"","family":"Swofford","given":"David L.","non-dropping-particle":"","parse-names":false,"suffix":""},{"dropping-particle":"","family":"Naylor","given":"Gavin J.P.","non-dropping-particle":"","parse-names":false,"suffix":""}],"container-title":"Zoological Journal of the Linnean Society","id":"ITEM-1","issue":"1","issued":{"date-parts":[["2018","1","1"]]},"page":"50-75","publisher":"Oxford Academic","title":"Phylogeny of the manta and devilrays (Chondrichthyes: Mobulidae), with an updated taxonomic arrangement for the family","type":"article-journal","volume":"182"},"uris":["http://www.mendeley.com/documents/?uuid=7d7d7532-bf63-3bef-a561-2f97528111f0"]}],"mendeley":{"formattedCitation":"(White et al. 2018)","plainTextFormattedCitation":"(White et al. 2018)","previouslyFormattedCitation":"(Biton-Porsmoguer et al. 2018)"},"properties":{"noteIndex":0},"schema":"https://github.com/citation-style-language/schema/raw/master/csl-citation.json"}</w:instrText>
      </w: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fldChar w:fldCharType="separate"/>
      </w: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(White et al. 2018)</w:t>
      </w: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fldChar w:fldCharType="end"/>
      </w: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Además, el nombre científico para las Mantas, Diablos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nep</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Mobulinae</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y la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lastRenderedPageBreak/>
        <w:t>Mobula</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eregoodootenkee</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Mobula</w:t>
      </w:r>
      <w:proofErr w:type="spellEnd"/>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eregoodootenkee</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deberían corregirse a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Mobulidae</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y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Mobula</w:t>
      </w:r>
      <w:proofErr w:type="spellEnd"/>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i/>
          <w:iCs/>
          <w:color w:val="000000"/>
          <w:sz w:val="22"/>
          <w:szCs w:val="22"/>
          <w:u w:color="000000"/>
          <w:bdr w:val="nil"/>
          <w:lang w:val="es-ES" w:eastAsia="es-ES"/>
          <w14:textOutline w14:w="0" w14:cap="flat" w14:cmpd="sng" w14:algn="ctr">
            <w14:noFill/>
            <w14:prstDash w14:val="solid"/>
            <w14:bevel/>
          </w14:textOutline>
        </w:rPr>
        <w:t>eregoodoo</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respectively</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w:t>
      </w:r>
    </w:p>
    <w:p w14:paraId="54C97654" w14:textId="77777777" w:rsidR="009454AA" w:rsidRPr="00074250"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p>
    <w:p w14:paraId="164BA7F7" w14:textId="77777777" w:rsidR="009454AA" w:rsidRPr="00074250" w:rsidRDefault="009454AA" w:rsidP="009454AA">
      <w:pPr>
        <w:contextualSpacing/>
        <w:jc w:val="both"/>
        <w:rPr>
          <w:rFonts w:cs="Arial"/>
          <w:sz w:val="22"/>
          <w:szCs w:val="22"/>
          <w:lang w:val="es-ES"/>
        </w:rPr>
      </w:pPr>
      <w:r w:rsidRPr="00074250">
        <w:rPr>
          <w:rFonts w:cs="Arial"/>
          <w:sz w:val="22"/>
          <w:szCs w:val="22"/>
          <w:lang w:val="es-ES"/>
        </w:rPr>
        <w:t xml:space="preserve">A pesar de la evaluación de la FAO de los datos enviados por los países, de consultar a los países cuando los datos son cuestionables y sustituir los datos presentados a aquellos validados por los ORP si están disponibles, todavía se han encontrado errores de entrada en nuestros análisis. Por ejemplo, entre el 2015-2019, se notificaron desde el Atlántico nororiental 5792 toneladas de Angelote (Zona FAO 27). Dada la magnitud de este valor en relación con la escala "Estado en grave peligro de extinción" de especies en la región </w:t>
      </w:r>
      <w:r w:rsidRPr="00074250">
        <w:rPr>
          <w:rFonts w:cs="Arial"/>
          <w:sz w:val="22"/>
          <w:szCs w:val="22"/>
          <w:lang w:val="es-ES"/>
        </w:rPr>
        <w:fldChar w:fldCharType="begin" w:fldLock="1"/>
      </w:r>
      <w:r w:rsidRPr="00074250">
        <w:rPr>
          <w:rFonts w:cs="Arial"/>
          <w:sz w:val="22"/>
          <w:szCs w:val="22"/>
          <w:lang w:val="es-ES"/>
        </w:rPr>
        <w:instrText>ADDIN CSL_CITATION {"citationItems":[{"id":"ITEM-1","itemData":{"DOI":"10.1111/JFB.14613","ISSN":"1095-8649","PMID":"33174197","abstract":"Angel sharks (Squatina spp.) are distributed in warm temperate to tropical waters around the world. Many species occur in shelf seas and exhibit seasonal inshore–offshore migrations, moving inshore to give birth. Consequently, there can be high spatial overlap of angel shark populations with fisheries and other human activities. Their dorso-ventrally flattened body shape, large size (most species attain &gt;100 cm total length, LT) and demersal nature means that they may be taken in a variety of demersal fishing gears from birth. Available data indicate that angel sharks typically have a biennial reproductive cycle, with litter sizes generally &lt;20 and the young born at c. 20–30 cm. The biological characteristics of angel sharks render them susceptible to overexploitation, as exemplified by the decline of Squatina squatina from many parts of its former range in the north-east Atlantic and Mediterranean Sea. Currently, half of the 22 recognized extant species of angel shark are classed as Threatened on the International Union for Conservation of Nature (IUCN) Red List (with a further three classified as Data Deficient). Given the biological vulnerability of angel sharks, and that many species are data-limited, the current paper provides a review of available biological information and fisheries data pertaining to this family.","author":[{"dropping-particle":"","family":"Ellis","given":"Jim R.","non-dropping-particle":"","parse-names":false,"suffix":""},{"dropping-particle":"","family":"Barker","given":"Joanna","non-dropping-particle":"","parse-names":false,"suffix":""},{"dropping-particle":"","family":"McCully Phillips","given":"Sophy R.","non-dropping-particle":"","parse-names":false,"suffix":""},{"dropping-particle":"","family":"Meyers","given":"Eva K.M.","non-dropping-particle":"","parse-names":false,"suffix":""},{"dropping-particle":"","family":"Heupel","given":"Michelle","non-dropping-particle":"","parse-names":false,"suffix":""}],"container-title":"Journal of Fish Biology","id":"ITEM-1","issue":"3","issued":{"date-parts":[["2021","3","1"]]},"page":"592-621","publisher":"John Wiley &amp; Sons, Ltd","title":"Angel sharks (Squatinidae): A review of biological knowledge and exploitation","type":"article-journal","volume":"98"},"uris":["http://www.mendeley.com/documents/?uuid=5cdf8aec-2085-37d1-84c8-2ca7634e4e64"]}],"mendeley":{"formattedCitation":"(Ellis et al. 2021)","plainTextFormattedCitation":"(Ellis et al. 2021)","previouslyFormattedCitation":"(Ellis et al. 2021)"},"properties":{"noteIndex":0},"schema":"https://github.com/citation-style-language/schema/raw/master/csl-citation.json"}</w:instrText>
      </w:r>
      <w:r w:rsidRPr="00074250">
        <w:rPr>
          <w:rFonts w:cs="Arial"/>
          <w:sz w:val="22"/>
          <w:szCs w:val="22"/>
          <w:lang w:val="es-ES"/>
        </w:rPr>
        <w:fldChar w:fldCharType="separate"/>
      </w:r>
      <w:r w:rsidRPr="00074250">
        <w:rPr>
          <w:rFonts w:cs="Arial"/>
          <w:sz w:val="22"/>
          <w:szCs w:val="22"/>
          <w:lang w:val="es-ES"/>
        </w:rPr>
        <w:t>(Ellis et al. 2021)</w:t>
      </w:r>
      <w:r w:rsidRPr="00074250">
        <w:rPr>
          <w:rFonts w:cs="Arial"/>
          <w:sz w:val="22"/>
          <w:szCs w:val="22"/>
          <w:lang w:val="es-ES"/>
        </w:rPr>
        <w:fldChar w:fldCharType="end"/>
      </w:r>
      <w:r w:rsidRPr="00074250">
        <w:rPr>
          <w:rFonts w:cs="Arial"/>
          <w:sz w:val="22"/>
          <w:szCs w:val="22"/>
          <w:lang w:val="es-ES"/>
        </w:rPr>
        <w:t xml:space="preserve"> y el hecho de que esta cantidad era un valor atípico en la serie temporal (se notificó un total de 1 tonelada en la serie temporal cuando se excluye este registro) esta cantidad parece ser un error de entrada. Este problema puede haber ocurrido como consecuencia de un error tipográfico al introducir la cantidad de la captura en 2018 o el código identificativo de especie 3-alpha (p.ej., el valor puede ser </w:t>
      </w:r>
      <w:proofErr w:type="gramStart"/>
      <w:r w:rsidRPr="00074250">
        <w:rPr>
          <w:rFonts w:cs="Arial"/>
          <w:sz w:val="22"/>
          <w:szCs w:val="22"/>
          <w:lang w:val="es-ES"/>
        </w:rPr>
        <w:t>correcto</w:t>
      </w:r>
      <w:proofErr w:type="gramEnd"/>
      <w:r w:rsidRPr="00074250">
        <w:rPr>
          <w:rFonts w:cs="Arial"/>
          <w:sz w:val="22"/>
          <w:szCs w:val="22"/>
          <w:lang w:val="es-ES"/>
        </w:rPr>
        <w:t xml:space="preserve"> pero debería referirse a una especie con un código identificativo similar al 3-alpha). Inconsistencias similares pueden socavar la precisión de los análisis de las pesquerías aportando prejuicios potencialmente peligrosos para el plan de conservación si pasa desapercibido.</w:t>
      </w:r>
    </w:p>
    <w:p w14:paraId="6F776AAC" w14:textId="77777777" w:rsidR="009454AA" w:rsidRPr="00074250" w:rsidRDefault="009454AA" w:rsidP="009454AA">
      <w:pPr>
        <w:contextualSpacing/>
        <w:jc w:val="both"/>
        <w:rPr>
          <w:rFonts w:cs="Arial"/>
          <w:sz w:val="22"/>
          <w:szCs w:val="22"/>
          <w:lang w:val="es-ES"/>
        </w:rPr>
      </w:pPr>
    </w:p>
    <w:p w14:paraId="53442E50" w14:textId="77777777" w:rsidR="009454AA" w:rsidRPr="00074250" w:rsidRDefault="009454AA" w:rsidP="009454AA">
      <w:pPr>
        <w:contextualSpacing/>
        <w:jc w:val="both"/>
        <w:rPr>
          <w:rFonts w:cs="Arial"/>
          <w:sz w:val="22"/>
          <w:szCs w:val="22"/>
          <w:lang w:val="es-ES"/>
        </w:rPr>
      </w:pPr>
      <w:r w:rsidRPr="00074250">
        <w:rPr>
          <w:rFonts w:cs="Arial"/>
          <w:sz w:val="22"/>
          <w:szCs w:val="22"/>
          <w:lang w:val="es-ES"/>
        </w:rPr>
        <w:t>La infravaloración y la sobrestimación de los datos de desembarcos puede comprometer aún más la calidad de los datos. Por ejemplo, la infravaloración de los desembarcos de las pesquerías es un problema extendido que puede variar en el tiempo así como entre regiones y naciones, dependiendo de las normativas internacionales, de los procedimiento de recogida de datos nacionales, la disponibilidad de recursos de formación, control y aplicación y el alcance de cualquier medida de pesca ilegal, no declarada y no reglamentada (INDNR).</w:t>
      </w:r>
      <w:r w:rsidRPr="00074250">
        <w:rPr>
          <w:rFonts w:cs="Arial"/>
          <w:sz w:val="22"/>
          <w:szCs w:val="22"/>
          <w:lang w:val="es-ES"/>
        </w:rPr>
        <w:fldChar w:fldCharType="begin" w:fldLock="1"/>
      </w:r>
      <w:r w:rsidRPr="00074250">
        <w:rPr>
          <w:rFonts w:cs="Arial"/>
          <w:sz w:val="22"/>
          <w:szCs w:val="22"/>
          <w:lang w:val="es-ES"/>
        </w:rPr>
        <w:instrText>ADDIN CSL_CITATION {"citationItems":[{"id":"ITEM-1","itemData":{"DOI":"10.1016/j.marpol.2011.10.024","ISSN":"0308597X","abstract":"With data series extending for 60 years, including catch data for almost 1850 species items, and reflecting geo-political, historical and natural events, the FAO capture database provides a service to the community interested in fishery information. Over 600 articles from refereed journals cited the database in the last 15 years. Species included grew significantly in the last decade and an analysis of annual reporting showed more timely data submissions, although the number of non-reporting countries remained stable throughout the years. An evaluation of data quality found over half developing countries reporting inadequately but also one-fourth of reports by developed countries were not satisfactory. This article also provides meta information on historical developments, data sources and coverage, and advice on what should be kept in mind when using the database for trend studies. © 2011 Elsevier Ltd.","author":[{"dropping-particle":"","family":"Garibaldi","given":"Luca","non-dropping-particle":"","parse-names":false,"suffix":""}],"container-title":"Marine Policy","id":"ITEM-1","issue":"3","issued":{"date-parts":[["2012","5","1"]]},"page":"760-768","publisher":"Pergamon","title":"The FAO global capture production database: A six-decade effort to catch the trend","type":"article-journal","volume":"36"},"uris":["http://www.mendeley.com/documents/?uuid=8b79dbd6-4f5d-3add-b211-0c19da7c970e"]},{"id":"ITEM-2","itemData":{"DOI":"10.1038/ncomms10244","ISSN":"2041-1723","PMID":"26784963","abstract":"Fisheries data assembled by the Food and Agriculture Organization (FAO) suggest that global marine fisheries catches increased to 86 million tonnes in 1996, then slightly declined. Here, using a decade-long multinational ‘catch reconstruction’ project covering the Exclusive Economic Zones of the world’s maritime countries and the High Seas from 1950 to 2010, and accounting for all fisheries, we identify catch trajectories differing considerably from the national data submitted to the FAO. We suggest that catch actually peaked at 130 million tonnes, and has been declining much more strongly since. This decline in reconstructed catches reflects declines in industrial catches and to a smaller extent declining discards, despite industrial fishing having expanded from industrialized countries to the waters of developing countries. The differing trajectories documented here suggest a need for improved monitoring of all fisheries, including often neglected small-scale fisheries, and illegal and other problematic fisheries, as well as discarded bycatch. Officially reported fisheries statistics suggest that global catches have stabilized since their peak in the mid-1990s. Here, the authors supplement these reported data with best-estimate values of missing data from the literature, and find that global catches have steadily declined over this time period.","author":[{"dropping-particle":"","family":"Pauly","given":"Daniel","non-dropping-particle":"","parse-names":false,"suffix":""},{"dropping-particle":"","family":"Zeller","given":"Dirk","non-dropping-particle":"","parse-names":false,"suffix":""}],"container-title":"Nature Communications 2016 7:1","id":"ITEM-2","issue":"1","issued":{"date-parts":[["2016","1","19"]]},"page":"1-9","publisher":"Nature Publishing Group","title":"Catch reconstructions reveal that global marine fisheries catches are higher than reported and declining","type":"article-journal","volume":"7"},"uris":["http://www.mendeley.com/documents/?uuid=ff92d7ec-9cdf-34a6-a3da-e266e0bc6748"]},{"id":"ITEM-3","itemData":{"DOI":"10.1038/s41467-022-28916-2","ISSN":"2041-1723","abstract":"Labor abuse on fishing vessels and illegal, unreported and unregulated (IUU) fishing violate human rights, jeopardize food security, and deprive governments of revenues. We applied a multi-method approach, combining new empirical data with satellite information on fishing activities and vessel characteristics to map risks of labor abuse and IUU fishing, understand their relationships, and identify major drivers. Port risks were globally pervasive and often coupled, with 57% of assessed ports associated with labor abuse or IUU fishing. For trips ending in assessed ports, 82% were linked to labor abuse or IUU fishing risks. At-sea risk areas were primarily driven by fishing vessel flags linked to poor control of corruption by the flag state, high ownership by countries other than the flag state, and Chinese-flagged vessels. Transshipment risk&amp;nbsp;areas were related to the gear type of fishing vessels engaged in&amp;nbsp;potential transshipment and carrier vessel flags. Measures at port offer promise for mitigating risks, through the Port State Measures Agreement for IUU fishing, and ensuring sufficient vessel time at port to detect and respond to labor abuse. Our results highlight the need for coordinated action across actors to avoid risk displacement and make progress towards eliminating these socially, environmentally and economically unsustainable practices. Taking action to reduce risks of labor abuse and illegal, unreported, and unregulated (IUU) fishing in the fishing sector is hindered by a lack of spatially explicit data and an understanding of different drivers of risks. Here the authors combine expert assessments with satellite information to map and quantify risks of labor abuse and IUU fishing at port, at sea and associated with transshipment globally.","author":[{"dropping-particle":"","family":"Selig","given":"Elizabeth R.","non-dropping-particle":"","parse-names":false,"suffix":""},{"dropping-particle":"","family":"Nakayama","given":"Shinnosuke","non-dropping-particle":"","parse-names":false,"suffix":""},{"dropping-particle":"","family":"Wabnitz","given":"Colette C. C.","non-dropping-particle":"","parse-names":false,"suffix":""},{"dropping-particle":"","family":"Österblom","given":"Henrik","non-dropping-particle":"","parse-names":false,"suffix":""},{"dropping-particle":"","family":"Spijkers","given":"Jessica","non-dropping-particle":"","parse-names":false,"suffix":""},{"dropping-particle":"","family":"Miller","given":"Nathan A.","non-dropping-particle":"","parse-names":false,"suffix":""},{"dropping-particle":"","family":"Bebbington","given":"Jan","non-dropping-particle":"","parse-names":false,"suffix":""},{"dropping-particle":"","family":"Decker Sparks","given":"Jessica L.","non-dropping-particle":"","parse-names":false,"suffix":""}],"container-title":"Nature Communications 2022 13:1","id":"ITEM-3","issue":"1","issued":{"date-parts":[["2022","4","5"]]},"page":"1-11","publisher":"Nature Publishing Group","title":"Revealing global risks of labor abuse and illegal, unreported, and unregulated fishing","type":"article-journal","volume":"13"},"uris":["http://www.mendeley.com/documents/?uuid=07e821e8-6bd2-3fae-a4b3-c1b5911c52e8"]}],"mendeley":{"formattedCitation":"(Garibaldi 2012; Pauly and Zeller 2016; Selig et al. 2022)","plainTextFormattedCitation":"(Garibaldi 2012; Pauly and Zeller 2016; Selig et al. 2022)","previouslyFormattedCitation":"(Garibaldi 2012; Pauly and Zeller 2016; Selig et al. 2022)"},"properties":{"noteIndex":0},"schema":"https://github.com/citation-style-language/schema/raw/master/csl-citation.json"}</w:instrText>
      </w:r>
      <w:r w:rsidRPr="00074250">
        <w:rPr>
          <w:rFonts w:cs="Arial"/>
          <w:sz w:val="22"/>
          <w:szCs w:val="22"/>
          <w:lang w:val="es-ES"/>
        </w:rPr>
        <w:fldChar w:fldCharType="separate"/>
      </w:r>
      <w:r w:rsidRPr="00074250">
        <w:rPr>
          <w:rFonts w:cs="Arial"/>
          <w:sz w:val="22"/>
          <w:szCs w:val="22"/>
          <w:lang w:val="es-ES"/>
        </w:rPr>
        <w:t>(Garibaldi 2012; Pauly and Zeller 2016; Selig et al. 2022)</w:t>
      </w:r>
      <w:r w:rsidRPr="00074250">
        <w:rPr>
          <w:rFonts w:cs="Arial"/>
          <w:sz w:val="22"/>
          <w:szCs w:val="22"/>
          <w:lang w:val="es-ES"/>
        </w:rPr>
        <w:fldChar w:fldCharType="end"/>
      </w:r>
      <w:r w:rsidRPr="00074250">
        <w:rPr>
          <w:rFonts w:cs="Arial"/>
          <w:sz w:val="22"/>
          <w:szCs w:val="22"/>
          <w:lang w:val="es-ES"/>
        </w:rPr>
        <w:t xml:space="preserve">. Determinar el grado potencial de la infravaloración de las especies de tiburones y rayas enumeradas en la CMS y el </w:t>
      </w:r>
      <w:proofErr w:type="spellStart"/>
      <w:r w:rsidRPr="00074250">
        <w:rPr>
          <w:rFonts w:cs="Arial"/>
          <w:sz w:val="22"/>
          <w:szCs w:val="22"/>
          <w:lang w:val="es-ES"/>
        </w:rPr>
        <w:t>MdE</w:t>
      </w:r>
      <w:proofErr w:type="spellEnd"/>
      <w:r w:rsidRPr="00074250">
        <w:rPr>
          <w:rFonts w:cs="Arial"/>
          <w:sz w:val="22"/>
          <w:szCs w:val="22"/>
          <w:lang w:val="es-ES"/>
        </w:rPr>
        <w:t xml:space="preserve"> sobre tiburones está fuera del alcance de este estudio; sin embargo se debería esperar que el nivel de infravaloración en algunas zonas sea alto </w:t>
      </w:r>
      <w:r w:rsidRPr="00074250">
        <w:rPr>
          <w:rFonts w:cs="Arial"/>
          <w:sz w:val="22"/>
          <w:szCs w:val="22"/>
          <w:lang w:val="es-ES"/>
        </w:rPr>
        <w:fldChar w:fldCharType="begin" w:fldLock="1"/>
      </w:r>
      <w:r w:rsidRPr="00074250">
        <w:rPr>
          <w:rFonts w:cs="Arial"/>
          <w:sz w:val="22"/>
          <w:szCs w:val="22"/>
          <w:lang w:val="es-ES"/>
        </w:rPr>
        <w:instrText>ADDIN CSL_CITATION {"citationItems":[{"id":"ITEM-1","itemData":{"DOI":"10.1038/ncomms10244","ISSN":"2041-1723","PMID":"26784963","abstract":"Fisheries data assembled by the Food and Agriculture Organization (FAO) suggest that global marine fisheries catches increased to 86 million tonnes in 1996, then slightly declined. Here, using a decade-long multinational ‘catch reconstruction’ project covering the Exclusive Economic Zones of the world’s maritime countries and the High Seas from 1950 to 2010, and accounting for all fisheries, we identify catch trajectories differing considerably from the national data submitted to the FAO. We suggest that catch actually peaked at 130 million tonnes, and has been declining much more strongly since. This decline in reconstructed catches reflects declines in industrial catches and to a smaller extent declining discards, despite industrial fishing having expanded from industrialized countries to the waters of developing countries. The differing trajectories documented here suggest a need for improved monitoring of all fisheries, including often neglected small-scale fisheries, and illegal and other problematic fisheries, as well as discarded bycatch. Officially reported fisheries statistics suggest that global catches have stabilized since their peak in the mid-1990s. Here, the authors supplement these reported data with best-estimate values of missing data from the literature, and find that global catches have steadily declined over this time period.","author":[{"dropping-particle":"","family":"Pauly","given":"Daniel","non-dropping-particle":"","parse-names":false,"suffix":""},{"dropping-particle":"","family":"Zeller","given":"Dirk","non-dropping-particle":"","parse-names":false,"suffix":""}],"container-title":"Nature Communications 2016 7:1","id":"ITEM-1","issue":"1","issued":{"date-parts":[["2016","1","19"]]},"page":"1-9","publisher":"Nature Publishing Group","title":"Catch reconstructions reveal that global marine fisheries catches are higher than reported and declining","type":"article-journal","volume":"7"},"uris":["http://www.mendeley.com/documents/?uuid=ff92d7ec-9cdf-34a6-a3da-e266e0bc6748"]},{"id":"ITEM-2","itemData":{"DOI":"10.1038/s41467-022-28916-2","ISSN":"2041-1723","abstract":"Labor abuse on fishing vessels and illegal, unreported and unregulated (IUU) fishing violate human rights, jeopardize food security, and deprive governments of revenues. We applied a multi-method approach, combining new empirical data with satellite information on fishing activities and vessel characteristics to map risks of labor abuse and IUU fishing, understand their relationships, and identify major drivers. Port risks were globally pervasive and often coupled, with 57% of assessed ports associated with labor abuse or IUU fishing. For trips ending in assessed ports, 82% were linked to labor abuse or IUU fishing risks. At-sea risk areas were primarily driven by fishing vessel flags linked to poor control of corruption by the flag state, high ownership by countries other than the flag state, and Chinese-flagged vessels. Transshipment risk&amp;nbsp;areas were related to the gear type of fishing vessels engaged in&amp;nbsp;potential transshipment and carrier vessel flags. Measures at port offer promise for mitigating risks, through the Port State Measures Agreement for IUU fishing, and ensuring sufficient vessel time at port to detect and respond to labor abuse. Our results highlight the need for coordinated action across actors to avoid risk displacement and make progress towards eliminating these socially, environmentally and economically unsustainable practices. Taking action to reduce risks of labor abuse and illegal, unreported, and unregulated (IUU) fishing in the fishing sector is hindered by a lack of spatially explicit data and an understanding of different drivers of risks. Here the authors combine expert assessments with satellite information to map and quantify risks of labor abuse and IUU fishing at port, at sea and associated with transshipment globally.","author":[{"dropping-particle":"","family":"Selig","given":"Elizabeth R.","non-dropping-particle":"","parse-names":false,"suffix":""},{"dropping-particle":"","family":"Nakayama","given":"Shinnosuke","non-dropping-particle":"","parse-names":false,"suffix":""},{"dropping-particle":"","family":"Wabnitz","given":"Colette C. C.","non-dropping-particle":"","parse-names":false,"suffix":""},{"dropping-particle":"","family":"Österblom","given":"Henrik","non-dropping-particle":"","parse-names":false,"suffix":""},{"dropping-particle":"","family":"Spijkers","given":"Jessica","non-dropping-particle":"","parse-names":false,"suffix":""},{"dropping-particle":"","family":"Miller","given":"Nathan A.","non-dropping-particle":"","parse-names":false,"suffix":""},{"dropping-particle":"","family":"Bebbington","given":"Jan","non-dropping-particle":"","parse-names":false,"suffix":""},{"dropping-particle":"","family":"Decker Sparks","given":"Jessica L.","non-dropping-particle":"","parse-names":false,"suffix":""}],"container-title":"Nature Communications 2022 13:1","id":"ITEM-2","issue":"1","issued":{"date-parts":[["2022","4","5"]]},"page":"1-11","publisher":"Nature Publishing Group","title":"Revealing global risks of labor abuse and illegal, unreported, and unregulated fishing","type":"article-journal","volume":"13"},"uris":["http://www.mendeley.com/documents/?uuid=07e821e8-6bd2-3fae-a4b3-c1b5911c52e8"]},{"id":"ITEM-3","itemData":{"DOI":"10.1111/j.1461-0248.2006.00968.x","ISSN":"1461023X","PMID":"16972875","abstract":"Despite growing concerns about overexploitation of sharks, lack of accurate, species-specific harvest data often hampers quantitative stock assessment. In such cases, trade studies can provide insights into exploitation unavailable from traditional monitoring. We applied Bayesian statistical methods to trade data in combination with genetic identification to estimate by species, the annual number of globally traded shark fins, the most commercially valuable product from a group of species often unrecorded in harvest statistics. Our results provide the first fishery-independent estimate of the scale of shark catches worldwide and indicate that shark biomass in the fin trade is three to four times higher than shark catch figures reported in the only global data base. Comparison of our estimates to approximated stock assessment reference points for one of the most commonly traded species, blue shark, suggests that current trade volumes in numbers of sharks are close to or possibly exceeding the maximum sustainable yield levels. © 2006 Blackwell Publishing Ltd/CNRS.","author":[{"dropping-particle":"","family":"Clarke","given":"Shelley C.","non-dropping-particle":"","parse-names":false,"suffix":""},{"dropping-particle":"","family":"McAllister","given":"Murdoch K.","non-dropping-particle":"","parse-names":false,"suffix":""},{"dropping-particle":"","family":"Milner-Gulland","given":"E. J.","non-dropping-particle":"","parse-names":false,"suffix":""},{"dropping-particle":"","family":"Kirkwood","given":"G. P.","non-dropping-particle":"","parse-names":false,"suffix":""},{"dropping-particle":"","family":"Michielsens","given":"Catherine G.J.","non-dropping-particle":"","parse-names":false,"suffix":""},{"dropping-particle":"","family":"Agnew","given":"David J.","non-dropping-particle":"","parse-names":false,"suffix":""},{"dropping-particle":"","family":"Pikitch","given":"Ellen K.","non-dropping-particle":"","parse-names":false,"suffix":""},{"dropping-particle":"","family":"Nakano","given":"Hideki","non-dropping-particle":"","parse-names":false,"suffix":""},{"dropping-particle":"","family":"Shivji","given":"Mahmood S.","non-dropping-particle":"","parse-names":false,"suffix":""}],"container-title":"Ecology Letters","id":"ITEM-3","issue":"10","issued":{"date-parts":[["2006","10"]]},"page":"1115-1126","title":"Global estimates of shark catches using trade records from commercial markets","type":"article-journal","volume":"9"},"uris":["http://www.mendeley.com/documents/?uuid=8f30df8b-677b-388a-a69e-17a088082f0a"]}],"mendeley":{"formattedCitation":"(Clarke et al. 2006; Pauly and Zeller 2016; Selig et al. 2022)","plainTextFormattedCitation":"(Clarke et al. 2006; Pauly and Zeller 2016; Selig et al. 2022)","previouslyFormattedCitation":"(Clarke et al. 2006; Pauly and Zeller 2016; Selig et al. 2022)"},"properties":{"noteIndex":0},"schema":"https://github.com/citation-style-language/schema/raw/master/csl-citation.json"}</w:instrText>
      </w:r>
      <w:r w:rsidRPr="00074250">
        <w:rPr>
          <w:rFonts w:cs="Arial"/>
          <w:sz w:val="22"/>
          <w:szCs w:val="22"/>
          <w:lang w:val="es-ES"/>
        </w:rPr>
        <w:fldChar w:fldCharType="separate"/>
      </w:r>
      <w:r w:rsidRPr="00074250">
        <w:rPr>
          <w:rFonts w:cs="Arial"/>
          <w:sz w:val="22"/>
          <w:szCs w:val="22"/>
          <w:lang w:val="es-ES"/>
        </w:rPr>
        <w:t>(Clarke et al. 2006; Pauly y Zeller 2016; Selig et al. 2022)</w:t>
      </w:r>
      <w:r w:rsidRPr="00074250">
        <w:rPr>
          <w:rFonts w:cs="Arial"/>
          <w:sz w:val="22"/>
          <w:szCs w:val="22"/>
          <w:lang w:val="es-ES"/>
        </w:rPr>
        <w:fldChar w:fldCharType="end"/>
      </w:r>
      <w:r w:rsidRPr="00074250">
        <w:rPr>
          <w:rFonts w:cs="Arial"/>
          <w:sz w:val="22"/>
          <w:szCs w:val="22"/>
          <w:lang w:val="es-ES"/>
        </w:rPr>
        <w:t xml:space="preserve">. Del mismo modo, los problemas estimando los datos totales cuando las naciones no notifican en un año en concreto o al aumentar los datos de la muestra también pueden sesgar las cifras de desembarcos </w:t>
      </w:r>
      <w:r w:rsidRPr="00074250">
        <w:rPr>
          <w:rFonts w:cs="Arial"/>
          <w:sz w:val="22"/>
          <w:szCs w:val="22"/>
          <w:lang w:val="es-ES"/>
        </w:rPr>
        <w:fldChar w:fldCharType="begin" w:fldLock="1"/>
      </w:r>
      <w:r w:rsidRPr="00074250">
        <w:rPr>
          <w:rFonts w:cs="Arial"/>
          <w:sz w:val="22"/>
          <w:szCs w:val="22"/>
          <w:lang w:val="es-ES"/>
        </w:rPr>
        <w:instrText>ADDIN CSL_CITATION {"citationItems":[{"id":"ITEM-1","itemData":{"DOI":"10.1016/j.marpol.2011.10.024","ISSN":"0308597X","abstract":"With data series extending for 60 years, including catch data for almost 1850 species items, and reflecting geo-political, historical and natural events, the FAO capture database provides a service to the community interested in fishery information. Over 600 articles from refereed journals cited the database in the last 15 years. Species included grew significantly in the last decade and an analysis of annual reporting showed more timely data submissions, although the number of non-reporting countries remained stable throughout the years. An evaluation of data quality found over half developing countries reporting inadequately but also one-fourth of reports by developed countries were not satisfactory. This article also provides meta information on historical developments, data sources and coverage, and advice on what should be kept in mind when using the database for trend studies. © 2011 Elsevier Ltd.","author":[{"dropping-particle":"","family":"Garibaldi","given":"Luca","non-dropping-particle":"","parse-names":false,"suffix":""}],"container-title":"Marine Policy","id":"ITEM-1","issue":"3","issued":{"date-parts":[["2012","5","1"]]},"page":"760-768","publisher":"Pergamon","title":"The FAO global capture production database: A six-decade effort to catch the trend","type":"article-journal","volume":"36"},"uris":["http://www.mendeley.com/documents/?uuid=8b79dbd6-4f5d-3add-b211-0c19da7c970e"]}],"mendeley":{"formattedCitation":"(Garibaldi 2012)","plainTextFormattedCitation":"(Garibaldi 2012)","previouslyFormattedCitation":"(Garibaldi 2012)"},"properties":{"noteIndex":0},"schema":"https://github.com/citation-style-language/schema/raw/master/csl-citation.json"}</w:instrText>
      </w:r>
      <w:r w:rsidRPr="00074250">
        <w:rPr>
          <w:rFonts w:cs="Arial"/>
          <w:sz w:val="22"/>
          <w:szCs w:val="22"/>
          <w:lang w:val="es-ES"/>
        </w:rPr>
        <w:fldChar w:fldCharType="separate"/>
      </w:r>
      <w:r w:rsidRPr="00074250">
        <w:rPr>
          <w:rFonts w:cs="Arial"/>
          <w:sz w:val="22"/>
          <w:szCs w:val="22"/>
          <w:lang w:val="es-ES"/>
        </w:rPr>
        <w:t>(Garibaldi 2012)</w:t>
      </w:r>
      <w:r w:rsidRPr="00074250">
        <w:rPr>
          <w:rFonts w:cs="Arial"/>
          <w:sz w:val="22"/>
          <w:szCs w:val="22"/>
          <w:lang w:val="es-ES"/>
        </w:rPr>
        <w:fldChar w:fldCharType="end"/>
      </w:r>
      <w:r w:rsidRPr="00074250">
        <w:rPr>
          <w:rFonts w:cs="Arial"/>
          <w:sz w:val="22"/>
          <w:szCs w:val="22"/>
          <w:lang w:val="es-ES"/>
        </w:rPr>
        <w:t xml:space="preserve">. </w:t>
      </w:r>
    </w:p>
    <w:p w14:paraId="79B18734" w14:textId="77777777" w:rsidR="009454AA" w:rsidRPr="00074250" w:rsidRDefault="009454AA" w:rsidP="009454AA">
      <w:pPr>
        <w:contextualSpacing/>
        <w:jc w:val="both"/>
        <w:rPr>
          <w:rFonts w:cs="Arial"/>
          <w:sz w:val="22"/>
          <w:szCs w:val="22"/>
          <w:lang w:val="es-ES"/>
        </w:rPr>
      </w:pPr>
    </w:p>
    <w:p w14:paraId="2A9CD56C" w14:textId="13EEF1A0" w:rsidR="009454AA" w:rsidRPr="00074250" w:rsidRDefault="009454AA" w:rsidP="009454AA">
      <w:pPr>
        <w:widowControl/>
        <w:pBdr>
          <w:top w:val="nil"/>
          <w:left w:val="nil"/>
          <w:bottom w:val="nil"/>
          <w:right w:val="nil"/>
          <w:between w:val="nil"/>
          <w:bar w:val="nil"/>
        </w:pBdr>
        <w:autoSpaceDE/>
        <w:autoSpaceDN/>
        <w:adjustRightInd/>
        <w:jc w:val="both"/>
        <w:rPr>
          <w:rFonts w:cs="Arial"/>
          <w:b/>
          <w:bCs/>
          <w:sz w:val="22"/>
          <w:szCs w:val="22"/>
          <w:lang w:val="es-ES"/>
        </w:rPr>
      </w:pPr>
      <w:bookmarkStart w:id="19" w:name="Section6c"/>
      <w:r w:rsidRPr="00074250">
        <w:rPr>
          <w:rFonts w:cs="Arial"/>
          <w:b/>
          <w:bCs/>
          <w:sz w:val="22"/>
          <w:szCs w:val="22"/>
          <w:lang w:val="es-ES"/>
        </w:rPr>
        <w:t>6.</w:t>
      </w:r>
      <w:r w:rsidR="00FA667F">
        <w:rPr>
          <w:rFonts w:cs="Arial"/>
          <w:b/>
          <w:bCs/>
          <w:sz w:val="22"/>
          <w:szCs w:val="22"/>
          <w:lang w:val="es-ES"/>
        </w:rPr>
        <w:t>3</w:t>
      </w:r>
      <w:r w:rsidRPr="00074250">
        <w:rPr>
          <w:rFonts w:cs="Arial"/>
          <w:b/>
          <w:bCs/>
          <w:sz w:val="22"/>
          <w:szCs w:val="22"/>
          <w:lang w:val="es-ES"/>
        </w:rPr>
        <w:tab/>
        <w:t>Observaciones y recomendaciones específicas</w:t>
      </w:r>
    </w:p>
    <w:p w14:paraId="1115F850" w14:textId="77777777" w:rsidR="009454AA" w:rsidRPr="00074250" w:rsidRDefault="009454AA" w:rsidP="009454AA">
      <w:pPr>
        <w:widowControl/>
        <w:pBdr>
          <w:top w:val="nil"/>
          <w:left w:val="nil"/>
          <w:bottom w:val="nil"/>
          <w:right w:val="nil"/>
          <w:between w:val="nil"/>
          <w:bar w:val="nil"/>
        </w:pBdr>
        <w:autoSpaceDE/>
        <w:autoSpaceDN/>
        <w:adjustRightInd/>
        <w:jc w:val="both"/>
        <w:rPr>
          <w:rFonts w:cs="Arial"/>
          <w:b/>
          <w:bCs/>
          <w:sz w:val="22"/>
          <w:szCs w:val="22"/>
          <w:lang w:val="es-ES"/>
        </w:rPr>
      </w:pPr>
    </w:p>
    <w:p w14:paraId="5DB449B4" w14:textId="0323C2D6" w:rsidR="009454AA" w:rsidRPr="00074250"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bookmarkStart w:id="20" w:name="_Hlk122367436"/>
      <w:bookmarkEnd w:id="19"/>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La efectividad y la precisión de los datos notificados tiene un impacto crítico en los resultados y las conclusiones derivados de los análisis de los datos de los desembarcos (ya sea la FAO u otras fuentes de datos cotejados sobre desembarcos). Todos los Signatarios deberían tener como objetivo notificar los desembarcos de especies enumeradas en el Anexo 1 del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MdE</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de tiburones del modo más preciso y consistente posible. Recomendaciones para mejorar la</w:t>
      </w:r>
      <w:r w:rsidR="002B5D42"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s</w:t>
      </w: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notificaciones de datos de las especies enumeradas en el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MdE</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sobre tiburones a la FAO (y otros organismos pertinentes):</w:t>
      </w:r>
    </w:p>
    <w:p w14:paraId="044DCEEB" w14:textId="77777777" w:rsidR="009454AA" w:rsidRPr="00074250"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p>
    <w:p w14:paraId="687C6471" w14:textId="77777777" w:rsidR="009454AA" w:rsidRPr="00074250" w:rsidRDefault="009454AA" w:rsidP="002C7D6A">
      <w:pPr>
        <w:widowControl/>
        <w:numPr>
          <w:ilvl w:val="2"/>
          <w:numId w:val="21"/>
        </w:numPr>
        <w:pBdr>
          <w:top w:val="nil"/>
          <w:left w:val="nil"/>
          <w:bottom w:val="nil"/>
          <w:right w:val="nil"/>
          <w:between w:val="nil"/>
          <w:bar w:val="nil"/>
        </w:pBdr>
        <w:autoSpaceDE/>
        <w:autoSpaceDN/>
        <w:adjustRightInd/>
        <w:spacing w:after="80"/>
        <w:jc w:val="both"/>
        <w:rPr>
          <w:rFonts w:cs="Arial"/>
          <w:sz w:val="22"/>
          <w:szCs w:val="22"/>
          <w:lang w:val="es-ES"/>
        </w:rPr>
      </w:pPr>
      <w:r w:rsidRPr="00074250">
        <w:rPr>
          <w:rFonts w:cs="Arial"/>
          <w:sz w:val="22"/>
          <w:szCs w:val="22"/>
          <w:lang w:val="es-ES"/>
        </w:rPr>
        <w:t>se insta encarecidamente a los Signatarios que no notifican los datos a la FAO que lo hagan, y que informen a los organismos pertinentes si hay cualquier cuestión específica que limite o impida este tipo de información.</w:t>
      </w:r>
    </w:p>
    <w:p w14:paraId="07262C07" w14:textId="77777777" w:rsidR="009454AA" w:rsidRPr="00074250" w:rsidRDefault="009454AA" w:rsidP="002C7D6A">
      <w:pPr>
        <w:widowControl/>
        <w:numPr>
          <w:ilvl w:val="2"/>
          <w:numId w:val="21"/>
        </w:numPr>
        <w:pBdr>
          <w:top w:val="nil"/>
          <w:left w:val="nil"/>
          <w:bottom w:val="nil"/>
          <w:right w:val="nil"/>
          <w:between w:val="nil"/>
          <w:bar w:val="nil"/>
        </w:pBdr>
        <w:autoSpaceDE/>
        <w:autoSpaceDN/>
        <w:adjustRightInd/>
        <w:spacing w:after="80"/>
        <w:jc w:val="both"/>
        <w:rPr>
          <w:rFonts w:cs="Arial"/>
          <w:sz w:val="22"/>
          <w:szCs w:val="22"/>
          <w:lang w:val="es-ES"/>
        </w:rPr>
      </w:pPr>
      <w:r w:rsidRPr="00074250">
        <w:rPr>
          <w:rFonts w:cs="Arial"/>
          <w:sz w:val="22"/>
          <w:szCs w:val="22"/>
          <w:lang w:val="es-ES"/>
        </w:rPr>
        <w:t xml:space="preserve">Los Signatarios deberían notificar los desembarcos de todas las especies enumeradas en el </w:t>
      </w:r>
      <w:proofErr w:type="spellStart"/>
      <w:r w:rsidRPr="00074250">
        <w:rPr>
          <w:rFonts w:cs="Arial"/>
          <w:sz w:val="22"/>
          <w:szCs w:val="22"/>
          <w:lang w:val="es-ES"/>
        </w:rPr>
        <w:t>MdE</w:t>
      </w:r>
      <w:proofErr w:type="spellEnd"/>
      <w:r w:rsidRPr="00074250">
        <w:rPr>
          <w:rFonts w:cs="Arial"/>
          <w:sz w:val="22"/>
          <w:szCs w:val="22"/>
          <w:lang w:val="es-ES"/>
        </w:rPr>
        <w:t xml:space="preserve"> sobre tiburones. Los sistemas de notificación nacionales deberían evaluarse y fortalecerse para facilitar el registro de desembarcos, especialmente en relación con las pesquerías que operan en zonas remotas y las pesquerías artesanales de subsistencia y recreativas.</w:t>
      </w:r>
    </w:p>
    <w:p w14:paraId="5E73CE60" w14:textId="77777777" w:rsidR="009454AA" w:rsidRPr="00074250" w:rsidRDefault="009454AA" w:rsidP="002C7D6A">
      <w:pPr>
        <w:widowControl/>
        <w:numPr>
          <w:ilvl w:val="2"/>
          <w:numId w:val="21"/>
        </w:numPr>
        <w:pBdr>
          <w:top w:val="nil"/>
          <w:left w:val="nil"/>
          <w:bottom w:val="nil"/>
          <w:right w:val="nil"/>
          <w:between w:val="nil"/>
          <w:bar w:val="nil"/>
        </w:pBdr>
        <w:autoSpaceDE/>
        <w:autoSpaceDN/>
        <w:adjustRightInd/>
        <w:spacing w:after="80"/>
        <w:jc w:val="both"/>
        <w:rPr>
          <w:rFonts w:cs="Arial"/>
          <w:sz w:val="22"/>
          <w:szCs w:val="22"/>
          <w:lang w:val="es-ES"/>
        </w:rPr>
      </w:pPr>
      <w:bookmarkStart w:id="21" w:name="_Hlk118024782"/>
      <w:r w:rsidRPr="00074250">
        <w:rPr>
          <w:rFonts w:cs="Arial"/>
          <w:sz w:val="22"/>
          <w:szCs w:val="22"/>
          <w:lang w:val="es-ES"/>
        </w:rPr>
        <w:t xml:space="preserve">En concreto dada la ausencia total de desembarcos específicos de especie notificados de 17 de cada 35 especies de tiburones enumeradas en el </w:t>
      </w:r>
      <w:proofErr w:type="spellStart"/>
      <w:r w:rsidRPr="00074250">
        <w:rPr>
          <w:rFonts w:cs="Arial"/>
          <w:sz w:val="22"/>
          <w:szCs w:val="22"/>
          <w:lang w:val="es-ES"/>
        </w:rPr>
        <w:t>MdE</w:t>
      </w:r>
      <w:proofErr w:type="spellEnd"/>
      <w:r w:rsidRPr="00074250">
        <w:rPr>
          <w:rFonts w:cs="Arial"/>
          <w:sz w:val="22"/>
          <w:szCs w:val="22"/>
          <w:lang w:val="es-ES"/>
        </w:rPr>
        <w:t xml:space="preserve"> de tiburones a nivel mundial, incluyendo algunos de los que se sospecha que se desembarcan ocasionalmente, los Signatarios deben garantizar una notificación adecuada de los datos de desembarcos de todas las especies enumeradas a nivel de especie (o de género cuando sea adecuado). </w:t>
      </w:r>
      <w:bookmarkEnd w:id="21"/>
    </w:p>
    <w:p w14:paraId="1BC11DCE" w14:textId="77777777" w:rsidR="009454AA" w:rsidRPr="00074250" w:rsidRDefault="009454AA" w:rsidP="002C7D6A">
      <w:pPr>
        <w:widowControl/>
        <w:numPr>
          <w:ilvl w:val="2"/>
          <w:numId w:val="21"/>
        </w:numPr>
        <w:pBdr>
          <w:top w:val="nil"/>
          <w:left w:val="nil"/>
          <w:bottom w:val="nil"/>
          <w:right w:val="nil"/>
          <w:between w:val="nil"/>
          <w:bar w:val="nil"/>
        </w:pBdr>
        <w:autoSpaceDE/>
        <w:autoSpaceDN/>
        <w:adjustRightInd/>
        <w:spacing w:after="80"/>
        <w:jc w:val="both"/>
        <w:rPr>
          <w:rFonts w:cs="Arial"/>
          <w:sz w:val="22"/>
          <w:szCs w:val="22"/>
          <w:lang w:val="es-ES"/>
        </w:rPr>
      </w:pPr>
      <w:r w:rsidRPr="00074250">
        <w:rPr>
          <w:rFonts w:cs="Arial"/>
          <w:sz w:val="22"/>
          <w:szCs w:val="22"/>
          <w:lang w:val="es-ES"/>
        </w:rPr>
        <w:t xml:space="preserve">Actualmente no hay códigos ASFIS para </w:t>
      </w:r>
      <w:proofErr w:type="spellStart"/>
      <w:r w:rsidRPr="00074250">
        <w:rPr>
          <w:rFonts w:cs="Arial"/>
          <w:sz w:val="22"/>
          <w:szCs w:val="22"/>
          <w:lang w:val="es-ES"/>
        </w:rPr>
        <w:t>Rhynchobatus</w:t>
      </w:r>
      <w:proofErr w:type="spellEnd"/>
      <w:r w:rsidRPr="00074250">
        <w:rPr>
          <w:rFonts w:cs="Arial"/>
          <w:sz w:val="22"/>
          <w:szCs w:val="22"/>
          <w:lang w:val="es-ES"/>
        </w:rPr>
        <w:t xml:space="preserve"> </w:t>
      </w:r>
      <w:proofErr w:type="spellStart"/>
      <w:r w:rsidRPr="00074250">
        <w:rPr>
          <w:rFonts w:cs="Arial"/>
          <w:sz w:val="22"/>
          <w:szCs w:val="22"/>
          <w:lang w:val="es-ES"/>
        </w:rPr>
        <w:t>laevis</w:t>
      </w:r>
      <w:proofErr w:type="spellEnd"/>
      <w:r w:rsidRPr="00074250">
        <w:rPr>
          <w:rFonts w:cs="Arial"/>
          <w:sz w:val="22"/>
          <w:szCs w:val="22"/>
          <w:lang w:val="es-ES"/>
        </w:rPr>
        <w:t xml:space="preserve">. En ausencia de estos códigos, las naciones deben informar al nivel taxonómico más apropiado. La FAO podría considerar las ventajas de introducir los códigos ASFIS para todas las especies de tiburones y rayas enumeradas en la CMS y el </w:t>
      </w:r>
      <w:proofErr w:type="spellStart"/>
      <w:r w:rsidRPr="00074250">
        <w:rPr>
          <w:rFonts w:cs="Arial"/>
          <w:sz w:val="22"/>
          <w:szCs w:val="22"/>
          <w:lang w:val="es-ES"/>
        </w:rPr>
        <w:t>MdE</w:t>
      </w:r>
      <w:proofErr w:type="spellEnd"/>
      <w:r w:rsidRPr="00074250">
        <w:rPr>
          <w:rFonts w:cs="Arial"/>
          <w:sz w:val="22"/>
          <w:szCs w:val="22"/>
          <w:lang w:val="es-ES"/>
        </w:rPr>
        <w:t xml:space="preserve"> sobre tiburones. </w:t>
      </w:r>
    </w:p>
    <w:p w14:paraId="5AA13503" w14:textId="77777777" w:rsidR="009454AA" w:rsidRPr="00074250" w:rsidRDefault="009454AA" w:rsidP="002C7D6A">
      <w:pPr>
        <w:widowControl/>
        <w:numPr>
          <w:ilvl w:val="2"/>
          <w:numId w:val="21"/>
        </w:numPr>
        <w:pBdr>
          <w:top w:val="nil"/>
          <w:left w:val="nil"/>
          <w:bottom w:val="nil"/>
          <w:right w:val="nil"/>
          <w:between w:val="nil"/>
          <w:bar w:val="nil"/>
        </w:pBdr>
        <w:autoSpaceDE/>
        <w:autoSpaceDN/>
        <w:adjustRightInd/>
        <w:spacing w:after="80"/>
        <w:jc w:val="both"/>
        <w:rPr>
          <w:rFonts w:cs="Arial"/>
          <w:sz w:val="22"/>
          <w:szCs w:val="22"/>
          <w:lang w:val="es-ES"/>
        </w:rPr>
      </w:pPr>
      <w:r w:rsidRPr="00074250">
        <w:rPr>
          <w:rFonts w:cs="Arial"/>
          <w:sz w:val="22"/>
          <w:szCs w:val="22"/>
          <w:lang w:val="es-ES"/>
        </w:rPr>
        <w:lastRenderedPageBreak/>
        <w:t>Actualmente hay algunas categorías de ASFIS que pueden perpetuar errores taxonómicos en los datos de las notificaciones de desembarcos (</w:t>
      </w:r>
      <w:proofErr w:type="spellStart"/>
      <w:r w:rsidRPr="00074250">
        <w:rPr>
          <w:rFonts w:cs="Arial"/>
          <w:i/>
          <w:iCs/>
          <w:sz w:val="22"/>
          <w:szCs w:val="22"/>
          <w:lang w:val="es-ES"/>
        </w:rPr>
        <w:t>Mobula</w:t>
      </w:r>
      <w:proofErr w:type="spellEnd"/>
      <w:r w:rsidRPr="00074250">
        <w:rPr>
          <w:rFonts w:cs="Arial"/>
          <w:i/>
          <w:iCs/>
          <w:sz w:val="22"/>
          <w:szCs w:val="22"/>
          <w:lang w:val="es-ES"/>
        </w:rPr>
        <w:t xml:space="preserve"> </w:t>
      </w:r>
      <w:proofErr w:type="spellStart"/>
      <w:r w:rsidRPr="00074250">
        <w:rPr>
          <w:rFonts w:cs="Arial"/>
          <w:i/>
          <w:iCs/>
          <w:sz w:val="22"/>
          <w:szCs w:val="22"/>
          <w:lang w:val="es-ES"/>
        </w:rPr>
        <w:t>japanica</w:t>
      </w:r>
      <w:proofErr w:type="spellEnd"/>
      <w:r w:rsidRPr="00074250">
        <w:rPr>
          <w:rFonts w:cs="Arial"/>
          <w:i/>
          <w:iCs/>
          <w:sz w:val="22"/>
          <w:szCs w:val="22"/>
          <w:lang w:val="es-ES"/>
        </w:rPr>
        <w:t xml:space="preserve">, M. </w:t>
      </w:r>
      <w:proofErr w:type="spellStart"/>
      <w:r w:rsidRPr="00074250">
        <w:rPr>
          <w:rFonts w:cs="Arial"/>
          <w:i/>
          <w:iCs/>
          <w:sz w:val="22"/>
          <w:szCs w:val="22"/>
          <w:lang w:val="es-ES"/>
        </w:rPr>
        <w:t>rochebrunei</w:t>
      </w:r>
      <w:proofErr w:type="spellEnd"/>
      <w:r w:rsidRPr="00074250">
        <w:rPr>
          <w:rFonts w:cs="Arial"/>
          <w:i/>
          <w:iCs/>
          <w:sz w:val="22"/>
          <w:szCs w:val="22"/>
          <w:lang w:val="es-ES"/>
        </w:rPr>
        <w:t xml:space="preserve">, M. </w:t>
      </w:r>
      <w:proofErr w:type="spellStart"/>
      <w:r w:rsidRPr="00074250">
        <w:rPr>
          <w:rFonts w:cs="Arial"/>
          <w:i/>
          <w:iCs/>
          <w:sz w:val="22"/>
          <w:szCs w:val="22"/>
          <w:lang w:val="es-ES"/>
        </w:rPr>
        <w:t>eregoodootenkee</w:t>
      </w:r>
      <w:proofErr w:type="spellEnd"/>
      <w:r w:rsidRPr="00074250">
        <w:rPr>
          <w:rFonts w:cs="Arial"/>
          <w:i/>
          <w:iCs/>
          <w:sz w:val="22"/>
          <w:szCs w:val="22"/>
          <w:lang w:val="es-ES"/>
        </w:rPr>
        <w:t xml:space="preserve"> </w:t>
      </w:r>
      <w:r w:rsidRPr="00074250">
        <w:rPr>
          <w:rFonts w:cs="Arial"/>
          <w:sz w:val="22"/>
          <w:szCs w:val="22"/>
          <w:lang w:val="es-ES"/>
        </w:rPr>
        <w:t>y</w:t>
      </w:r>
      <w:r w:rsidRPr="00074250">
        <w:rPr>
          <w:rFonts w:cs="Arial"/>
          <w:i/>
          <w:iCs/>
          <w:sz w:val="22"/>
          <w:szCs w:val="22"/>
          <w:lang w:val="es-ES"/>
        </w:rPr>
        <w:t xml:space="preserve"> </w:t>
      </w:r>
      <w:proofErr w:type="spellStart"/>
      <w:r w:rsidRPr="00074250">
        <w:rPr>
          <w:rFonts w:cs="Arial"/>
          <w:i/>
          <w:iCs/>
          <w:sz w:val="22"/>
          <w:szCs w:val="22"/>
          <w:lang w:val="es-ES"/>
        </w:rPr>
        <w:t>Pristis</w:t>
      </w:r>
      <w:proofErr w:type="spellEnd"/>
      <w:r w:rsidRPr="00074250">
        <w:rPr>
          <w:rFonts w:cs="Arial"/>
          <w:i/>
          <w:iCs/>
          <w:sz w:val="22"/>
          <w:szCs w:val="22"/>
          <w:lang w:val="es-ES"/>
        </w:rPr>
        <w:t xml:space="preserve"> </w:t>
      </w:r>
      <w:proofErr w:type="spellStart"/>
      <w:r w:rsidRPr="00074250">
        <w:rPr>
          <w:rFonts w:cs="Arial"/>
          <w:i/>
          <w:iCs/>
          <w:sz w:val="22"/>
          <w:szCs w:val="22"/>
          <w:lang w:val="es-ES"/>
        </w:rPr>
        <w:t>microdon</w:t>
      </w:r>
      <w:proofErr w:type="spellEnd"/>
      <w:r w:rsidRPr="00074250">
        <w:rPr>
          <w:rFonts w:cs="Arial"/>
          <w:sz w:val="22"/>
          <w:szCs w:val="22"/>
          <w:lang w:val="es-ES"/>
        </w:rPr>
        <w:t xml:space="preserve">). La FAO podría estudiar cómo gestionar estas categorías de notificación y, cuando sea apropiado, actualizar previamente los desembarcos notificados a la taxonomía más actualizada. Los Signatarios no deben notificar sus desembarcos utilizando categorías de especies obsoletas (pero teniendo en cuenta que ha habido casos en que algunos cambios taxonómicos recientes se han revertido). </w:t>
      </w:r>
    </w:p>
    <w:p w14:paraId="757B915F" w14:textId="77777777" w:rsidR="009454AA" w:rsidRPr="00074250" w:rsidRDefault="009454AA" w:rsidP="002C7D6A">
      <w:pPr>
        <w:widowControl/>
        <w:numPr>
          <w:ilvl w:val="2"/>
          <w:numId w:val="22"/>
        </w:numPr>
        <w:pBdr>
          <w:top w:val="nil"/>
          <w:left w:val="nil"/>
          <w:bottom w:val="nil"/>
          <w:right w:val="nil"/>
          <w:between w:val="nil"/>
          <w:bar w:val="nil"/>
        </w:pBdr>
        <w:autoSpaceDE/>
        <w:autoSpaceDN/>
        <w:adjustRightInd/>
        <w:spacing w:after="80"/>
        <w:jc w:val="both"/>
        <w:rPr>
          <w:rFonts w:cs="Arial"/>
          <w:sz w:val="22"/>
          <w:szCs w:val="22"/>
          <w:lang w:val="es-ES"/>
        </w:rPr>
      </w:pPr>
      <w:r w:rsidRPr="00074250">
        <w:rPr>
          <w:rFonts w:cs="Arial"/>
          <w:sz w:val="22"/>
          <w:szCs w:val="22"/>
          <w:lang w:val="es-ES"/>
        </w:rPr>
        <w:t xml:space="preserve">Se insta a los Signatarios a responder a tiempo a las consultas de la FAO </w:t>
      </w:r>
      <w:proofErr w:type="gramStart"/>
      <w:r w:rsidRPr="00074250">
        <w:rPr>
          <w:rFonts w:cs="Arial"/>
          <w:sz w:val="22"/>
          <w:szCs w:val="22"/>
          <w:lang w:val="es-ES"/>
        </w:rPr>
        <w:t>en relación a</w:t>
      </w:r>
      <w:proofErr w:type="gramEnd"/>
      <w:r w:rsidRPr="00074250">
        <w:rPr>
          <w:rFonts w:cs="Arial"/>
          <w:sz w:val="22"/>
          <w:szCs w:val="22"/>
          <w:lang w:val="es-ES"/>
        </w:rPr>
        <w:t xml:space="preserve"> los datos comunicados para facilitar la corrección y la aclaración de datos dudosos.</w:t>
      </w:r>
    </w:p>
    <w:p w14:paraId="2084EF30" w14:textId="77777777" w:rsidR="009454AA" w:rsidRPr="00074250" w:rsidRDefault="009454AA" w:rsidP="002C7D6A">
      <w:pPr>
        <w:widowControl/>
        <w:numPr>
          <w:ilvl w:val="2"/>
          <w:numId w:val="22"/>
        </w:numPr>
        <w:pBdr>
          <w:top w:val="nil"/>
          <w:left w:val="nil"/>
          <w:bottom w:val="nil"/>
          <w:right w:val="nil"/>
          <w:between w:val="nil"/>
          <w:bar w:val="nil"/>
        </w:pBdr>
        <w:autoSpaceDE/>
        <w:autoSpaceDN/>
        <w:adjustRightInd/>
        <w:spacing w:after="80"/>
        <w:jc w:val="both"/>
        <w:rPr>
          <w:rFonts w:cs="Arial"/>
          <w:sz w:val="22"/>
          <w:szCs w:val="22"/>
          <w:lang w:val="es-ES"/>
        </w:rPr>
      </w:pPr>
      <w:r w:rsidRPr="00074250">
        <w:rPr>
          <w:rFonts w:cs="Arial"/>
          <w:sz w:val="22"/>
          <w:szCs w:val="22"/>
          <w:lang w:val="es-ES"/>
        </w:rPr>
        <w:t>Se insta a los Signatarios a revisar y llevar a cabo un control de calidad más detallado de sus desembarcos nacionales antes del envío de los datos a la FAO o a cualquier otro organismo de pesca.</w:t>
      </w:r>
    </w:p>
    <w:p w14:paraId="26D8B9B7" w14:textId="77777777" w:rsidR="009454AA" w:rsidRPr="00074250" w:rsidRDefault="009454AA" w:rsidP="002C7D6A">
      <w:pPr>
        <w:widowControl/>
        <w:numPr>
          <w:ilvl w:val="2"/>
          <w:numId w:val="22"/>
        </w:numPr>
        <w:pBdr>
          <w:top w:val="nil"/>
          <w:left w:val="nil"/>
          <w:bottom w:val="nil"/>
          <w:right w:val="nil"/>
          <w:between w:val="nil"/>
          <w:bar w:val="nil"/>
        </w:pBdr>
        <w:autoSpaceDE/>
        <w:autoSpaceDN/>
        <w:adjustRightInd/>
        <w:jc w:val="both"/>
        <w:rPr>
          <w:rFonts w:cs="Arial"/>
          <w:sz w:val="22"/>
          <w:szCs w:val="22"/>
          <w:lang w:val="es-ES"/>
        </w:rPr>
      </w:pPr>
      <w:r w:rsidRPr="00074250">
        <w:rPr>
          <w:rFonts w:cs="Arial"/>
          <w:sz w:val="22"/>
          <w:szCs w:val="22"/>
          <w:lang w:val="es-ES"/>
        </w:rPr>
        <w:t xml:space="preserve">Se debe instar a los Estados del Área de Distribución no signatarios a empezar a notificar los datos a la FAO para las especies pertinentes enumeradas en el Anexo 1 del </w:t>
      </w:r>
      <w:proofErr w:type="spellStart"/>
      <w:r w:rsidRPr="00074250">
        <w:rPr>
          <w:rFonts w:cs="Arial"/>
          <w:sz w:val="22"/>
          <w:szCs w:val="22"/>
          <w:lang w:val="es-ES"/>
        </w:rPr>
        <w:t>MdE</w:t>
      </w:r>
      <w:proofErr w:type="spellEnd"/>
      <w:r w:rsidRPr="00074250">
        <w:rPr>
          <w:rFonts w:cs="Arial"/>
          <w:sz w:val="22"/>
          <w:szCs w:val="22"/>
          <w:lang w:val="es-ES"/>
        </w:rPr>
        <w:t xml:space="preserve"> sobre tiburones a un nivel taxonómico apropiado.</w:t>
      </w:r>
    </w:p>
    <w:bookmarkEnd w:id="20"/>
    <w:p w14:paraId="63595A93" w14:textId="77777777" w:rsidR="009454AA" w:rsidRPr="00074250" w:rsidRDefault="009454AA" w:rsidP="009454AA">
      <w:pPr>
        <w:widowControl/>
        <w:pBdr>
          <w:top w:val="nil"/>
          <w:left w:val="nil"/>
          <w:bottom w:val="nil"/>
          <w:right w:val="nil"/>
          <w:between w:val="nil"/>
          <w:bar w:val="nil"/>
        </w:pBdr>
        <w:autoSpaceDE/>
        <w:autoSpaceDN/>
        <w:adjustRightInd/>
        <w:ind w:left="426"/>
        <w:jc w:val="both"/>
        <w:rPr>
          <w:rFonts w:cs="Arial"/>
          <w:sz w:val="22"/>
          <w:szCs w:val="22"/>
          <w:lang w:val="es-ES"/>
        </w:rPr>
      </w:pPr>
    </w:p>
    <w:p w14:paraId="75F4A2F9" w14:textId="3807C2F2" w:rsidR="009454AA" w:rsidRPr="00074250" w:rsidRDefault="009454AA" w:rsidP="002C7D6A">
      <w:pPr>
        <w:widowControl/>
        <w:numPr>
          <w:ilvl w:val="0"/>
          <w:numId w:val="23"/>
        </w:numPr>
        <w:pBdr>
          <w:top w:val="nil"/>
          <w:left w:val="nil"/>
          <w:bottom w:val="nil"/>
          <w:right w:val="nil"/>
          <w:between w:val="nil"/>
          <w:bar w:val="nil"/>
        </w:pBdr>
        <w:autoSpaceDE/>
        <w:autoSpaceDN/>
        <w:adjustRightInd/>
        <w:jc w:val="both"/>
        <w:outlineLvl w:val="1"/>
        <w:rPr>
          <w:rFonts w:cs="Arial"/>
          <w:b/>
          <w:bCs/>
          <w:sz w:val="22"/>
          <w:szCs w:val="22"/>
          <w:u w:val="single"/>
          <w:lang w:val="es-ES"/>
        </w:rPr>
      </w:pPr>
      <w:r w:rsidRPr="00074250">
        <w:rPr>
          <w:rFonts w:cs="Arial"/>
          <w:b/>
          <w:bCs/>
          <w:sz w:val="22"/>
          <w:szCs w:val="22"/>
          <w:u w:val="single"/>
          <w:lang w:val="es-ES"/>
        </w:rPr>
        <w:t>Observaciones finales</w:t>
      </w:r>
    </w:p>
    <w:p w14:paraId="1CCE92E3" w14:textId="77777777" w:rsidR="009454AA" w:rsidRPr="00074250" w:rsidRDefault="009454AA" w:rsidP="00FA667F">
      <w:pPr>
        <w:widowControl/>
        <w:pBdr>
          <w:top w:val="nil"/>
          <w:left w:val="nil"/>
          <w:bottom w:val="nil"/>
          <w:right w:val="nil"/>
          <w:between w:val="nil"/>
          <w:bar w:val="nil"/>
        </w:pBdr>
        <w:autoSpaceDE/>
        <w:autoSpaceDN/>
        <w:adjustRightInd/>
        <w:ind w:left="360"/>
        <w:jc w:val="both"/>
        <w:outlineLvl w:val="1"/>
        <w:rPr>
          <w:rFonts w:cs="Arial"/>
          <w:b/>
          <w:bCs/>
          <w:sz w:val="22"/>
          <w:szCs w:val="22"/>
          <w:u w:val="single"/>
          <w:lang w:val="es-ES"/>
        </w:rPr>
      </w:pPr>
    </w:p>
    <w:p w14:paraId="451D2809" w14:textId="3BE5C131" w:rsidR="009454AA" w:rsidRPr="00074250"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El tipo de análisis realizado en este estudio proporciona información valiosa para informar a futuros programas de trabajo y actividades de conservación de los Signatarios del </w:t>
      </w:r>
      <w:proofErr w:type="spell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MdE</w:t>
      </w:r>
      <w:proofErr w:type="spell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sobre tiburones. Nuevas medidas que impliquen un análisis en profundidad de los desembarcos de la FAO a través de los años en relación con la normativa existente de los Signatarios sería una herramienta muy poderosa para determinar la efectividad de las medidas de conservación y determinar nuevos esfuerzos.</w:t>
      </w:r>
    </w:p>
    <w:p w14:paraId="78314D83" w14:textId="77777777" w:rsidR="009454AA" w:rsidRPr="00074250"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p>
    <w:p w14:paraId="0A95CB99" w14:textId="16779D31" w:rsidR="009454AA" w:rsidRPr="00074250"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Todavía en muchas partes del mundo, las estadísticas nacionales de desembarcos de tiburones y rayas pueden estar incompletas o no disponibles, especialmente si la supervisión de desembarcos en zonas remotas y/o pesquerías artesanales o de subsistencia son limitados. También hay posibilitad de mortalidad o retención de especies de tiburones y rayas enumeradas en pesquerías recreativas. Las naciones deberían considerar cómo desarrollar programas efectivos para recoger los datos de estos desembarcos (capturas).</w:t>
      </w:r>
    </w:p>
    <w:p w14:paraId="05D62B5C" w14:textId="77777777" w:rsidR="009454AA" w:rsidRPr="00074250"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p>
    <w:p w14:paraId="2FB05665" w14:textId="77777777" w:rsidR="009454AA" w:rsidRPr="00074250" w:rsidRDefault="009454AA" w:rsidP="009454AA">
      <w:pPr>
        <w:widowControl/>
        <w:pBdr>
          <w:top w:val="nil"/>
          <w:left w:val="nil"/>
          <w:bottom w:val="nil"/>
          <w:right w:val="nil"/>
          <w:between w:val="nil"/>
          <w:bar w:val="nil"/>
        </w:pBdr>
        <w:autoSpaceDE/>
        <w:autoSpaceDN/>
        <w:adjustRightInd/>
        <w:jc w:val="both"/>
        <w:rPr>
          <w:rFonts w:eastAsia="Arial Unicode MS" w:cs="Arial"/>
          <w:b/>
          <w:bCs/>
          <w:color w:val="000000"/>
          <w:sz w:val="22"/>
          <w:szCs w:val="22"/>
          <w:u w:color="000000"/>
          <w:bdr w:val="nil"/>
          <w:lang w:val="es-ES" w:eastAsia="en-GB"/>
          <w14:textOutline w14:w="0" w14:cap="flat" w14:cmpd="sng" w14:algn="ctr">
            <w14:noFill/>
            <w14:prstDash w14:val="solid"/>
            <w14:bevel/>
          </w14:textOutline>
        </w:rPr>
      </w:pPr>
      <w:proofErr w:type="gramStart"/>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Además</w:t>
      </w:r>
      <w:proofErr w:type="gramEnd"/>
      <w:r w:rsidRPr="00074250">
        <w:rPr>
          <w:rFonts w:eastAsia="Arial Unicode MS" w:cs="Arial"/>
          <w:color w:val="000000"/>
          <w:sz w:val="22"/>
          <w:szCs w:val="22"/>
          <w:u w:color="000000"/>
          <w:bdr w:val="nil"/>
          <w:lang w:val="es-ES" w:eastAsia="es-ES"/>
          <w14:textOutline w14:w="0" w14:cap="flat" w14:cmpd="sng" w14:algn="ctr">
            <w14:noFill/>
            <w14:prstDash w14:val="solid"/>
            <w14:bevel/>
          </w14:textOutline>
        </w:rPr>
        <w:t xml:space="preserve"> la FAO recopila estadísticas de producción relacionadas con los datos de desembarcos notificados y puede pasar por algo estos especímenes capturados y liberados (descartados) accidentalmente, lo que puede sufrir variaciones en los niveles de mortalidad en la embarcación o tras la liberación. Por lo tanto, la investigación a escala regional y mundial en cuanto a la cantidad total de especies de tiburones y rayas que se capturan, al tiempo que se identifica el destino de los especímenes es fundamental para completar la hoja de ruta para la conservación e informar sobre los siguientes pasos.</w:t>
      </w:r>
    </w:p>
    <w:p w14:paraId="1AEF21CF" w14:textId="77777777" w:rsidR="009454AA" w:rsidRPr="00074250"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p>
    <w:p w14:paraId="62F0AFC1" w14:textId="77777777" w:rsidR="009454AA" w:rsidRPr="00074250"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s-ES" w:eastAsia="en-GB"/>
          <w14:textOutline w14:w="0" w14:cap="flat" w14:cmpd="sng" w14:algn="ctr">
            <w14:noFill/>
            <w14:prstDash w14:val="solid"/>
            <w14:bevel/>
          </w14:textOutline>
        </w:rPr>
      </w:pPr>
    </w:p>
    <w:p w14:paraId="469369BC" w14:textId="044A11A3" w:rsidR="009454AA" w:rsidRPr="0026143E" w:rsidRDefault="009454AA" w:rsidP="009454AA">
      <w:pPr>
        <w:widowControl/>
        <w:pBdr>
          <w:top w:val="nil"/>
          <w:left w:val="nil"/>
          <w:bottom w:val="nil"/>
          <w:right w:val="nil"/>
          <w:between w:val="nil"/>
          <w:bar w:val="nil"/>
        </w:pBdr>
        <w:autoSpaceDE/>
        <w:autoSpaceDN/>
        <w:adjustRightInd/>
        <w:ind w:left="360" w:hanging="360"/>
        <w:jc w:val="both"/>
        <w:outlineLvl w:val="1"/>
        <w:rPr>
          <w:rFonts w:cs="Arial"/>
          <w:b/>
          <w:bCs/>
          <w:sz w:val="22"/>
          <w:szCs w:val="22"/>
          <w:u w:val="single"/>
        </w:rPr>
      </w:pPr>
      <w:proofErr w:type="spellStart"/>
      <w:r w:rsidRPr="0026143E">
        <w:rPr>
          <w:rFonts w:cs="Arial"/>
          <w:b/>
          <w:bCs/>
          <w:sz w:val="22"/>
          <w:szCs w:val="22"/>
          <w:u w:val="single"/>
        </w:rPr>
        <w:t>Referencias</w:t>
      </w:r>
      <w:proofErr w:type="spellEnd"/>
    </w:p>
    <w:p w14:paraId="289349F2" w14:textId="77777777" w:rsidR="009454AA" w:rsidRPr="0026143E" w:rsidRDefault="009454AA" w:rsidP="009454AA">
      <w:pPr>
        <w:widowControl/>
        <w:pBdr>
          <w:top w:val="nil"/>
          <w:left w:val="nil"/>
          <w:bottom w:val="nil"/>
          <w:right w:val="nil"/>
          <w:between w:val="nil"/>
          <w:bar w:val="nil"/>
        </w:pBdr>
        <w:autoSpaceDE/>
        <w:autoSpaceDN/>
        <w:adjustRightInd/>
        <w:ind w:left="360" w:hanging="360"/>
        <w:jc w:val="both"/>
        <w:outlineLvl w:val="1"/>
        <w:rPr>
          <w:rFonts w:cs="Arial"/>
          <w:b/>
          <w:bCs/>
          <w:sz w:val="22"/>
          <w:szCs w:val="22"/>
          <w:u w:val="single"/>
        </w:rPr>
      </w:pPr>
    </w:p>
    <w:p w14:paraId="204C3D59" w14:textId="77777777" w:rsidR="009454AA" w:rsidRPr="009B36B6"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r w:rsidRPr="009B36B6">
        <w:rPr>
          <w:rFonts w:cs="Arial"/>
          <w:sz w:val="20"/>
          <w:szCs w:val="20"/>
        </w:rPr>
        <w:t>Al-</w:t>
      </w:r>
      <w:proofErr w:type="spellStart"/>
      <w:r w:rsidRPr="009B36B6">
        <w:rPr>
          <w:rFonts w:cs="Arial"/>
          <w:sz w:val="20"/>
          <w:szCs w:val="20"/>
        </w:rPr>
        <w:t>Zibdah</w:t>
      </w:r>
      <w:proofErr w:type="spellEnd"/>
      <w:r w:rsidRPr="009B36B6">
        <w:rPr>
          <w:rFonts w:cs="Arial"/>
          <w:sz w:val="20"/>
          <w:szCs w:val="20"/>
        </w:rPr>
        <w:t xml:space="preserve">, M. Khalaf, M. </w:t>
      </w:r>
      <w:proofErr w:type="spellStart"/>
      <w:r w:rsidRPr="009B36B6">
        <w:rPr>
          <w:rFonts w:cs="Arial"/>
          <w:sz w:val="20"/>
          <w:szCs w:val="20"/>
        </w:rPr>
        <w:t>Odat</w:t>
      </w:r>
      <w:proofErr w:type="spellEnd"/>
      <w:r w:rsidRPr="009B36B6">
        <w:rPr>
          <w:rFonts w:cs="Arial"/>
          <w:sz w:val="20"/>
          <w:szCs w:val="20"/>
        </w:rPr>
        <w:t xml:space="preserve"> N (2006) The Fishery Status in Jordan’ s Gulf of Aqaba, Red Sea. Pure Sci 33:127–142</w:t>
      </w:r>
    </w:p>
    <w:p w14:paraId="27DA2FF6" w14:textId="77777777" w:rsidR="009454AA" w:rsidRPr="009B36B6"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r w:rsidRPr="009B36B6">
        <w:rPr>
          <w:rFonts w:cs="Arial"/>
          <w:sz w:val="20"/>
          <w:szCs w:val="20"/>
        </w:rPr>
        <w:t>Cashion MS, Bailly N, Pauly D (2019) Official catch data underrepresent shark and ray taxa caught in Mediterranean and Black Sea fisheries. Mar Policy 105:1–9. https://doi.org/10.1016/j.marpol.2019.02.041</w:t>
      </w:r>
    </w:p>
    <w:p w14:paraId="786EC5C8" w14:textId="77777777" w:rsidR="009454AA" w:rsidRPr="009B36B6"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r w:rsidRPr="009B36B6">
        <w:rPr>
          <w:rFonts w:cs="Arial"/>
          <w:sz w:val="20"/>
          <w:szCs w:val="20"/>
        </w:rPr>
        <w:t xml:space="preserve">Clarke SC, McAllister MK, Milner-Gulland EJ, et al (2006) Global estimates of shark catches using trade records from commercial markets. </w:t>
      </w:r>
      <w:proofErr w:type="spellStart"/>
      <w:r w:rsidRPr="009B36B6">
        <w:rPr>
          <w:rFonts w:cs="Arial"/>
          <w:sz w:val="20"/>
          <w:szCs w:val="20"/>
        </w:rPr>
        <w:t>Ecol</w:t>
      </w:r>
      <w:proofErr w:type="spellEnd"/>
      <w:r w:rsidRPr="009B36B6">
        <w:rPr>
          <w:rFonts w:cs="Arial"/>
          <w:sz w:val="20"/>
          <w:szCs w:val="20"/>
        </w:rPr>
        <w:t xml:space="preserve"> Lett 9:1115–1126. https://doi.org/10.1111/j.1461-0248.2006.00968.x</w:t>
      </w:r>
    </w:p>
    <w:p w14:paraId="4CA68C8E" w14:textId="77777777" w:rsidR="009454AA" w:rsidRPr="009B36B6"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proofErr w:type="spellStart"/>
      <w:r w:rsidRPr="009B36B6">
        <w:rPr>
          <w:rFonts w:cs="Arial"/>
          <w:sz w:val="20"/>
          <w:szCs w:val="20"/>
        </w:rPr>
        <w:t>Dulvy</w:t>
      </w:r>
      <w:proofErr w:type="spellEnd"/>
      <w:r w:rsidRPr="009B36B6">
        <w:rPr>
          <w:rFonts w:cs="Arial"/>
          <w:sz w:val="20"/>
          <w:szCs w:val="20"/>
        </w:rPr>
        <w:t xml:space="preserve"> NK, </w:t>
      </w:r>
      <w:proofErr w:type="spellStart"/>
      <w:r w:rsidRPr="009B36B6">
        <w:rPr>
          <w:rFonts w:cs="Arial"/>
          <w:sz w:val="20"/>
          <w:szCs w:val="20"/>
        </w:rPr>
        <w:t>Pacoureau</w:t>
      </w:r>
      <w:proofErr w:type="spellEnd"/>
      <w:r w:rsidRPr="009B36B6">
        <w:rPr>
          <w:rFonts w:cs="Arial"/>
          <w:sz w:val="20"/>
          <w:szCs w:val="20"/>
        </w:rPr>
        <w:t xml:space="preserve"> N, Rigby CL, et al (2021) Overfishing drives over one-third of all sharks and rays toward a global extinction crisis. </w:t>
      </w:r>
      <w:proofErr w:type="spellStart"/>
      <w:r w:rsidRPr="009B36B6">
        <w:rPr>
          <w:rFonts w:cs="Arial"/>
          <w:sz w:val="20"/>
          <w:szCs w:val="20"/>
        </w:rPr>
        <w:t>Curr</w:t>
      </w:r>
      <w:proofErr w:type="spellEnd"/>
      <w:r w:rsidRPr="009B36B6">
        <w:rPr>
          <w:rFonts w:cs="Arial"/>
          <w:sz w:val="20"/>
          <w:szCs w:val="20"/>
        </w:rPr>
        <w:t xml:space="preserve"> Biol. https://doi.org/10.1016/j.cub.2021.08.062</w:t>
      </w:r>
    </w:p>
    <w:p w14:paraId="2C6B0A04" w14:textId="77777777" w:rsidR="009454AA" w:rsidRPr="009B36B6"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r w:rsidRPr="009B36B6">
        <w:rPr>
          <w:rFonts w:cs="Arial"/>
          <w:sz w:val="20"/>
          <w:szCs w:val="20"/>
        </w:rPr>
        <w:t xml:space="preserve">Elhassan IS (2018) Occurrence of the green sawfish </w:t>
      </w:r>
      <w:proofErr w:type="spellStart"/>
      <w:r w:rsidRPr="009B36B6">
        <w:rPr>
          <w:rFonts w:cs="Arial"/>
          <w:sz w:val="20"/>
          <w:szCs w:val="20"/>
        </w:rPr>
        <w:t>Pristis</w:t>
      </w:r>
      <w:proofErr w:type="spellEnd"/>
      <w:r w:rsidRPr="009B36B6">
        <w:rPr>
          <w:rFonts w:cs="Arial"/>
          <w:sz w:val="20"/>
          <w:szCs w:val="20"/>
        </w:rPr>
        <w:t xml:space="preserve"> </w:t>
      </w:r>
      <w:proofErr w:type="spellStart"/>
      <w:r w:rsidRPr="009B36B6">
        <w:rPr>
          <w:rFonts w:cs="Arial"/>
          <w:sz w:val="20"/>
          <w:szCs w:val="20"/>
        </w:rPr>
        <w:t>zijsron</w:t>
      </w:r>
      <w:proofErr w:type="spellEnd"/>
      <w:r w:rsidRPr="009B36B6">
        <w:rPr>
          <w:rFonts w:cs="Arial"/>
          <w:sz w:val="20"/>
          <w:szCs w:val="20"/>
        </w:rPr>
        <w:t xml:space="preserve"> in the Sudanese Red Sea with observations on reproduction. Endanger Species Res 36:41–47. https://doi.org/10.3354/esr00873</w:t>
      </w:r>
    </w:p>
    <w:p w14:paraId="216BFA8C" w14:textId="77777777" w:rsidR="009454AA" w:rsidRPr="009B36B6"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r w:rsidRPr="009B36B6">
        <w:rPr>
          <w:rFonts w:cs="Arial"/>
          <w:sz w:val="20"/>
          <w:szCs w:val="20"/>
        </w:rPr>
        <w:lastRenderedPageBreak/>
        <w:t>Ellis JR, Barker J, McCully Phillips SR, et al (2021) Angel sharks (</w:t>
      </w:r>
      <w:proofErr w:type="spellStart"/>
      <w:r w:rsidRPr="009B36B6">
        <w:rPr>
          <w:rFonts w:cs="Arial"/>
          <w:sz w:val="20"/>
          <w:szCs w:val="20"/>
        </w:rPr>
        <w:t>Squatinidae</w:t>
      </w:r>
      <w:proofErr w:type="spellEnd"/>
      <w:r w:rsidRPr="009B36B6">
        <w:rPr>
          <w:rFonts w:cs="Arial"/>
          <w:sz w:val="20"/>
          <w:szCs w:val="20"/>
        </w:rPr>
        <w:t>): A review of biological knowledge and exploitation. J Fish Biol 98:592–621. https://doi.org/10.1111/JFB.14613</w:t>
      </w:r>
    </w:p>
    <w:p w14:paraId="46777E16" w14:textId="77777777" w:rsidR="009454AA" w:rsidRPr="009B36B6"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r w:rsidRPr="009B36B6">
        <w:rPr>
          <w:rFonts w:cs="Arial"/>
          <w:sz w:val="20"/>
          <w:szCs w:val="20"/>
        </w:rPr>
        <w:t>Garibaldi L (2012) The FAO global capture production database: A six-decade effort to catch the trend. Mar Policy 36:760–768. https://doi.org/10.1016/j.marpol.2011.10.024</w:t>
      </w:r>
    </w:p>
    <w:p w14:paraId="712CF8CB" w14:textId="77777777" w:rsidR="009454AA" w:rsidRPr="009B36B6"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r w:rsidRPr="009B36B6">
        <w:rPr>
          <w:rFonts w:cs="Arial"/>
          <w:sz w:val="20"/>
          <w:szCs w:val="20"/>
        </w:rPr>
        <w:t>Glaser S, Roberts P, Mazurek R, et al (2015) Securing Somali Fisheries. Denver, CO</w:t>
      </w:r>
    </w:p>
    <w:p w14:paraId="655165AD" w14:textId="77777777" w:rsidR="009454AA" w:rsidRPr="009B36B6"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r w:rsidRPr="009B36B6">
        <w:rPr>
          <w:rFonts w:cs="Arial"/>
          <w:sz w:val="20"/>
          <w:szCs w:val="20"/>
        </w:rPr>
        <w:t>ICES (2019) Basking shark (</w:t>
      </w:r>
      <w:proofErr w:type="spellStart"/>
      <w:r w:rsidRPr="009B36B6">
        <w:rPr>
          <w:rFonts w:cs="Arial"/>
          <w:sz w:val="20"/>
          <w:szCs w:val="20"/>
        </w:rPr>
        <w:t>Cetorhinus</w:t>
      </w:r>
      <w:proofErr w:type="spellEnd"/>
      <w:r w:rsidRPr="009B36B6">
        <w:rPr>
          <w:rFonts w:cs="Arial"/>
          <w:sz w:val="20"/>
          <w:szCs w:val="20"/>
        </w:rPr>
        <w:t xml:space="preserve"> maximus) in subareas 1–10, 12, and 14 (Northeast Atlantic and adjacent waters).</w:t>
      </w:r>
    </w:p>
    <w:p w14:paraId="7EB68745" w14:textId="77777777" w:rsidR="009454AA" w:rsidRPr="009B36B6"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proofErr w:type="spellStart"/>
      <w:r w:rsidRPr="009B36B6">
        <w:rPr>
          <w:rFonts w:cs="Arial"/>
          <w:sz w:val="20"/>
          <w:szCs w:val="20"/>
        </w:rPr>
        <w:t>Irsan</w:t>
      </w:r>
      <w:proofErr w:type="spellEnd"/>
      <w:r w:rsidRPr="009B36B6">
        <w:rPr>
          <w:rFonts w:cs="Arial"/>
          <w:sz w:val="20"/>
          <w:szCs w:val="20"/>
        </w:rPr>
        <w:t xml:space="preserve"> A, </w:t>
      </w:r>
      <w:proofErr w:type="spellStart"/>
      <w:r w:rsidRPr="009B36B6">
        <w:rPr>
          <w:rFonts w:cs="Arial"/>
          <w:sz w:val="20"/>
          <w:szCs w:val="20"/>
        </w:rPr>
        <w:t>Wijayanti</w:t>
      </w:r>
      <w:proofErr w:type="spellEnd"/>
      <w:r w:rsidRPr="009B36B6">
        <w:rPr>
          <w:rFonts w:cs="Arial"/>
          <w:sz w:val="20"/>
          <w:szCs w:val="20"/>
        </w:rPr>
        <w:t xml:space="preserve"> F, </w:t>
      </w:r>
      <w:proofErr w:type="spellStart"/>
      <w:r w:rsidRPr="009B36B6">
        <w:rPr>
          <w:rFonts w:cs="Arial"/>
          <w:sz w:val="20"/>
          <w:szCs w:val="20"/>
        </w:rPr>
        <w:t>Assuyuti</w:t>
      </w:r>
      <w:proofErr w:type="spellEnd"/>
      <w:r w:rsidRPr="009B36B6">
        <w:rPr>
          <w:rFonts w:cs="Arial"/>
          <w:sz w:val="20"/>
          <w:szCs w:val="20"/>
        </w:rPr>
        <w:t xml:space="preserve"> YM, </w:t>
      </w:r>
      <w:proofErr w:type="spellStart"/>
      <w:r w:rsidRPr="009B36B6">
        <w:rPr>
          <w:rFonts w:cs="Arial"/>
          <w:sz w:val="20"/>
          <w:szCs w:val="20"/>
        </w:rPr>
        <w:t>Yuneri</w:t>
      </w:r>
      <w:proofErr w:type="spellEnd"/>
      <w:r w:rsidRPr="009B36B6">
        <w:rPr>
          <w:rFonts w:cs="Arial"/>
          <w:sz w:val="20"/>
          <w:szCs w:val="20"/>
        </w:rPr>
        <w:t xml:space="preserve"> R (2021) Fisheries and Biological Aspect of Dusky Whaler Shark (Carcharhinus obscurus, </w:t>
      </w:r>
      <w:proofErr w:type="spellStart"/>
      <w:r w:rsidRPr="009B36B6">
        <w:rPr>
          <w:rFonts w:cs="Arial"/>
          <w:sz w:val="20"/>
          <w:szCs w:val="20"/>
        </w:rPr>
        <w:t>Lesueur</w:t>
      </w:r>
      <w:proofErr w:type="spellEnd"/>
      <w:r w:rsidRPr="009B36B6">
        <w:rPr>
          <w:rFonts w:cs="Arial"/>
          <w:sz w:val="20"/>
          <w:szCs w:val="20"/>
        </w:rPr>
        <w:t xml:space="preserve"> 1818) in </w:t>
      </w:r>
      <w:proofErr w:type="spellStart"/>
      <w:r w:rsidRPr="009B36B6">
        <w:rPr>
          <w:rFonts w:cs="Arial"/>
          <w:sz w:val="20"/>
          <w:szCs w:val="20"/>
        </w:rPr>
        <w:t>Muncar</w:t>
      </w:r>
      <w:proofErr w:type="spellEnd"/>
      <w:r w:rsidRPr="009B36B6">
        <w:rPr>
          <w:rFonts w:cs="Arial"/>
          <w:sz w:val="20"/>
          <w:szCs w:val="20"/>
        </w:rPr>
        <w:t xml:space="preserve"> Fishing Port, </w:t>
      </w:r>
      <w:proofErr w:type="spellStart"/>
      <w:r w:rsidRPr="009B36B6">
        <w:rPr>
          <w:rFonts w:cs="Arial"/>
          <w:sz w:val="20"/>
          <w:szCs w:val="20"/>
        </w:rPr>
        <w:t>Banyuwangi</w:t>
      </w:r>
      <w:proofErr w:type="spellEnd"/>
      <w:r w:rsidRPr="009B36B6">
        <w:rPr>
          <w:rFonts w:cs="Arial"/>
          <w:sz w:val="20"/>
          <w:szCs w:val="20"/>
        </w:rPr>
        <w:t xml:space="preserve">, Indonesia. </w:t>
      </w:r>
      <w:proofErr w:type="spellStart"/>
      <w:r w:rsidRPr="009B36B6">
        <w:rPr>
          <w:rFonts w:cs="Arial"/>
          <w:sz w:val="20"/>
          <w:szCs w:val="20"/>
        </w:rPr>
        <w:t>cta</w:t>
      </w:r>
      <w:proofErr w:type="spellEnd"/>
      <w:r w:rsidRPr="009B36B6">
        <w:rPr>
          <w:rFonts w:cs="Arial"/>
          <w:sz w:val="20"/>
          <w:szCs w:val="20"/>
        </w:rPr>
        <w:t xml:space="preserve"> </w:t>
      </w:r>
      <w:proofErr w:type="spellStart"/>
      <w:r w:rsidRPr="009B36B6">
        <w:rPr>
          <w:rFonts w:cs="Arial"/>
          <w:sz w:val="20"/>
          <w:szCs w:val="20"/>
        </w:rPr>
        <w:t>Aquat</w:t>
      </w:r>
      <w:proofErr w:type="spellEnd"/>
      <w:r w:rsidRPr="009B36B6">
        <w:rPr>
          <w:rFonts w:cs="Arial"/>
          <w:sz w:val="20"/>
          <w:szCs w:val="20"/>
        </w:rPr>
        <w:t xml:space="preserve"> </w:t>
      </w:r>
      <w:proofErr w:type="spellStart"/>
      <w:r w:rsidRPr="009B36B6">
        <w:rPr>
          <w:rFonts w:cs="Arial"/>
          <w:sz w:val="20"/>
          <w:szCs w:val="20"/>
        </w:rPr>
        <w:t>Turc</w:t>
      </w:r>
      <w:proofErr w:type="spellEnd"/>
      <w:r w:rsidRPr="009B36B6">
        <w:rPr>
          <w:rFonts w:cs="Arial"/>
          <w:sz w:val="20"/>
          <w:szCs w:val="20"/>
        </w:rPr>
        <w:t xml:space="preserve"> 17:463–473. https://doi.org/10.22392/actaquatr.812389</w:t>
      </w:r>
    </w:p>
    <w:p w14:paraId="3B7051B6" w14:textId="77777777" w:rsidR="009454AA" w:rsidRPr="009B36B6"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proofErr w:type="spellStart"/>
      <w:r w:rsidRPr="009B36B6">
        <w:rPr>
          <w:rFonts w:cs="Arial"/>
          <w:sz w:val="20"/>
          <w:szCs w:val="20"/>
        </w:rPr>
        <w:t>Kabasakal</w:t>
      </w:r>
      <w:proofErr w:type="spellEnd"/>
      <w:r w:rsidRPr="009B36B6">
        <w:rPr>
          <w:rFonts w:cs="Arial"/>
          <w:sz w:val="20"/>
          <w:szCs w:val="20"/>
        </w:rPr>
        <w:t xml:space="preserve"> H, </w:t>
      </w:r>
      <w:proofErr w:type="spellStart"/>
      <w:r w:rsidRPr="009B36B6">
        <w:rPr>
          <w:rFonts w:cs="Arial"/>
          <w:sz w:val="20"/>
          <w:szCs w:val="20"/>
        </w:rPr>
        <w:t>Bayri</w:t>
      </w:r>
      <w:proofErr w:type="spellEnd"/>
      <w:r w:rsidRPr="009B36B6">
        <w:rPr>
          <w:rFonts w:cs="Arial"/>
          <w:sz w:val="20"/>
          <w:szCs w:val="20"/>
        </w:rPr>
        <w:t xml:space="preserve"> E, </w:t>
      </w:r>
      <w:proofErr w:type="spellStart"/>
      <w:r w:rsidRPr="009B36B6">
        <w:rPr>
          <w:rFonts w:cs="Arial"/>
          <w:sz w:val="20"/>
          <w:szCs w:val="20"/>
        </w:rPr>
        <w:t>Ataç</w:t>
      </w:r>
      <w:proofErr w:type="spellEnd"/>
      <w:r w:rsidRPr="009B36B6">
        <w:rPr>
          <w:rFonts w:cs="Arial"/>
          <w:sz w:val="20"/>
          <w:szCs w:val="20"/>
        </w:rPr>
        <w:t xml:space="preserve"> E (2018) Recent records of the great white shark, Carcharodon carcharias (Linnaeus, 1758) (</w:t>
      </w:r>
      <w:proofErr w:type="spellStart"/>
      <w:r w:rsidRPr="009B36B6">
        <w:rPr>
          <w:rFonts w:cs="Arial"/>
          <w:sz w:val="20"/>
          <w:szCs w:val="20"/>
        </w:rPr>
        <w:t>chondrichthyes</w:t>
      </w:r>
      <w:proofErr w:type="spellEnd"/>
      <w:r w:rsidRPr="009B36B6">
        <w:rPr>
          <w:rFonts w:cs="Arial"/>
          <w:sz w:val="20"/>
          <w:szCs w:val="20"/>
        </w:rPr>
        <w:t xml:space="preserve">: Lamnidae), in Turkish waters (eastern </w:t>
      </w:r>
      <w:proofErr w:type="spellStart"/>
      <w:r w:rsidRPr="009B36B6">
        <w:rPr>
          <w:rFonts w:cs="Arial"/>
          <w:sz w:val="20"/>
          <w:szCs w:val="20"/>
        </w:rPr>
        <w:t>mediterranean</w:t>
      </w:r>
      <w:proofErr w:type="spellEnd"/>
      <w:r w:rsidRPr="009B36B6">
        <w:rPr>
          <w:rFonts w:cs="Arial"/>
          <w:sz w:val="20"/>
          <w:szCs w:val="20"/>
        </w:rPr>
        <w:t>). Ann Ser Hist Nat 28:93–98. https://doi.org/10.19233/ASHN.2018.10</w:t>
      </w:r>
    </w:p>
    <w:p w14:paraId="5EFB7F78" w14:textId="77777777" w:rsidR="009454AA" w:rsidRPr="009B36B6"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r w:rsidRPr="009B36B6">
        <w:rPr>
          <w:rFonts w:cs="Arial"/>
          <w:sz w:val="20"/>
          <w:szCs w:val="20"/>
        </w:rPr>
        <w:t xml:space="preserve">King J, McFarlane GA, </w:t>
      </w:r>
      <w:proofErr w:type="spellStart"/>
      <w:r w:rsidRPr="009B36B6">
        <w:rPr>
          <w:rFonts w:cs="Arial"/>
          <w:sz w:val="20"/>
          <w:szCs w:val="20"/>
        </w:rPr>
        <w:t>Gertseva</w:t>
      </w:r>
      <w:proofErr w:type="spellEnd"/>
      <w:r w:rsidRPr="009B36B6">
        <w:rPr>
          <w:rFonts w:cs="Arial"/>
          <w:sz w:val="20"/>
          <w:szCs w:val="20"/>
        </w:rPr>
        <w:t xml:space="preserve"> V, et al (2017) Shark Interactions </w:t>
      </w:r>
      <w:proofErr w:type="gramStart"/>
      <w:r w:rsidRPr="009B36B6">
        <w:rPr>
          <w:rFonts w:cs="Arial"/>
          <w:sz w:val="20"/>
          <w:szCs w:val="20"/>
        </w:rPr>
        <w:t>With</w:t>
      </w:r>
      <w:proofErr w:type="gramEnd"/>
      <w:r w:rsidRPr="009B36B6">
        <w:rPr>
          <w:rFonts w:cs="Arial"/>
          <w:sz w:val="20"/>
          <w:szCs w:val="20"/>
        </w:rPr>
        <w:t xml:space="preserve"> Directed and Incidental Fisheries in the Northeast Pacific Ocean: Historic and Current Encounters, and Challenges for Shark Conservation. In: Advances in Marine Biology. Academic Press, pp 9–44</w:t>
      </w:r>
    </w:p>
    <w:p w14:paraId="7155FBF4" w14:textId="77777777" w:rsidR="009454AA" w:rsidRPr="009B36B6"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proofErr w:type="spellStart"/>
      <w:r w:rsidRPr="009B36B6">
        <w:rPr>
          <w:rFonts w:cs="Arial"/>
          <w:sz w:val="20"/>
          <w:szCs w:val="20"/>
        </w:rPr>
        <w:t>Pajuelo</w:t>
      </w:r>
      <w:proofErr w:type="spellEnd"/>
      <w:r w:rsidRPr="009B36B6">
        <w:rPr>
          <w:rFonts w:cs="Arial"/>
          <w:sz w:val="20"/>
          <w:szCs w:val="20"/>
        </w:rPr>
        <w:t xml:space="preserve"> M, Alfaro-</w:t>
      </w:r>
      <w:proofErr w:type="spellStart"/>
      <w:r w:rsidRPr="009B36B6">
        <w:rPr>
          <w:rFonts w:cs="Arial"/>
          <w:sz w:val="20"/>
          <w:szCs w:val="20"/>
        </w:rPr>
        <w:t>Shigueto</w:t>
      </w:r>
      <w:proofErr w:type="spellEnd"/>
      <w:r w:rsidRPr="009B36B6">
        <w:rPr>
          <w:rFonts w:cs="Arial"/>
          <w:sz w:val="20"/>
          <w:szCs w:val="20"/>
        </w:rPr>
        <w:t xml:space="preserve"> J, Romero M, et al (2018) Occurrence and Bycatch of Juvenile and Neonate Whale Sharks (Rhincodon typus) in Peruvian Waters. Pacific Sci 72:463–473. https://doi.org/10.2984/72.4.6</w:t>
      </w:r>
    </w:p>
    <w:p w14:paraId="0AAFA5EC" w14:textId="77777777" w:rsidR="009454AA" w:rsidRPr="0026143E"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r w:rsidRPr="009B36B6">
        <w:rPr>
          <w:rFonts w:cs="Arial"/>
          <w:sz w:val="20"/>
          <w:szCs w:val="20"/>
        </w:rPr>
        <w:t xml:space="preserve">Pauly D, Zeller D (2016) Catch reconstructions reveal that global marine fisheries catches are higher than reported and declining. </w:t>
      </w:r>
      <w:r w:rsidRPr="0026143E">
        <w:rPr>
          <w:rFonts w:cs="Arial"/>
          <w:sz w:val="20"/>
          <w:szCs w:val="20"/>
        </w:rPr>
        <w:t xml:space="preserve">Nat </w:t>
      </w:r>
      <w:proofErr w:type="spellStart"/>
      <w:r w:rsidRPr="0026143E">
        <w:rPr>
          <w:rFonts w:cs="Arial"/>
          <w:sz w:val="20"/>
          <w:szCs w:val="20"/>
        </w:rPr>
        <w:t>Commun</w:t>
      </w:r>
      <w:proofErr w:type="spellEnd"/>
      <w:r w:rsidRPr="0026143E">
        <w:rPr>
          <w:rFonts w:cs="Arial"/>
          <w:sz w:val="20"/>
          <w:szCs w:val="20"/>
        </w:rPr>
        <w:t xml:space="preserve"> 2016 71 7:1–9. https://doi.org/10.1038/ncomms10244</w:t>
      </w:r>
    </w:p>
    <w:p w14:paraId="0F7CFFF7" w14:textId="77777777" w:rsidR="009454AA" w:rsidRPr="0026143E"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proofErr w:type="spellStart"/>
      <w:r w:rsidRPr="009B36B6">
        <w:rPr>
          <w:rFonts w:cs="Arial"/>
          <w:sz w:val="20"/>
          <w:szCs w:val="20"/>
        </w:rPr>
        <w:t>urushottama</w:t>
      </w:r>
      <w:proofErr w:type="spellEnd"/>
      <w:r w:rsidRPr="009B36B6">
        <w:rPr>
          <w:rFonts w:cs="Arial"/>
          <w:sz w:val="20"/>
          <w:szCs w:val="20"/>
        </w:rPr>
        <w:t xml:space="preserve"> GB, </w:t>
      </w:r>
      <w:proofErr w:type="spellStart"/>
      <w:r w:rsidRPr="009B36B6">
        <w:rPr>
          <w:rFonts w:cs="Arial"/>
          <w:sz w:val="20"/>
          <w:szCs w:val="20"/>
        </w:rPr>
        <w:t>Raje</w:t>
      </w:r>
      <w:proofErr w:type="spellEnd"/>
      <w:r w:rsidRPr="009B36B6">
        <w:rPr>
          <w:rFonts w:cs="Arial"/>
          <w:sz w:val="20"/>
          <w:szCs w:val="20"/>
        </w:rPr>
        <w:t xml:space="preserve"> SG, </w:t>
      </w:r>
      <w:proofErr w:type="spellStart"/>
      <w:r w:rsidRPr="009B36B6">
        <w:rPr>
          <w:rFonts w:cs="Arial"/>
          <w:sz w:val="20"/>
          <w:szCs w:val="20"/>
        </w:rPr>
        <w:t>Thakurdas</w:t>
      </w:r>
      <w:proofErr w:type="spellEnd"/>
      <w:r w:rsidRPr="009B36B6">
        <w:rPr>
          <w:rFonts w:cs="Arial"/>
          <w:sz w:val="20"/>
          <w:szCs w:val="20"/>
        </w:rPr>
        <w:t xml:space="preserve">, et al (2020) Reproductive biology and diet composition of </w:t>
      </w:r>
      <w:proofErr w:type="spellStart"/>
      <w:r w:rsidRPr="009B36B6">
        <w:rPr>
          <w:rFonts w:cs="Arial"/>
          <w:sz w:val="20"/>
          <w:szCs w:val="20"/>
        </w:rPr>
        <w:t>Rhynchobatus</w:t>
      </w:r>
      <w:proofErr w:type="spellEnd"/>
      <w:r w:rsidRPr="009B36B6">
        <w:rPr>
          <w:rFonts w:cs="Arial"/>
          <w:sz w:val="20"/>
          <w:szCs w:val="20"/>
        </w:rPr>
        <w:t xml:space="preserve"> </w:t>
      </w:r>
      <w:proofErr w:type="spellStart"/>
      <w:r w:rsidRPr="009B36B6">
        <w:rPr>
          <w:rFonts w:cs="Arial"/>
          <w:sz w:val="20"/>
          <w:szCs w:val="20"/>
        </w:rPr>
        <w:t>laevis</w:t>
      </w:r>
      <w:proofErr w:type="spellEnd"/>
      <w:r w:rsidRPr="009B36B6">
        <w:rPr>
          <w:rFonts w:cs="Arial"/>
          <w:sz w:val="20"/>
          <w:szCs w:val="20"/>
        </w:rPr>
        <w:t xml:space="preserve"> (Bloch and schneider, 1801) (</w:t>
      </w:r>
      <w:proofErr w:type="spellStart"/>
      <w:proofErr w:type="gramStart"/>
      <w:r w:rsidRPr="009B36B6">
        <w:rPr>
          <w:rFonts w:cs="Arial"/>
          <w:sz w:val="20"/>
          <w:szCs w:val="20"/>
        </w:rPr>
        <w:t>rhinopristiformes:Rhinidae</w:t>
      </w:r>
      <w:proofErr w:type="spellEnd"/>
      <w:proofErr w:type="gramEnd"/>
      <w:r w:rsidRPr="009B36B6">
        <w:rPr>
          <w:rFonts w:cs="Arial"/>
          <w:sz w:val="20"/>
          <w:szCs w:val="20"/>
        </w:rPr>
        <w:t xml:space="preserve">) from the northern Indian ocean. </w:t>
      </w:r>
      <w:r w:rsidRPr="0026143E">
        <w:rPr>
          <w:rFonts w:cs="Arial"/>
          <w:sz w:val="20"/>
          <w:szCs w:val="20"/>
        </w:rPr>
        <w:t>Indian J Fish 67:13–23. https://doi.org/10.21077/ijf.2020.67.4.95636-02</w:t>
      </w:r>
    </w:p>
    <w:p w14:paraId="4974672B" w14:textId="77777777" w:rsidR="009454AA" w:rsidRPr="009B36B6"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r w:rsidRPr="009B36B6">
        <w:rPr>
          <w:rFonts w:cs="Arial"/>
          <w:sz w:val="20"/>
          <w:szCs w:val="20"/>
        </w:rPr>
        <w:t xml:space="preserve">Sala E, Mayorga J, Costello C, et al (2.018) The economics of fishing the high seas. Sci Adv </w:t>
      </w:r>
      <w:proofErr w:type="gramStart"/>
      <w:r w:rsidRPr="009B36B6">
        <w:rPr>
          <w:rFonts w:cs="Arial"/>
          <w:sz w:val="20"/>
          <w:szCs w:val="20"/>
        </w:rPr>
        <w:t>4:.</w:t>
      </w:r>
      <w:proofErr w:type="gramEnd"/>
      <w:r w:rsidRPr="009B36B6">
        <w:rPr>
          <w:rFonts w:cs="Arial"/>
          <w:sz w:val="20"/>
          <w:szCs w:val="20"/>
        </w:rPr>
        <w:t xml:space="preserve"> https://doi.org/10.1126/sciadv.aat2504</w:t>
      </w:r>
    </w:p>
    <w:p w14:paraId="11A6BE8E" w14:textId="77777777" w:rsidR="009454AA" w:rsidRPr="009B36B6"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proofErr w:type="spellStart"/>
      <w:r w:rsidRPr="009B36B6">
        <w:rPr>
          <w:rFonts w:cs="Arial"/>
          <w:sz w:val="20"/>
          <w:szCs w:val="20"/>
        </w:rPr>
        <w:t>Sathiyaselvam</w:t>
      </w:r>
      <w:proofErr w:type="spellEnd"/>
      <w:r w:rsidRPr="009B36B6">
        <w:rPr>
          <w:rFonts w:cs="Arial"/>
          <w:sz w:val="20"/>
          <w:szCs w:val="20"/>
        </w:rPr>
        <w:t xml:space="preserve"> P, </w:t>
      </w:r>
      <w:proofErr w:type="spellStart"/>
      <w:r w:rsidRPr="009B36B6">
        <w:rPr>
          <w:rFonts w:cs="Arial"/>
          <w:sz w:val="20"/>
          <w:szCs w:val="20"/>
        </w:rPr>
        <w:t>Prashanthi</w:t>
      </w:r>
      <w:proofErr w:type="spellEnd"/>
      <w:r w:rsidRPr="009B36B6">
        <w:rPr>
          <w:rFonts w:cs="Arial"/>
          <w:sz w:val="20"/>
          <w:szCs w:val="20"/>
        </w:rPr>
        <w:t xml:space="preserve"> P, </w:t>
      </w:r>
      <w:proofErr w:type="spellStart"/>
      <w:r w:rsidRPr="009B36B6">
        <w:rPr>
          <w:rFonts w:cs="Arial"/>
          <w:sz w:val="20"/>
          <w:szCs w:val="20"/>
        </w:rPr>
        <w:t>Kathula</w:t>
      </w:r>
      <w:proofErr w:type="spellEnd"/>
      <w:r w:rsidRPr="009B36B6">
        <w:rPr>
          <w:rFonts w:cs="Arial"/>
          <w:sz w:val="20"/>
          <w:szCs w:val="20"/>
        </w:rPr>
        <w:t xml:space="preserve"> T, et al (2019) Increasing numbers of whale sharks along the Andhra Pradesh coast, India – the conservation and management initiatives taken by EGREE Foundation. In: </w:t>
      </w:r>
      <w:proofErr w:type="spellStart"/>
      <w:r w:rsidRPr="009B36B6">
        <w:rPr>
          <w:rFonts w:cs="Arial"/>
          <w:sz w:val="20"/>
          <w:szCs w:val="20"/>
        </w:rPr>
        <w:t>QScience</w:t>
      </w:r>
      <w:proofErr w:type="spellEnd"/>
      <w:r w:rsidRPr="009B36B6">
        <w:rPr>
          <w:rFonts w:cs="Arial"/>
          <w:sz w:val="20"/>
          <w:szCs w:val="20"/>
        </w:rPr>
        <w:t xml:space="preserve"> Proceedings, The 4th International Whale Shark Conference. Hamad bin Khalifa University Press (HBKU Press), p 55</w:t>
      </w:r>
    </w:p>
    <w:p w14:paraId="44E91092" w14:textId="77777777" w:rsidR="009454AA" w:rsidRPr="009B36B6"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r w:rsidRPr="009B36B6">
        <w:rPr>
          <w:rFonts w:cs="Arial"/>
          <w:sz w:val="20"/>
          <w:szCs w:val="20"/>
        </w:rPr>
        <w:t xml:space="preserve">Selig ER, Nakayama S, </w:t>
      </w:r>
      <w:proofErr w:type="spellStart"/>
      <w:r w:rsidRPr="009B36B6">
        <w:rPr>
          <w:rFonts w:cs="Arial"/>
          <w:sz w:val="20"/>
          <w:szCs w:val="20"/>
        </w:rPr>
        <w:t>Wabnitz</w:t>
      </w:r>
      <w:proofErr w:type="spellEnd"/>
      <w:r w:rsidRPr="009B36B6">
        <w:rPr>
          <w:rFonts w:cs="Arial"/>
          <w:sz w:val="20"/>
          <w:szCs w:val="20"/>
        </w:rPr>
        <w:t xml:space="preserve"> CCC, et al (2022) Revealing global risks of labor abuse and illegal, unreported, and unregulated fishing. Nat </w:t>
      </w:r>
      <w:proofErr w:type="spellStart"/>
      <w:r w:rsidRPr="009B36B6">
        <w:rPr>
          <w:rFonts w:cs="Arial"/>
          <w:sz w:val="20"/>
          <w:szCs w:val="20"/>
        </w:rPr>
        <w:t>Commun</w:t>
      </w:r>
      <w:proofErr w:type="spellEnd"/>
      <w:r w:rsidRPr="009B36B6">
        <w:rPr>
          <w:rFonts w:cs="Arial"/>
          <w:sz w:val="20"/>
          <w:szCs w:val="20"/>
        </w:rPr>
        <w:t xml:space="preserve"> 2022 131 13:1–11. https://doi.org/10.1038/s41467-022-28916-2</w:t>
      </w:r>
    </w:p>
    <w:p w14:paraId="3C2D99B7" w14:textId="77777777" w:rsidR="009454AA" w:rsidRPr="009B36B6"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r w:rsidRPr="009B36B6">
        <w:rPr>
          <w:rFonts w:cs="Arial"/>
          <w:sz w:val="20"/>
          <w:szCs w:val="20"/>
        </w:rPr>
        <w:t xml:space="preserve">Wainwright BJ, Ip YCA, Neo ML, et al (2018) DNA barcoding of traded shark fins, meat and </w:t>
      </w:r>
      <w:proofErr w:type="spellStart"/>
      <w:r w:rsidRPr="009B36B6">
        <w:rPr>
          <w:rFonts w:cs="Arial"/>
          <w:sz w:val="20"/>
          <w:szCs w:val="20"/>
        </w:rPr>
        <w:t>mobulid</w:t>
      </w:r>
      <w:proofErr w:type="spellEnd"/>
      <w:r w:rsidRPr="009B36B6">
        <w:rPr>
          <w:rFonts w:cs="Arial"/>
          <w:sz w:val="20"/>
          <w:szCs w:val="20"/>
        </w:rPr>
        <w:t xml:space="preserve"> gill plates in </w:t>
      </w:r>
      <w:proofErr w:type="spellStart"/>
      <w:r w:rsidRPr="009B36B6">
        <w:rPr>
          <w:rFonts w:cs="Arial"/>
          <w:sz w:val="20"/>
          <w:szCs w:val="20"/>
        </w:rPr>
        <w:t>Singapur</w:t>
      </w:r>
      <w:proofErr w:type="spellEnd"/>
      <w:r w:rsidRPr="009B36B6">
        <w:rPr>
          <w:rFonts w:cs="Arial"/>
          <w:sz w:val="20"/>
          <w:szCs w:val="20"/>
        </w:rPr>
        <w:t xml:space="preserve"> uncovers numerous threatened species. </w:t>
      </w:r>
      <w:proofErr w:type="spellStart"/>
      <w:r w:rsidRPr="009B36B6">
        <w:rPr>
          <w:rFonts w:cs="Arial"/>
          <w:sz w:val="20"/>
          <w:szCs w:val="20"/>
        </w:rPr>
        <w:t>Conserv</w:t>
      </w:r>
      <w:proofErr w:type="spellEnd"/>
      <w:r w:rsidRPr="009B36B6">
        <w:rPr>
          <w:rFonts w:cs="Arial"/>
          <w:sz w:val="20"/>
          <w:szCs w:val="20"/>
        </w:rPr>
        <w:t xml:space="preserve"> Genet 19:1393–1399. https://doi.org/10.1007/s10592-018-1108-1</w:t>
      </w:r>
    </w:p>
    <w:p w14:paraId="4728335E" w14:textId="3103F4B9" w:rsidR="009454AA" w:rsidRPr="009B36B6" w:rsidRDefault="009454AA" w:rsidP="009454AA">
      <w:pPr>
        <w:spacing w:after="80"/>
        <w:ind w:left="540" w:right="26" w:hanging="540"/>
        <w:jc w:val="both"/>
        <w:rPr>
          <w:sz w:val="20"/>
          <w:szCs w:val="20"/>
          <w:lang w:val="de-DE"/>
        </w:rPr>
      </w:pPr>
      <w:r w:rsidRPr="009B36B6">
        <w:rPr>
          <w:sz w:val="20"/>
          <w:szCs w:val="20"/>
        </w:rPr>
        <w:t xml:space="preserve">White WT, Corrigan S, Yang L, et al (2.018) Phylogeny of the manta and </w:t>
      </w:r>
      <w:proofErr w:type="spellStart"/>
      <w:r w:rsidRPr="009B36B6">
        <w:rPr>
          <w:sz w:val="20"/>
          <w:szCs w:val="20"/>
        </w:rPr>
        <w:t>devilrays</w:t>
      </w:r>
      <w:proofErr w:type="spellEnd"/>
      <w:r w:rsidRPr="009B36B6">
        <w:rPr>
          <w:sz w:val="20"/>
          <w:szCs w:val="20"/>
        </w:rPr>
        <w:t xml:space="preserve"> (Chondrichthyes: </w:t>
      </w:r>
      <w:proofErr w:type="spellStart"/>
      <w:r w:rsidRPr="009B36B6">
        <w:rPr>
          <w:sz w:val="20"/>
          <w:szCs w:val="20"/>
        </w:rPr>
        <w:t>Mobulidae</w:t>
      </w:r>
      <w:proofErr w:type="spellEnd"/>
      <w:r w:rsidRPr="009B36B6">
        <w:rPr>
          <w:sz w:val="20"/>
          <w:szCs w:val="20"/>
        </w:rPr>
        <w:t xml:space="preserve">), with an updated taxonomic arrangement for the family. </w:t>
      </w:r>
      <w:r w:rsidRPr="009B36B6">
        <w:rPr>
          <w:sz w:val="20"/>
          <w:szCs w:val="20"/>
          <w:lang w:val="de-DE"/>
        </w:rPr>
        <w:t xml:space="preserve">Zool J Linn Soc 182:50–75. </w:t>
      </w:r>
      <w:r w:rsidR="00421664">
        <w:fldChar w:fldCharType="begin"/>
      </w:r>
      <w:r w:rsidR="00421664" w:rsidRPr="009B36B6">
        <w:rPr>
          <w:lang w:val="de-DE"/>
        </w:rPr>
        <w:instrText xml:space="preserve"> HYPERLINK "https://doi.org/10.1093/zoolinnean/zlx018" </w:instrText>
      </w:r>
      <w:r w:rsidR="00421664">
        <w:fldChar w:fldCharType="separate"/>
      </w:r>
      <w:r w:rsidRPr="009B36B6">
        <w:rPr>
          <w:rStyle w:val="Hyperlink"/>
          <w:sz w:val="20"/>
          <w:szCs w:val="20"/>
          <w:lang w:val="de-DE"/>
        </w:rPr>
        <w:t>https://doi.org/10.1093/zoolinnean/zlx018</w:t>
      </w:r>
      <w:r w:rsidR="00421664">
        <w:rPr>
          <w:rStyle w:val="Hyperlink"/>
          <w:sz w:val="20"/>
          <w:szCs w:val="20"/>
          <w:lang w:val="es-ES"/>
        </w:rPr>
        <w:fldChar w:fldCharType="end"/>
      </w:r>
      <w:r w:rsidRPr="009B36B6">
        <w:rPr>
          <w:sz w:val="20"/>
          <w:szCs w:val="20"/>
          <w:lang w:val="de-DE"/>
        </w:rPr>
        <w:t>.</w:t>
      </w:r>
    </w:p>
    <w:p w14:paraId="4844B64B" w14:textId="7FD03671" w:rsidR="009454AA" w:rsidRPr="009B36B6" w:rsidRDefault="009454AA" w:rsidP="009454AA">
      <w:pPr>
        <w:spacing w:after="80"/>
        <w:ind w:left="540" w:right="26" w:hanging="540"/>
        <w:jc w:val="both"/>
        <w:rPr>
          <w:sz w:val="20"/>
          <w:szCs w:val="20"/>
          <w:lang w:val="de-DE"/>
        </w:rPr>
      </w:pPr>
    </w:p>
    <w:p w14:paraId="6E9B1B99" w14:textId="77777777" w:rsidR="009818C5" w:rsidRPr="009B36B6" w:rsidRDefault="009818C5" w:rsidP="009454AA">
      <w:pPr>
        <w:spacing w:after="80"/>
        <w:ind w:left="540" w:right="26" w:hanging="540"/>
        <w:jc w:val="both"/>
        <w:rPr>
          <w:rFonts w:cs="Arial"/>
          <w:bCs/>
          <w:iCs/>
          <w:sz w:val="20"/>
          <w:szCs w:val="20"/>
          <w:lang w:val="de-DE"/>
        </w:rPr>
        <w:sectPr w:rsidR="009818C5" w:rsidRPr="009B36B6" w:rsidSect="009454AA">
          <w:headerReference w:type="even" r:id="rId48"/>
          <w:headerReference w:type="first" r:id="rId49"/>
          <w:pgSz w:w="11906" w:h="16838" w:code="9"/>
          <w:pgMar w:top="1138" w:right="1138" w:bottom="1138" w:left="1138" w:header="706" w:footer="706" w:gutter="0"/>
          <w:cols w:space="720"/>
          <w:titlePg/>
          <w:docGrid w:linePitch="245"/>
        </w:sectPr>
      </w:pPr>
    </w:p>
    <w:p w14:paraId="5D8D56F6" w14:textId="77777777" w:rsidR="009818C5" w:rsidRPr="009B36B6" w:rsidRDefault="009818C5" w:rsidP="009818C5">
      <w:pPr>
        <w:widowControl/>
        <w:pBdr>
          <w:top w:val="nil"/>
          <w:left w:val="nil"/>
          <w:bottom w:val="nil"/>
          <w:right w:val="nil"/>
          <w:between w:val="nil"/>
          <w:bar w:val="nil"/>
        </w:pBdr>
        <w:autoSpaceDE/>
        <w:autoSpaceDN/>
        <w:adjustRightInd/>
        <w:spacing w:after="160" w:line="276" w:lineRule="auto"/>
        <w:jc w:val="right"/>
        <w:rPr>
          <w:rFonts w:cs="Arial"/>
          <w:b/>
          <w:bCs/>
          <w:sz w:val="22"/>
          <w:szCs w:val="22"/>
          <w:lang w:val="de-DE"/>
        </w:rPr>
      </w:pPr>
      <w:r w:rsidRPr="009B36B6">
        <w:rPr>
          <w:rFonts w:cs="Arial"/>
          <w:b/>
          <w:bCs/>
          <w:sz w:val="22"/>
          <w:szCs w:val="22"/>
          <w:lang w:val="de-DE"/>
        </w:rPr>
        <w:lastRenderedPageBreak/>
        <w:t>ANEXO 2</w:t>
      </w:r>
    </w:p>
    <w:p w14:paraId="124DFD4D" w14:textId="77777777" w:rsidR="009818C5" w:rsidRPr="009B36B6" w:rsidRDefault="009818C5" w:rsidP="009818C5">
      <w:pPr>
        <w:widowControl/>
        <w:pBdr>
          <w:top w:val="nil"/>
          <w:left w:val="nil"/>
          <w:bottom w:val="nil"/>
          <w:right w:val="nil"/>
          <w:between w:val="nil"/>
          <w:bar w:val="nil"/>
        </w:pBdr>
        <w:autoSpaceDE/>
        <w:autoSpaceDN/>
        <w:adjustRightInd/>
        <w:spacing w:after="160" w:line="276" w:lineRule="auto"/>
        <w:jc w:val="both"/>
        <w:rPr>
          <w:rFonts w:cs="Arial"/>
          <w:b/>
          <w:bCs/>
          <w:sz w:val="22"/>
          <w:szCs w:val="22"/>
          <w:lang w:val="de-DE"/>
        </w:rPr>
      </w:pPr>
    </w:p>
    <w:p w14:paraId="54FB35F5" w14:textId="77777777" w:rsidR="009818C5" w:rsidRPr="00074250" w:rsidRDefault="009818C5" w:rsidP="009818C5">
      <w:pPr>
        <w:widowControl/>
        <w:pBdr>
          <w:top w:val="nil"/>
          <w:left w:val="nil"/>
          <w:bottom w:val="nil"/>
          <w:right w:val="nil"/>
          <w:between w:val="nil"/>
          <w:bar w:val="nil"/>
        </w:pBdr>
        <w:autoSpaceDE/>
        <w:autoSpaceDN/>
        <w:adjustRightInd/>
        <w:jc w:val="center"/>
        <w:rPr>
          <w:rFonts w:cs="Arial"/>
          <w:b/>
          <w:bCs/>
          <w:sz w:val="22"/>
          <w:szCs w:val="22"/>
          <w:lang w:val="es-ES"/>
        </w:rPr>
      </w:pPr>
      <w:r w:rsidRPr="00074250">
        <w:rPr>
          <w:rFonts w:cs="Arial"/>
          <w:b/>
          <w:bCs/>
          <w:sz w:val="22"/>
          <w:szCs w:val="22"/>
          <w:lang w:val="es-ES"/>
        </w:rPr>
        <w:t>RECOMENDACIONES A LOS SIGNATARIOS</w:t>
      </w:r>
    </w:p>
    <w:p w14:paraId="4451E0AE" w14:textId="77777777" w:rsidR="009818C5" w:rsidRPr="00074250" w:rsidRDefault="009818C5" w:rsidP="009818C5">
      <w:pPr>
        <w:widowControl/>
        <w:pBdr>
          <w:top w:val="nil"/>
          <w:left w:val="nil"/>
          <w:bottom w:val="nil"/>
          <w:right w:val="nil"/>
          <w:between w:val="nil"/>
          <w:bar w:val="nil"/>
        </w:pBdr>
        <w:autoSpaceDE/>
        <w:autoSpaceDN/>
        <w:adjustRightInd/>
        <w:jc w:val="center"/>
        <w:rPr>
          <w:rFonts w:cs="Arial"/>
          <w:b/>
          <w:bCs/>
          <w:sz w:val="22"/>
          <w:szCs w:val="22"/>
          <w:lang w:val="es-ES"/>
        </w:rPr>
      </w:pPr>
      <w:r w:rsidRPr="00074250">
        <w:rPr>
          <w:rFonts w:cs="Arial"/>
          <w:b/>
          <w:bCs/>
          <w:sz w:val="22"/>
          <w:szCs w:val="22"/>
          <w:lang w:val="es-ES"/>
        </w:rPr>
        <w:t>PARA MEJORAR LAS NOTIFICACIONES DE LOS DATOS DE DESEMBARCOS</w:t>
      </w:r>
    </w:p>
    <w:p w14:paraId="14254389" w14:textId="77777777" w:rsidR="009818C5" w:rsidRPr="00074250" w:rsidRDefault="009818C5" w:rsidP="009818C5">
      <w:pPr>
        <w:widowControl/>
        <w:pBdr>
          <w:top w:val="nil"/>
          <w:left w:val="nil"/>
          <w:bottom w:val="nil"/>
          <w:right w:val="nil"/>
          <w:between w:val="nil"/>
          <w:bar w:val="nil"/>
        </w:pBdr>
        <w:autoSpaceDE/>
        <w:autoSpaceDN/>
        <w:adjustRightInd/>
        <w:jc w:val="center"/>
        <w:rPr>
          <w:rFonts w:cs="Arial"/>
          <w:b/>
          <w:bCs/>
          <w:sz w:val="22"/>
          <w:szCs w:val="22"/>
          <w:lang w:val="es-ES"/>
        </w:rPr>
      </w:pPr>
      <w:r w:rsidRPr="00074250">
        <w:rPr>
          <w:rFonts w:cs="Arial"/>
          <w:b/>
          <w:bCs/>
          <w:sz w:val="22"/>
          <w:szCs w:val="22"/>
          <w:lang w:val="es-ES"/>
        </w:rPr>
        <w:t xml:space="preserve">PARA ESPECIES ENUMERADAS EN EL ANEXO 1 DEL </w:t>
      </w:r>
      <w:proofErr w:type="spellStart"/>
      <w:r w:rsidRPr="00074250">
        <w:rPr>
          <w:rFonts w:cs="Arial"/>
          <w:b/>
          <w:bCs/>
          <w:sz w:val="22"/>
          <w:szCs w:val="22"/>
          <w:lang w:val="es-ES"/>
        </w:rPr>
        <w:t>MdE</w:t>
      </w:r>
      <w:proofErr w:type="spellEnd"/>
      <w:r w:rsidRPr="00074250">
        <w:rPr>
          <w:rFonts w:cs="Arial"/>
          <w:b/>
          <w:bCs/>
          <w:sz w:val="22"/>
          <w:szCs w:val="22"/>
          <w:lang w:val="es-ES"/>
        </w:rPr>
        <w:t xml:space="preserve"> SOBRE TIBURONES</w:t>
      </w:r>
    </w:p>
    <w:p w14:paraId="749CADD1" w14:textId="77777777" w:rsidR="009818C5" w:rsidRPr="00074250" w:rsidRDefault="009818C5" w:rsidP="009818C5">
      <w:pPr>
        <w:widowControl/>
        <w:pBdr>
          <w:top w:val="nil"/>
          <w:left w:val="nil"/>
          <w:bottom w:val="nil"/>
          <w:right w:val="nil"/>
          <w:between w:val="nil"/>
          <w:bar w:val="nil"/>
        </w:pBdr>
        <w:autoSpaceDE/>
        <w:autoSpaceDN/>
        <w:adjustRightInd/>
        <w:jc w:val="both"/>
        <w:rPr>
          <w:rFonts w:cs="Arial"/>
          <w:b/>
          <w:bCs/>
          <w:sz w:val="22"/>
          <w:szCs w:val="22"/>
          <w:lang w:val="es-ES"/>
        </w:rPr>
      </w:pPr>
    </w:p>
    <w:p w14:paraId="087FD880" w14:textId="77777777" w:rsidR="009818C5" w:rsidRPr="00074250" w:rsidRDefault="009818C5" w:rsidP="009818C5">
      <w:pPr>
        <w:widowControl/>
        <w:pBdr>
          <w:top w:val="nil"/>
          <w:left w:val="nil"/>
          <w:bottom w:val="nil"/>
          <w:right w:val="nil"/>
          <w:between w:val="nil"/>
          <w:bar w:val="nil"/>
        </w:pBdr>
        <w:autoSpaceDE/>
        <w:autoSpaceDN/>
        <w:adjustRightInd/>
        <w:jc w:val="both"/>
        <w:rPr>
          <w:rFonts w:cs="Arial"/>
          <w:sz w:val="22"/>
          <w:szCs w:val="22"/>
          <w:lang w:val="es-ES"/>
        </w:rPr>
      </w:pPr>
    </w:p>
    <w:p w14:paraId="39C51CF8" w14:textId="2BA16D16" w:rsidR="009818C5" w:rsidRPr="00074250" w:rsidRDefault="009818C5" w:rsidP="009818C5">
      <w:pPr>
        <w:widowControl/>
        <w:pBdr>
          <w:top w:val="nil"/>
          <w:left w:val="nil"/>
          <w:bottom w:val="nil"/>
          <w:right w:val="nil"/>
          <w:between w:val="nil"/>
          <w:bar w:val="nil"/>
        </w:pBdr>
        <w:autoSpaceDE/>
        <w:autoSpaceDN/>
        <w:adjustRightInd/>
        <w:jc w:val="both"/>
        <w:rPr>
          <w:rFonts w:cs="Arial"/>
          <w:sz w:val="22"/>
          <w:szCs w:val="22"/>
          <w:lang w:val="es-ES"/>
        </w:rPr>
      </w:pPr>
      <w:r w:rsidRPr="00074250">
        <w:rPr>
          <w:rFonts w:cs="Arial"/>
          <w:sz w:val="22"/>
          <w:szCs w:val="22"/>
          <w:lang w:val="es-ES"/>
        </w:rPr>
        <w:t xml:space="preserve">Para usar de manera efectiva los datos de la FAO para el seguimiento de las tendencias mundiales de desembarcos notificados de las especies enumeradas, es necesario mejorar la calidad de los datos relacionados con (1) resolución taxonómica, (2) integridad de los datos y (3) control de calidad. </w:t>
      </w:r>
    </w:p>
    <w:p w14:paraId="6AE29C83" w14:textId="77777777" w:rsidR="009818C5" w:rsidRPr="00074250" w:rsidRDefault="009818C5" w:rsidP="009818C5">
      <w:pPr>
        <w:widowControl/>
        <w:pBdr>
          <w:top w:val="nil"/>
          <w:left w:val="nil"/>
          <w:bottom w:val="nil"/>
          <w:right w:val="nil"/>
          <w:between w:val="nil"/>
          <w:bar w:val="nil"/>
        </w:pBdr>
        <w:autoSpaceDE/>
        <w:autoSpaceDN/>
        <w:adjustRightInd/>
        <w:jc w:val="both"/>
        <w:rPr>
          <w:rFonts w:cs="Arial"/>
          <w:sz w:val="22"/>
          <w:szCs w:val="22"/>
          <w:lang w:val="es-ES"/>
        </w:rPr>
      </w:pPr>
    </w:p>
    <w:p w14:paraId="59F51B40" w14:textId="129B3E49" w:rsidR="009818C5" w:rsidRPr="00074250" w:rsidRDefault="009818C5" w:rsidP="002C7D6A">
      <w:pPr>
        <w:widowControl/>
        <w:numPr>
          <w:ilvl w:val="0"/>
          <w:numId w:val="24"/>
        </w:numPr>
        <w:pBdr>
          <w:top w:val="nil"/>
          <w:left w:val="nil"/>
          <w:bottom w:val="nil"/>
          <w:right w:val="nil"/>
          <w:between w:val="nil"/>
          <w:bar w:val="nil"/>
        </w:pBdr>
        <w:autoSpaceDE/>
        <w:autoSpaceDN/>
        <w:adjustRightInd/>
        <w:ind w:left="540" w:hanging="567"/>
        <w:contextualSpacing/>
        <w:jc w:val="both"/>
        <w:rPr>
          <w:rFonts w:cs="Arial"/>
          <w:b/>
          <w:bCs/>
          <w:sz w:val="22"/>
          <w:szCs w:val="22"/>
          <w:lang w:val="es-ES"/>
        </w:rPr>
      </w:pPr>
      <w:r w:rsidRPr="00074250">
        <w:rPr>
          <w:rFonts w:cs="Arial"/>
          <w:b/>
          <w:bCs/>
          <w:sz w:val="22"/>
          <w:szCs w:val="22"/>
          <w:lang w:val="es-ES"/>
        </w:rPr>
        <w:t>Resolución taxonómica:</w:t>
      </w:r>
    </w:p>
    <w:p w14:paraId="68B13130" w14:textId="77777777" w:rsidR="009818C5" w:rsidRPr="00074250" w:rsidRDefault="009818C5" w:rsidP="009818C5">
      <w:pPr>
        <w:widowControl/>
        <w:pBdr>
          <w:top w:val="nil"/>
          <w:left w:val="nil"/>
          <w:bottom w:val="nil"/>
          <w:right w:val="nil"/>
          <w:between w:val="nil"/>
          <w:bar w:val="nil"/>
        </w:pBdr>
        <w:autoSpaceDE/>
        <w:autoSpaceDN/>
        <w:adjustRightInd/>
        <w:ind w:left="567"/>
        <w:contextualSpacing/>
        <w:jc w:val="both"/>
        <w:rPr>
          <w:rFonts w:cs="Arial"/>
          <w:b/>
          <w:bCs/>
          <w:sz w:val="22"/>
          <w:szCs w:val="22"/>
          <w:lang w:val="es-ES"/>
        </w:rPr>
      </w:pPr>
    </w:p>
    <w:p w14:paraId="2B235931" w14:textId="6920F26C" w:rsidR="009818C5" w:rsidRPr="00074250" w:rsidRDefault="000B20EF" w:rsidP="009818C5">
      <w:pPr>
        <w:widowControl/>
        <w:pBdr>
          <w:top w:val="nil"/>
          <w:left w:val="nil"/>
          <w:bottom w:val="nil"/>
          <w:right w:val="nil"/>
          <w:between w:val="nil"/>
          <w:bar w:val="nil"/>
        </w:pBdr>
        <w:autoSpaceDE/>
        <w:autoSpaceDN/>
        <w:adjustRightInd/>
        <w:jc w:val="both"/>
        <w:rPr>
          <w:rFonts w:cs="Arial"/>
          <w:sz w:val="22"/>
          <w:szCs w:val="22"/>
          <w:lang w:val="es-ES"/>
        </w:rPr>
      </w:pPr>
      <w:r w:rsidRPr="00074250">
        <w:rPr>
          <w:rFonts w:cs="Arial"/>
          <w:sz w:val="22"/>
          <w:szCs w:val="22"/>
          <w:lang w:val="es-ES"/>
        </w:rPr>
        <w:t>E</w:t>
      </w:r>
      <w:r w:rsidR="009818C5" w:rsidRPr="00074250">
        <w:rPr>
          <w:rFonts w:cs="Arial"/>
          <w:sz w:val="22"/>
          <w:szCs w:val="22"/>
          <w:lang w:val="es-ES"/>
        </w:rPr>
        <w:t xml:space="preserve">l nivel de incertidumbre de los desembarcos notificados que puedan incluir las especies enumeradas en el Anexo 1 del </w:t>
      </w:r>
      <w:proofErr w:type="spellStart"/>
      <w:r w:rsidR="009818C5" w:rsidRPr="00074250">
        <w:rPr>
          <w:rFonts w:cs="Arial"/>
          <w:sz w:val="22"/>
          <w:szCs w:val="22"/>
          <w:lang w:val="es-ES"/>
        </w:rPr>
        <w:t>MdE</w:t>
      </w:r>
      <w:proofErr w:type="spellEnd"/>
      <w:r w:rsidR="009818C5" w:rsidRPr="00074250">
        <w:rPr>
          <w:rFonts w:cs="Arial"/>
          <w:sz w:val="22"/>
          <w:szCs w:val="22"/>
          <w:lang w:val="es-ES"/>
        </w:rPr>
        <w:t xml:space="preserve"> sobre Tiburones es bastante alto en algunas regiones. </w:t>
      </w:r>
    </w:p>
    <w:p w14:paraId="2D43CAAD" w14:textId="77777777" w:rsidR="009818C5" w:rsidRPr="00074250" w:rsidRDefault="009818C5" w:rsidP="009818C5">
      <w:pPr>
        <w:widowControl/>
        <w:pBdr>
          <w:top w:val="nil"/>
          <w:left w:val="nil"/>
          <w:bottom w:val="nil"/>
          <w:right w:val="nil"/>
          <w:between w:val="nil"/>
          <w:bar w:val="nil"/>
        </w:pBdr>
        <w:autoSpaceDE/>
        <w:autoSpaceDN/>
        <w:adjustRightInd/>
        <w:jc w:val="both"/>
        <w:rPr>
          <w:rFonts w:cs="Arial"/>
          <w:sz w:val="22"/>
          <w:szCs w:val="22"/>
          <w:lang w:val="es-ES"/>
        </w:rPr>
      </w:pPr>
    </w:p>
    <w:p w14:paraId="062178B5" w14:textId="77777777" w:rsidR="009818C5" w:rsidRPr="00074250" w:rsidRDefault="009818C5" w:rsidP="002C7D6A">
      <w:pPr>
        <w:widowControl/>
        <w:numPr>
          <w:ilvl w:val="1"/>
          <w:numId w:val="25"/>
        </w:numPr>
        <w:pBdr>
          <w:top w:val="nil"/>
          <w:left w:val="nil"/>
          <w:bottom w:val="nil"/>
          <w:right w:val="nil"/>
          <w:between w:val="nil"/>
          <w:bar w:val="nil"/>
        </w:pBdr>
        <w:autoSpaceDE/>
        <w:autoSpaceDN/>
        <w:adjustRightInd/>
        <w:ind w:left="900"/>
        <w:contextualSpacing/>
        <w:jc w:val="both"/>
        <w:rPr>
          <w:rFonts w:cs="Arial"/>
          <w:sz w:val="22"/>
          <w:szCs w:val="22"/>
          <w:lang w:val="es-ES"/>
        </w:rPr>
      </w:pPr>
      <w:r w:rsidRPr="00074250">
        <w:rPr>
          <w:rFonts w:cs="Arial"/>
          <w:sz w:val="22"/>
          <w:szCs w:val="22"/>
          <w:lang w:val="es-ES"/>
        </w:rPr>
        <w:t>Los Signatarios deberían evaluar su recogida de datos nacionales y sus sistemas de notificación y asegurarse de que todos los desembarcos se notifican a nivel de especie (o género cuando sea más apropiado);</w:t>
      </w:r>
    </w:p>
    <w:p w14:paraId="4D206B4E" w14:textId="77777777" w:rsidR="009818C5" w:rsidRPr="00074250" w:rsidRDefault="009818C5" w:rsidP="009818C5">
      <w:pPr>
        <w:widowControl/>
        <w:pBdr>
          <w:top w:val="nil"/>
          <w:left w:val="nil"/>
          <w:bottom w:val="nil"/>
          <w:right w:val="nil"/>
          <w:between w:val="nil"/>
          <w:bar w:val="nil"/>
        </w:pBdr>
        <w:autoSpaceDE/>
        <w:autoSpaceDN/>
        <w:adjustRightInd/>
        <w:ind w:left="900" w:hanging="360"/>
        <w:contextualSpacing/>
        <w:jc w:val="both"/>
        <w:rPr>
          <w:rFonts w:cs="Arial"/>
          <w:sz w:val="22"/>
          <w:szCs w:val="22"/>
          <w:lang w:val="es-ES"/>
        </w:rPr>
      </w:pPr>
    </w:p>
    <w:p w14:paraId="6FC167F9" w14:textId="77777777" w:rsidR="009818C5" w:rsidRPr="00074250" w:rsidRDefault="009818C5" w:rsidP="002C7D6A">
      <w:pPr>
        <w:widowControl/>
        <w:numPr>
          <w:ilvl w:val="1"/>
          <w:numId w:val="25"/>
        </w:numPr>
        <w:pBdr>
          <w:top w:val="nil"/>
          <w:left w:val="nil"/>
          <w:bottom w:val="nil"/>
          <w:right w:val="nil"/>
          <w:between w:val="nil"/>
          <w:bar w:val="nil"/>
        </w:pBdr>
        <w:autoSpaceDE/>
        <w:autoSpaceDN/>
        <w:adjustRightInd/>
        <w:ind w:left="900"/>
        <w:contextualSpacing/>
        <w:jc w:val="both"/>
        <w:rPr>
          <w:rFonts w:cs="Arial"/>
          <w:sz w:val="22"/>
          <w:szCs w:val="22"/>
          <w:lang w:val="es-ES"/>
        </w:rPr>
      </w:pPr>
      <w:r w:rsidRPr="00074250">
        <w:rPr>
          <w:rFonts w:cs="Arial"/>
          <w:sz w:val="22"/>
          <w:szCs w:val="22"/>
          <w:lang w:val="es-ES"/>
        </w:rPr>
        <w:t xml:space="preserve">los Signatarios deberían proporcionar formación, cuando sea necesario, para permitir a los pescadores, personal portuario y a los observadores identificar sistemáticamente las especies enumeradas en el </w:t>
      </w:r>
      <w:proofErr w:type="spellStart"/>
      <w:r w:rsidRPr="00074250">
        <w:rPr>
          <w:rFonts w:cs="Arial"/>
          <w:sz w:val="22"/>
          <w:szCs w:val="22"/>
          <w:lang w:val="es-ES"/>
        </w:rPr>
        <w:t>MdE</w:t>
      </w:r>
      <w:proofErr w:type="spellEnd"/>
      <w:r w:rsidRPr="00074250">
        <w:rPr>
          <w:rFonts w:cs="Arial"/>
          <w:sz w:val="22"/>
          <w:szCs w:val="22"/>
          <w:lang w:val="es-ES"/>
        </w:rPr>
        <w:t xml:space="preserve"> sobre tiburones a nivel de especie a lo largo del tiempo;</w:t>
      </w:r>
    </w:p>
    <w:p w14:paraId="69BEB716" w14:textId="77777777" w:rsidR="009818C5" w:rsidRPr="00074250" w:rsidRDefault="009818C5" w:rsidP="009818C5">
      <w:pPr>
        <w:widowControl/>
        <w:pBdr>
          <w:top w:val="nil"/>
          <w:left w:val="nil"/>
          <w:bottom w:val="nil"/>
          <w:right w:val="nil"/>
          <w:between w:val="nil"/>
          <w:bar w:val="nil"/>
        </w:pBdr>
        <w:autoSpaceDE/>
        <w:autoSpaceDN/>
        <w:adjustRightInd/>
        <w:ind w:left="900" w:hanging="360"/>
        <w:contextualSpacing/>
        <w:jc w:val="both"/>
        <w:rPr>
          <w:rFonts w:cs="Arial"/>
          <w:sz w:val="22"/>
          <w:szCs w:val="22"/>
          <w:lang w:val="es-ES"/>
        </w:rPr>
      </w:pPr>
    </w:p>
    <w:p w14:paraId="5482BC1B" w14:textId="77777777" w:rsidR="009818C5" w:rsidRPr="00074250" w:rsidRDefault="009818C5" w:rsidP="002C7D6A">
      <w:pPr>
        <w:widowControl/>
        <w:numPr>
          <w:ilvl w:val="1"/>
          <w:numId w:val="25"/>
        </w:numPr>
        <w:pBdr>
          <w:top w:val="nil"/>
          <w:left w:val="nil"/>
          <w:bottom w:val="nil"/>
          <w:right w:val="nil"/>
          <w:between w:val="nil"/>
          <w:bar w:val="nil"/>
        </w:pBdr>
        <w:autoSpaceDE/>
        <w:autoSpaceDN/>
        <w:adjustRightInd/>
        <w:ind w:left="900"/>
        <w:contextualSpacing/>
        <w:jc w:val="both"/>
        <w:rPr>
          <w:rFonts w:cs="Arial"/>
          <w:sz w:val="22"/>
          <w:szCs w:val="22"/>
          <w:lang w:val="es-ES"/>
        </w:rPr>
      </w:pPr>
      <w:r w:rsidRPr="00074250">
        <w:rPr>
          <w:rFonts w:cs="Arial"/>
          <w:sz w:val="22"/>
          <w:szCs w:val="22"/>
          <w:lang w:val="es-ES"/>
        </w:rPr>
        <w:t>los Signatarios deberían fortalecer los procedimientos de control en los puntos de desembarco para asegurar su cumplimiento y mejorar la supervisión, educación y ejecución donde sea necesario;</w:t>
      </w:r>
    </w:p>
    <w:p w14:paraId="36772DFA" w14:textId="77777777" w:rsidR="009818C5" w:rsidRPr="00074250" w:rsidRDefault="009818C5" w:rsidP="009818C5">
      <w:pPr>
        <w:widowControl/>
        <w:pBdr>
          <w:top w:val="nil"/>
          <w:left w:val="nil"/>
          <w:bottom w:val="nil"/>
          <w:right w:val="nil"/>
          <w:between w:val="nil"/>
          <w:bar w:val="nil"/>
        </w:pBdr>
        <w:autoSpaceDE/>
        <w:autoSpaceDN/>
        <w:adjustRightInd/>
        <w:ind w:left="900" w:hanging="360"/>
        <w:contextualSpacing/>
        <w:jc w:val="both"/>
        <w:rPr>
          <w:rFonts w:cs="Arial"/>
          <w:sz w:val="22"/>
          <w:szCs w:val="22"/>
          <w:lang w:val="es-ES"/>
        </w:rPr>
      </w:pPr>
    </w:p>
    <w:p w14:paraId="152BA551" w14:textId="77777777" w:rsidR="009818C5" w:rsidRPr="00074250" w:rsidRDefault="009818C5" w:rsidP="002C7D6A">
      <w:pPr>
        <w:widowControl/>
        <w:numPr>
          <w:ilvl w:val="1"/>
          <w:numId w:val="25"/>
        </w:numPr>
        <w:pBdr>
          <w:top w:val="nil"/>
          <w:left w:val="nil"/>
          <w:bottom w:val="nil"/>
          <w:right w:val="nil"/>
          <w:between w:val="nil"/>
          <w:bar w:val="nil"/>
        </w:pBdr>
        <w:autoSpaceDE/>
        <w:autoSpaceDN/>
        <w:adjustRightInd/>
        <w:ind w:left="900"/>
        <w:contextualSpacing/>
        <w:jc w:val="both"/>
        <w:rPr>
          <w:rFonts w:cs="Arial"/>
          <w:sz w:val="22"/>
          <w:szCs w:val="22"/>
          <w:lang w:val="es-ES"/>
        </w:rPr>
      </w:pPr>
      <w:r w:rsidRPr="00074250">
        <w:rPr>
          <w:rFonts w:cs="Arial"/>
          <w:sz w:val="22"/>
          <w:szCs w:val="22"/>
          <w:lang w:val="es-ES"/>
        </w:rPr>
        <w:t>se deben alentar los esfuerzos colaborativos para mejorar la resolución taxonómica de desembarcos de tiburones y rayas entre los Signatarios y otros Estados del Área de Distribución no signatarios pertinentes para los que se ha notificado una elevada proporción de desembarcos en las categorías conjunta y genérica. Los conocimientos técnicos y la capacidad de los Signatarios de notificar proporciones mayores de desembarcos de nivel específico de especie (incluyendo financiación de los programas de observación de pesca y formación) son fundamentales para mejorar las notificaciones mundiales;</w:t>
      </w:r>
    </w:p>
    <w:p w14:paraId="4671D191" w14:textId="77777777" w:rsidR="009818C5" w:rsidRPr="00074250" w:rsidRDefault="009818C5" w:rsidP="009818C5">
      <w:pPr>
        <w:widowControl/>
        <w:pBdr>
          <w:top w:val="nil"/>
          <w:left w:val="nil"/>
          <w:bottom w:val="nil"/>
          <w:right w:val="nil"/>
          <w:between w:val="nil"/>
          <w:bar w:val="nil"/>
        </w:pBdr>
        <w:autoSpaceDE/>
        <w:autoSpaceDN/>
        <w:adjustRightInd/>
        <w:ind w:left="900" w:hanging="360"/>
        <w:contextualSpacing/>
        <w:jc w:val="both"/>
        <w:rPr>
          <w:rFonts w:cs="Arial"/>
          <w:sz w:val="22"/>
          <w:szCs w:val="22"/>
          <w:lang w:val="es-ES"/>
        </w:rPr>
      </w:pPr>
    </w:p>
    <w:p w14:paraId="178189E9" w14:textId="77777777" w:rsidR="009818C5" w:rsidRPr="00074250" w:rsidRDefault="009818C5" w:rsidP="002C7D6A">
      <w:pPr>
        <w:widowControl/>
        <w:numPr>
          <w:ilvl w:val="1"/>
          <w:numId w:val="25"/>
        </w:numPr>
        <w:pBdr>
          <w:top w:val="nil"/>
          <w:left w:val="nil"/>
          <w:bottom w:val="nil"/>
          <w:right w:val="nil"/>
          <w:between w:val="nil"/>
          <w:bar w:val="nil"/>
        </w:pBdr>
        <w:autoSpaceDE/>
        <w:autoSpaceDN/>
        <w:adjustRightInd/>
        <w:ind w:left="900"/>
        <w:contextualSpacing/>
        <w:jc w:val="both"/>
        <w:rPr>
          <w:rFonts w:cs="Arial"/>
          <w:sz w:val="22"/>
          <w:szCs w:val="22"/>
          <w:lang w:val="es-ES"/>
        </w:rPr>
      </w:pPr>
      <w:r w:rsidRPr="00074250">
        <w:rPr>
          <w:rFonts w:cs="Arial"/>
          <w:sz w:val="22"/>
          <w:szCs w:val="22"/>
          <w:lang w:val="es-ES"/>
        </w:rPr>
        <w:t xml:space="preserve">debe considerarse la conveniencia de introducir los códigos ASFIS a la FAO para todas las especies enumeradas en el </w:t>
      </w:r>
      <w:proofErr w:type="spellStart"/>
      <w:r w:rsidRPr="00074250">
        <w:rPr>
          <w:rFonts w:cs="Arial"/>
          <w:sz w:val="22"/>
          <w:szCs w:val="22"/>
          <w:lang w:val="es-ES"/>
        </w:rPr>
        <w:t>MdE</w:t>
      </w:r>
      <w:proofErr w:type="spellEnd"/>
      <w:r w:rsidRPr="00074250">
        <w:rPr>
          <w:rFonts w:cs="Arial"/>
          <w:sz w:val="22"/>
          <w:szCs w:val="22"/>
          <w:lang w:val="es-ES"/>
        </w:rPr>
        <w:t xml:space="preserve"> sobre tiburones. En concreto, no existen códigos ASFIS actualmente para el </w:t>
      </w:r>
      <w:proofErr w:type="spellStart"/>
      <w:r w:rsidRPr="00074250">
        <w:rPr>
          <w:rFonts w:cs="Arial"/>
          <w:sz w:val="22"/>
          <w:szCs w:val="22"/>
          <w:lang w:val="es-ES"/>
        </w:rPr>
        <w:t>Rhynchobatus</w:t>
      </w:r>
      <w:proofErr w:type="spellEnd"/>
      <w:r w:rsidRPr="00074250">
        <w:rPr>
          <w:rFonts w:cs="Arial"/>
          <w:sz w:val="22"/>
          <w:szCs w:val="22"/>
          <w:lang w:val="es-ES"/>
        </w:rPr>
        <w:t xml:space="preserve"> </w:t>
      </w:r>
      <w:proofErr w:type="spellStart"/>
      <w:r w:rsidRPr="00074250">
        <w:rPr>
          <w:rFonts w:cs="Arial"/>
          <w:sz w:val="22"/>
          <w:szCs w:val="22"/>
          <w:lang w:val="es-ES"/>
        </w:rPr>
        <w:t>laevis</w:t>
      </w:r>
      <w:proofErr w:type="spellEnd"/>
      <w:r w:rsidRPr="00074250">
        <w:rPr>
          <w:rFonts w:cs="Arial"/>
          <w:sz w:val="22"/>
          <w:szCs w:val="22"/>
          <w:lang w:val="es-ES"/>
        </w:rPr>
        <w:t>;</w:t>
      </w:r>
    </w:p>
    <w:p w14:paraId="5F946824" w14:textId="77777777" w:rsidR="009818C5" w:rsidRPr="00074250" w:rsidRDefault="009818C5" w:rsidP="009818C5">
      <w:pPr>
        <w:widowControl/>
        <w:pBdr>
          <w:top w:val="nil"/>
          <w:left w:val="nil"/>
          <w:bottom w:val="nil"/>
          <w:right w:val="nil"/>
          <w:between w:val="nil"/>
          <w:bar w:val="nil"/>
        </w:pBdr>
        <w:autoSpaceDE/>
        <w:autoSpaceDN/>
        <w:adjustRightInd/>
        <w:ind w:left="900" w:hanging="360"/>
        <w:contextualSpacing/>
        <w:jc w:val="both"/>
        <w:rPr>
          <w:rFonts w:cs="Arial"/>
          <w:sz w:val="22"/>
          <w:szCs w:val="22"/>
          <w:lang w:val="es-ES"/>
        </w:rPr>
      </w:pPr>
    </w:p>
    <w:p w14:paraId="5B6C0544" w14:textId="77777777" w:rsidR="009818C5" w:rsidRPr="00074250" w:rsidRDefault="009818C5" w:rsidP="002C7D6A">
      <w:pPr>
        <w:widowControl/>
        <w:numPr>
          <w:ilvl w:val="1"/>
          <w:numId w:val="25"/>
        </w:numPr>
        <w:pBdr>
          <w:top w:val="nil"/>
          <w:left w:val="nil"/>
          <w:bottom w:val="nil"/>
          <w:right w:val="nil"/>
          <w:between w:val="nil"/>
          <w:bar w:val="nil"/>
        </w:pBdr>
        <w:autoSpaceDE/>
        <w:autoSpaceDN/>
        <w:adjustRightInd/>
        <w:ind w:left="900"/>
        <w:contextualSpacing/>
        <w:jc w:val="both"/>
        <w:rPr>
          <w:rFonts w:cs="Arial"/>
          <w:sz w:val="22"/>
          <w:szCs w:val="22"/>
          <w:lang w:val="es-ES"/>
        </w:rPr>
      </w:pPr>
      <w:r w:rsidRPr="00074250">
        <w:rPr>
          <w:rFonts w:cs="Arial"/>
          <w:sz w:val="22"/>
          <w:szCs w:val="22"/>
          <w:lang w:val="es-ES"/>
        </w:rPr>
        <w:t>Si es posible, cuando se produzcan mejoras en las notificaciones, reconstruir los desembarcos históricos (capturas) para minimizar las perturbaciones con series temporales.</w:t>
      </w:r>
    </w:p>
    <w:p w14:paraId="5A12F9E3" w14:textId="70B8E0E4" w:rsidR="009818C5" w:rsidRPr="00074250" w:rsidRDefault="009818C5" w:rsidP="009818C5">
      <w:pPr>
        <w:widowControl/>
        <w:pBdr>
          <w:top w:val="nil"/>
          <w:left w:val="nil"/>
          <w:bottom w:val="nil"/>
          <w:right w:val="nil"/>
          <w:between w:val="nil"/>
          <w:bar w:val="nil"/>
        </w:pBdr>
        <w:autoSpaceDE/>
        <w:autoSpaceDN/>
        <w:adjustRightInd/>
        <w:jc w:val="both"/>
        <w:rPr>
          <w:rFonts w:cs="Arial"/>
          <w:b/>
          <w:bCs/>
          <w:sz w:val="22"/>
          <w:szCs w:val="22"/>
          <w:lang w:val="es-ES"/>
        </w:rPr>
      </w:pPr>
    </w:p>
    <w:p w14:paraId="250960CB" w14:textId="0490D441" w:rsidR="009818C5" w:rsidRPr="00074250" w:rsidRDefault="009818C5" w:rsidP="002C7D6A">
      <w:pPr>
        <w:pStyle w:val="ListParagraph"/>
        <w:widowControl/>
        <w:numPr>
          <w:ilvl w:val="0"/>
          <w:numId w:val="24"/>
        </w:numPr>
        <w:pBdr>
          <w:top w:val="nil"/>
          <w:left w:val="nil"/>
          <w:bottom w:val="nil"/>
          <w:right w:val="nil"/>
          <w:between w:val="nil"/>
          <w:bar w:val="nil"/>
        </w:pBdr>
        <w:autoSpaceDE/>
        <w:autoSpaceDN/>
        <w:adjustRightInd/>
        <w:ind w:left="540" w:hanging="540"/>
        <w:jc w:val="both"/>
        <w:rPr>
          <w:rFonts w:cs="Arial"/>
          <w:b/>
          <w:bCs/>
          <w:sz w:val="22"/>
          <w:szCs w:val="22"/>
          <w:lang w:val="es-ES"/>
        </w:rPr>
      </w:pPr>
      <w:r w:rsidRPr="00074250">
        <w:rPr>
          <w:rFonts w:cs="Arial"/>
          <w:b/>
          <w:bCs/>
          <w:sz w:val="22"/>
          <w:szCs w:val="22"/>
          <w:lang w:val="es-ES"/>
        </w:rPr>
        <w:t>Integridad de los datos:</w:t>
      </w:r>
    </w:p>
    <w:p w14:paraId="183D5920" w14:textId="77777777" w:rsidR="009818C5" w:rsidRPr="00074250" w:rsidRDefault="009818C5" w:rsidP="009818C5">
      <w:pPr>
        <w:pStyle w:val="ListParagraph"/>
        <w:widowControl/>
        <w:pBdr>
          <w:top w:val="nil"/>
          <w:left w:val="nil"/>
          <w:bottom w:val="nil"/>
          <w:right w:val="nil"/>
          <w:between w:val="nil"/>
          <w:bar w:val="nil"/>
        </w:pBdr>
        <w:autoSpaceDE/>
        <w:autoSpaceDN/>
        <w:adjustRightInd/>
        <w:jc w:val="both"/>
        <w:rPr>
          <w:rFonts w:cs="Arial"/>
          <w:b/>
          <w:bCs/>
          <w:sz w:val="22"/>
          <w:szCs w:val="22"/>
          <w:lang w:val="es-ES"/>
        </w:rPr>
      </w:pPr>
    </w:p>
    <w:p w14:paraId="73D311BA" w14:textId="371C4A35" w:rsidR="009818C5" w:rsidRPr="00074250" w:rsidRDefault="009818C5" w:rsidP="009818C5">
      <w:pPr>
        <w:widowControl/>
        <w:pBdr>
          <w:top w:val="nil"/>
          <w:left w:val="nil"/>
          <w:bottom w:val="nil"/>
          <w:right w:val="nil"/>
          <w:between w:val="nil"/>
          <w:bar w:val="nil"/>
        </w:pBdr>
        <w:autoSpaceDE/>
        <w:autoSpaceDN/>
        <w:adjustRightInd/>
        <w:jc w:val="both"/>
        <w:rPr>
          <w:rFonts w:cs="Arial"/>
          <w:sz w:val="22"/>
          <w:szCs w:val="22"/>
          <w:lang w:val="es-ES"/>
        </w:rPr>
      </w:pPr>
      <w:r w:rsidRPr="00074250">
        <w:rPr>
          <w:rFonts w:cs="Arial"/>
          <w:sz w:val="22"/>
          <w:szCs w:val="22"/>
          <w:lang w:val="es-ES"/>
        </w:rPr>
        <w:t xml:space="preserve">Los datos notificados a la FAO se consideraron incompletos debido a carencias e inconsistencia para diferentes especies y naciones, por lo cual, se necesita una notificación de datos más estandarizada. </w:t>
      </w:r>
    </w:p>
    <w:p w14:paraId="535794E4" w14:textId="77777777" w:rsidR="009818C5" w:rsidRPr="00074250" w:rsidRDefault="009818C5" w:rsidP="009818C5">
      <w:pPr>
        <w:widowControl/>
        <w:pBdr>
          <w:top w:val="nil"/>
          <w:left w:val="nil"/>
          <w:bottom w:val="nil"/>
          <w:right w:val="nil"/>
          <w:between w:val="nil"/>
          <w:bar w:val="nil"/>
        </w:pBdr>
        <w:autoSpaceDE/>
        <w:autoSpaceDN/>
        <w:adjustRightInd/>
        <w:jc w:val="both"/>
        <w:rPr>
          <w:rFonts w:cs="Arial"/>
          <w:sz w:val="22"/>
          <w:szCs w:val="22"/>
          <w:lang w:val="es-ES"/>
        </w:rPr>
      </w:pPr>
    </w:p>
    <w:p w14:paraId="035BFF70" w14:textId="77777777" w:rsidR="009818C5" w:rsidRPr="00074250" w:rsidRDefault="009818C5" w:rsidP="002C7D6A">
      <w:pPr>
        <w:widowControl/>
        <w:numPr>
          <w:ilvl w:val="0"/>
          <w:numId w:val="26"/>
        </w:numPr>
        <w:pBdr>
          <w:top w:val="nil"/>
          <w:left w:val="nil"/>
          <w:bottom w:val="nil"/>
          <w:right w:val="nil"/>
          <w:between w:val="nil"/>
          <w:bar w:val="nil"/>
        </w:pBdr>
        <w:autoSpaceDE/>
        <w:autoSpaceDN/>
        <w:adjustRightInd/>
        <w:ind w:left="900"/>
        <w:contextualSpacing/>
        <w:jc w:val="both"/>
        <w:rPr>
          <w:rFonts w:cs="Arial"/>
          <w:sz w:val="22"/>
          <w:szCs w:val="22"/>
          <w:lang w:val="es-ES"/>
        </w:rPr>
      </w:pPr>
      <w:r w:rsidRPr="00074250">
        <w:rPr>
          <w:rFonts w:cs="Arial"/>
          <w:sz w:val="22"/>
          <w:szCs w:val="22"/>
          <w:lang w:val="es-ES"/>
        </w:rPr>
        <w:t>Se insta a los Signatarios a comparar los datos de desembarcos nacionales con aquellos datos reunidos por la FAO (y otras bases de datos regionales) y también a revisar y armonizar fuentes para ofrecer datos más precisos en términos temporales y espaciales;</w:t>
      </w:r>
    </w:p>
    <w:p w14:paraId="7B6330B1" w14:textId="77777777" w:rsidR="009818C5" w:rsidRPr="00074250" w:rsidRDefault="009818C5" w:rsidP="009818C5">
      <w:pPr>
        <w:widowControl/>
        <w:pBdr>
          <w:top w:val="nil"/>
          <w:left w:val="nil"/>
          <w:bottom w:val="nil"/>
          <w:right w:val="nil"/>
          <w:between w:val="nil"/>
          <w:bar w:val="nil"/>
        </w:pBdr>
        <w:autoSpaceDE/>
        <w:autoSpaceDN/>
        <w:adjustRightInd/>
        <w:ind w:left="900" w:hanging="360"/>
        <w:contextualSpacing/>
        <w:jc w:val="both"/>
        <w:rPr>
          <w:rFonts w:cs="Arial"/>
          <w:sz w:val="22"/>
          <w:szCs w:val="22"/>
          <w:lang w:val="es-ES"/>
        </w:rPr>
      </w:pPr>
    </w:p>
    <w:p w14:paraId="275001AB" w14:textId="77777777" w:rsidR="009818C5" w:rsidRPr="00074250" w:rsidRDefault="009818C5" w:rsidP="002C7D6A">
      <w:pPr>
        <w:widowControl/>
        <w:numPr>
          <w:ilvl w:val="0"/>
          <w:numId w:val="26"/>
        </w:numPr>
        <w:pBdr>
          <w:top w:val="nil"/>
          <w:left w:val="nil"/>
          <w:bottom w:val="nil"/>
          <w:right w:val="nil"/>
          <w:between w:val="nil"/>
          <w:bar w:val="nil"/>
        </w:pBdr>
        <w:autoSpaceDE/>
        <w:autoSpaceDN/>
        <w:adjustRightInd/>
        <w:ind w:left="900"/>
        <w:contextualSpacing/>
        <w:jc w:val="both"/>
        <w:rPr>
          <w:rFonts w:cs="Arial"/>
          <w:sz w:val="22"/>
          <w:szCs w:val="22"/>
          <w:lang w:val="es-ES"/>
        </w:rPr>
      </w:pPr>
      <w:r w:rsidRPr="00074250">
        <w:rPr>
          <w:rFonts w:cs="Arial"/>
          <w:sz w:val="22"/>
          <w:szCs w:val="22"/>
          <w:lang w:val="es-ES"/>
        </w:rPr>
        <w:lastRenderedPageBreak/>
        <w:t>se insta a los Signatarios que actualmente no notifican datos a la FAO a enviar sus datos y a informar a los organismos pertinentes si hay problemas específicos que limiten o impidan dicha notificación;</w:t>
      </w:r>
    </w:p>
    <w:p w14:paraId="435CD144" w14:textId="77777777" w:rsidR="009818C5" w:rsidRPr="00074250" w:rsidRDefault="009818C5" w:rsidP="009818C5">
      <w:pPr>
        <w:widowControl/>
        <w:pBdr>
          <w:top w:val="nil"/>
          <w:left w:val="nil"/>
          <w:bottom w:val="nil"/>
          <w:right w:val="nil"/>
          <w:between w:val="nil"/>
          <w:bar w:val="nil"/>
        </w:pBdr>
        <w:autoSpaceDE/>
        <w:autoSpaceDN/>
        <w:adjustRightInd/>
        <w:ind w:left="900" w:hanging="360"/>
        <w:contextualSpacing/>
        <w:jc w:val="both"/>
        <w:rPr>
          <w:rFonts w:cs="Arial"/>
          <w:sz w:val="22"/>
          <w:szCs w:val="22"/>
          <w:lang w:val="es-ES"/>
        </w:rPr>
      </w:pPr>
    </w:p>
    <w:p w14:paraId="5AD4F6DE" w14:textId="77777777" w:rsidR="009818C5" w:rsidRPr="00074250" w:rsidRDefault="009818C5" w:rsidP="002C7D6A">
      <w:pPr>
        <w:widowControl/>
        <w:numPr>
          <w:ilvl w:val="0"/>
          <w:numId w:val="26"/>
        </w:numPr>
        <w:pBdr>
          <w:top w:val="nil"/>
          <w:left w:val="nil"/>
          <w:bottom w:val="nil"/>
          <w:right w:val="nil"/>
          <w:between w:val="nil"/>
          <w:bar w:val="nil"/>
        </w:pBdr>
        <w:autoSpaceDE/>
        <w:autoSpaceDN/>
        <w:adjustRightInd/>
        <w:ind w:left="900"/>
        <w:contextualSpacing/>
        <w:jc w:val="both"/>
        <w:rPr>
          <w:rFonts w:cs="Arial"/>
          <w:sz w:val="22"/>
          <w:szCs w:val="22"/>
          <w:lang w:val="es-ES"/>
        </w:rPr>
      </w:pPr>
      <w:r w:rsidRPr="00074250">
        <w:rPr>
          <w:rFonts w:cs="Arial"/>
          <w:sz w:val="22"/>
          <w:szCs w:val="22"/>
          <w:lang w:val="es-ES"/>
        </w:rPr>
        <w:t xml:space="preserve">se insta a los Signatarios a notificar a la FAO los desembarcos de todas las especies enumeradas en el Anexo I. En concreto, dada la ausencia total de desembarcos específicos de especie notificados de 17 de cada 35 especies enumeradas en el Anexo 1 del </w:t>
      </w:r>
      <w:proofErr w:type="spellStart"/>
      <w:r w:rsidRPr="00074250">
        <w:rPr>
          <w:rFonts w:cs="Arial"/>
          <w:sz w:val="22"/>
          <w:szCs w:val="22"/>
          <w:lang w:val="es-ES"/>
        </w:rPr>
        <w:t>MdE</w:t>
      </w:r>
      <w:proofErr w:type="spellEnd"/>
      <w:r w:rsidRPr="00074250">
        <w:rPr>
          <w:rFonts w:cs="Arial"/>
          <w:sz w:val="22"/>
          <w:szCs w:val="22"/>
          <w:lang w:val="es-ES"/>
        </w:rPr>
        <w:t xml:space="preserve"> sobre tiburones a nivel mundial, incluyendo algunos de los que se sospecha que se desembarcan ocasionalmente;</w:t>
      </w:r>
    </w:p>
    <w:p w14:paraId="370F8255" w14:textId="77777777" w:rsidR="009818C5" w:rsidRPr="00074250" w:rsidRDefault="009818C5" w:rsidP="009818C5">
      <w:pPr>
        <w:widowControl/>
        <w:pBdr>
          <w:top w:val="nil"/>
          <w:left w:val="nil"/>
          <w:bottom w:val="nil"/>
          <w:right w:val="nil"/>
          <w:between w:val="nil"/>
          <w:bar w:val="nil"/>
        </w:pBdr>
        <w:autoSpaceDE/>
        <w:autoSpaceDN/>
        <w:adjustRightInd/>
        <w:ind w:left="1134"/>
        <w:contextualSpacing/>
        <w:jc w:val="both"/>
        <w:rPr>
          <w:rFonts w:cs="Arial"/>
          <w:sz w:val="22"/>
          <w:szCs w:val="22"/>
          <w:lang w:val="es-ES"/>
        </w:rPr>
      </w:pPr>
    </w:p>
    <w:p w14:paraId="6907CEFE" w14:textId="3494FA9B" w:rsidR="009818C5" w:rsidRPr="00074250" w:rsidRDefault="009818C5" w:rsidP="002C7D6A">
      <w:pPr>
        <w:widowControl/>
        <w:numPr>
          <w:ilvl w:val="0"/>
          <w:numId w:val="26"/>
        </w:numPr>
        <w:pBdr>
          <w:top w:val="nil"/>
          <w:left w:val="nil"/>
          <w:bottom w:val="nil"/>
          <w:right w:val="nil"/>
          <w:between w:val="nil"/>
          <w:bar w:val="nil"/>
        </w:pBdr>
        <w:autoSpaceDE/>
        <w:autoSpaceDN/>
        <w:adjustRightInd/>
        <w:ind w:left="900"/>
        <w:contextualSpacing/>
        <w:jc w:val="both"/>
        <w:rPr>
          <w:rFonts w:cs="Arial"/>
          <w:sz w:val="22"/>
          <w:szCs w:val="22"/>
          <w:lang w:val="es-ES"/>
        </w:rPr>
      </w:pPr>
      <w:r w:rsidRPr="00074250">
        <w:rPr>
          <w:rFonts w:cs="Arial"/>
          <w:sz w:val="22"/>
          <w:szCs w:val="22"/>
          <w:lang w:val="es-ES"/>
        </w:rPr>
        <w:t>los sistemas de notificación nacionales deberían evaluarse y fortalecerse para facilitar el registro de desembarcos, especialmente en relación con las pesquerías que operan en zonas remotas y las pesquerías artesanales de subsistencia y recreativas;</w:t>
      </w:r>
    </w:p>
    <w:p w14:paraId="6B9CD77D" w14:textId="77777777" w:rsidR="009818C5" w:rsidRPr="00074250" w:rsidRDefault="009818C5" w:rsidP="009818C5">
      <w:pPr>
        <w:widowControl/>
        <w:pBdr>
          <w:top w:val="nil"/>
          <w:left w:val="nil"/>
          <w:bottom w:val="nil"/>
          <w:right w:val="nil"/>
          <w:between w:val="nil"/>
          <w:bar w:val="nil"/>
        </w:pBdr>
        <w:autoSpaceDE/>
        <w:autoSpaceDN/>
        <w:adjustRightInd/>
        <w:ind w:left="900" w:hanging="360"/>
        <w:contextualSpacing/>
        <w:jc w:val="both"/>
        <w:rPr>
          <w:rFonts w:cs="Arial"/>
          <w:sz w:val="22"/>
          <w:szCs w:val="22"/>
          <w:lang w:val="es-ES"/>
        </w:rPr>
      </w:pPr>
    </w:p>
    <w:p w14:paraId="7B03C1DB" w14:textId="77777777" w:rsidR="009818C5" w:rsidRPr="00074250" w:rsidRDefault="009818C5" w:rsidP="002C7D6A">
      <w:pPr>
        <w:widowControl/>
        <w:numPr>
          <w:ilvl w:val="0"/>
          <w:numId w:val="26"/>
        </w:numPr>
        <w:pBdr>
          <w:top w:val="nil"/>
          <w:left w:val="nil"/>
          <w:bottom w:val="nil"/>
          <w:right w:val="nil"/>
          <w:between w:val="nil"/>
          <w:bar w:val="nil"/>
        </w:pBdr>
        <w:autoSpaceDE/>
        <w:autoSpaceDN/>
        <w:adjustRightInd/>
        <w:ind w:left="900"/>
        <w:contextualSpacing/>
        <w:jc w:val="both"/>
        <w:rPr>
          <w:rFonts w:cs="Arial"/>
          <w:sz w:val="22"/>
          <w:szCs w:val="22"/>
          <w:lang w:val="es-ES"/>
        </w:rPr>
      </w:pPr>
      <w:r w:rsidRPr="00074250">
        <w:rPr>
          <w:rFonts w:cs="Arial"/>
          <w:sz w:val="22"/>
          <w:szCs w:val="22"/>
          <w:lang w:val="es-ES"/>
        </w:rPr>
        <w:t>se debería instar a los Estados del Área de Distribución no signatarios pertinentes a empezar a notificar datos a la FAO para las especies enumeradas en el Anexo I.</w:t>
      </w:r>
    </w:p>
    <w:p w14:paraId="5A30DAAE" w14:textId="77777777" w:rsidR="009818C5" w:rsidRPr="00074250" w:rsidRDefault="009818C5" w:rsidP="009818C5">
      <w:pPr>
        <w:widowControl/>
        <w:pBdr>
          <w:top w:val="nil"/>
          <w:left w:val="nil"/>
          <w:bottom w:val="nil"/>
          <w:right w:val="nil"/>
          <w:between w:val="nil"/>
          <w:bar w:val="nil"/>
        </w:pBdr>
        <w:autoSpaceDE/>
        <w:autoSpaceDN/>
        <w:adjustRightInd/>
        <w:jc w:val="both"/>
        <w:rPr>
          <w:rFonts w:cs="Arial"/>
          <w:sz w:val="22"/>
          <w:szCs w:val="22"/>
          <w:lang w:val="es-ES"/>
        </w:rPr>
      </w:pPr>
    </w:p>
    <w:p w14:paraId="1F422340" w14:textId="179D2B94" w:rsidR="009818C5" w:rsidRPr="00074250" w:rsidRDefault="009818C5" w:rsidP="002C7D6A">
      <w:pPr>
        <w:pStyle w:val="ListParagraph"/>
        <w:widowControl/>
        <w:numPr>
          <w:ilvl w:val="0"/>
          <w:numId w:val="24"/>
        </w:numPr>
        <w:pBdr>
          <w:top w:val="nil"/>
          <w:left w:val="nil"/>
          <w:bottom w:val="nil"/>
          <w:right w:val="nil"/>
          <w:between w:val="nil"/>
          <w:bar w:val="nil"/>
        </w:pBdr>
        <w:autoSpaceDE/>
        <w:autoSpaceDN/>
        <w:adjustRightInd/>
        <w:ind w:left="540" w:hanging="540"/>
        <w:jc w:val="both"/>
        <w:rPr>
          <w:rFonts w:cs="Arial"/>
          <w:b/>
          <w:bCs/>
          <w:sz w:val="22"/>
          <w:szCs w:val="22"/>
          <w:lang w:val="es-ES"/>
        </w:rPr>
      </w:pPr>
      <w:r w:rsidRPr="00074250">
        <w:rPr>
          <w:rFonts w:cs="Arial"/>
          <w:b/>
          <w:bCs/>
          <w:sz w:val="22"/>
          <w:szCs w:val="22"/>
          <w:lang w:val="es-ES"/>
        </w:rPr>
        <w:t xml:space="preserve">Control de Calidad: </w:t>
      </w:r>
    </w:p>
    <w:p w14:paraId="7A869208" w14:textId="77777777" w:rsidR="009818C5" w:rsidRPr="00074250" w:rsidRDefault="009818C5" w:rsidP="009818C5">
      <w:pPr>
        <w:pStyle w:val="ListParagraph"/>
        <w:widowControl/>
        <w:pBdr>
          <w:top w:val="nil"/>
          <w:left w:val="nil"/>
          <w:bottom w:val="nil"/>
          <w:right w:val="nil"/>
          <w:between w:val="nil"/>
          <w:bar w:val="nil"/>
        </w:pBdr>
        <w:autoSpaceDE/>
        <w:autoSpaceDN/>
        <w:adjustRightInd/>
        <w:jc w:val="both"/>
        <w:rPr>
          <w:rFonts w:cs="Arial"/>
          <w:b/>
          <w:bCs/>
          <w:sz w:val="22"/>
          <w:szCs w:val="22"/>
          <w:lang w:val="es-ES"/>
        </w:rPr>
      </w:pPr>
    </w:p>
    <w:p w14:paraId="474F0027" w14:textId="02582E5D" w:rsidR="009818C5" w:rsidRPr="00074250" w:rsidRDefault="009818C5" w:rsidP="009818C5">
      <w:pPr>
        <w:widowControl/>
        <w:pBdr>
          <w:top w:val="nil"/>
          <w:left w:val="nil"/>
          <w:bottom w:val="nil"/>
          <w:right w:val="nil"/>
          <w:between w:val="nil"/>
          <w:bar w:val="nil"/>
        </w:pBdr>
        <w:autoSpaceDE/>
        <w:autoSpaceDN/>
        <w:adjustRightInd/>
        <w:jc w:val="both"/>
        <w:rPr>
          <w:rFonts w:cs="Arial"/>
          <w:sz w:val="22"/>
          <w:szCs w:val="22"/>
          <w:lang w:val="es-ES"/>
        </w:rPr>
      </w:pPr>
      <w:r w:rsidRPr="00074250">
        <w:rPr>
          <w:rFonts w:cs="Arial"/>
          <w:sz w:val="22"/>
          <w:szCs w:val="22"/>
          <w:lang w:val="es-ES"/>
        </w:rPr>
        <w:t xml:space="preserve">También se identificaron posibles errores de entrada, lo que indica que se necesita un control de calidad más robusto de los datos de desembarcos antes del envío de dichos datos. </w:t>
      </w:r>
    </w:p>
    <w:p w14:paraId="0BF7603C" w14:textId="77777777" w:rsidR="009818C5" w:rsidRPr="00074250" w:rsidRDefault="009818C5" w:rsidP="009818C5">
      <w:pPr>
        <w:widowControl/>
        <w:pBdr>
          <w:top w:val="nil"/>
          <w:left w:val="nil"/>
          <w:bottom w:val="nil"/>
          <w:right w:val="nil"/>
          <w:between w:val="nil"/>
          <w:bar w:val="nil"/>
        </w:pBdr>
        <w:autoSpaceDE/>
        <w:autoSpaceDN/>
        <w:adjustRightInd/>
        <w:jc w:val="both"/>
        <w:rPr>
          <w:rFonts w:cs="Arial"/>
          <w:sz w:val="22"/>
          <w:szCs w:val="22"/>
          <w:lang w:val="es-ES"/>
        </w:rPr>
      </w:pPr>
    </w:p>
    <w:p w14:paraId="3CC5B0F5" w14:textId="77777777" w:rsidR="009818C5" w:rsidRPr="00074250" w:rsidRDefault="009818C5" w:rsidP="002C7D6A">
      <w:pPr>
        <w:widowControl/>
        <w:numPr>
          <w:ilvl w:val="0"/>
          <w:numId w:val="27"/>
        </w:numPr>
        <w:pBdr>
          <w:top w:val="nil"/>
          <w:left w:val="nil"/>
          <w:bottom w:val="nil"/>
          <w:right w:val="nil"/>
          <w:between w:val="nil"/>
          <w:bar w:val="nil"/>
        </w:pBdr>
        <w:autoSpaceDE/>
        <w:autoSpaceDN/>
        <w:adjustRightInd/>
        <w:ind w:left="900"/>
        <w:contextualSpacing/>
        <w:jc w:val="both"/>
        <w:rPr>
          <w:rFonts w:cs="Arial"/>
          <w:sz w:val="22"/>
          <w:szCs w:val="22"/>
          <w:lang w:val="es-ES"/>
        </w:rPr>
      </w:pPr>
      <w:r w:rsidRPr="00074250">
        <w:rPr>
          <w:rFonts w:cs="Arial"/>
          <w:sz w:val="22"/>
          <w:szCs w:val="22"/>
          <w:lang w:val="es-ES"/>
        </w:rPr>
        <w:t>Se insta a los Signatarios a revisar y llevar a cabo un control de calidad más detallado de estos datos de desembarcos nacionales, incluidos aquellos notificados a la FAO (y a otras bases de datos regionales);</w:t>
      </w:r>
    </w:p>
    <w:p w14:paraId="07228A36" w14:textId="77777777" w:rsidR="009818C5" w:rsidRPr="00074250" w:rsidRDefault="009818C5" w:rsidP="009818C5">
      <w:pPr>
        <w:widowControl/>
        <w:pBdr>
          <w:top w:val="nil"/>
          <w:left w:val="nil"/>
          <w:bottom w:val="nil"/>
          <w:right w:val="nil"/>
          <w:between w:val="nil"/>
          <w:bar w:val="nil"/>
        </w:pBdr>
        <w:autoSpaceDE/>
        <w:autoSpaceDN/>
        <w:adjustRightInd/>
        <w:ind w:left="900" w:hanging="360"/>
        <w:contextualSpacing/>
        <w:jc w:val="both"/>
        <w:rPr>
          <w:rFonts w:cs="Arial"/>
          <w:sz w:val="22"/>
          <w:szCs w:val="22"/>
          <w:lang w:val="es-ES"/>
        </w:rPr>
      </w:pPr>
    </w:p>
    <w:p w14:paraId="531CFFF9" w14:textId="24173C19" w:rsidR="009818C5" w:rsidRPr="00074250" w:rsidRDefault="009818C5" w:rsidP="002C7D6A">
      <w:pPr>
        <w:widowControl/>
        <w:numPr>
          <w:ilvl w:val="0"/>
          <w:numId w:val="27"/>
        </w:numPr>
        <w:pBdr>
          <w:top w:val="nil"/>
          <w:left w:val="nil"/>
          <w:bottom w:val="nil"/>
          <w:right w:val="nil"/>
          <w:between w:val="nil"/>
          <w:bar w:val="nil"/>
        </w:pBdr>
        <w:autoSpaceDE/>
        <w:autoSpaceDN/>
        <w:adjustRightInd/>
        <w:ind w:left="900"/>
        <w:contextualSpacing/>
        <w:jc w:val="both"/>
        <w:rPr>
          <w:rFonts w:cs="Arial"/>
          <w:sz w:val="22"/>
          <w:szCs w:val="22"/>
          <w:lang w:val="es-ES"/>
        </w:rPr>
      </w:pPr>
      <w:r w:rsidRPr="00074250">
        <w:rPr>
          <w:rFonts w:cs="Arial"/>
          <w:sz w:val="22"/>
          <w:szCs w:val="22"/>
          <w:lang w:val="es-ES"/>
        </w:rPr>
        <w:t xml:space="preserve">se insta a los Signatarios a responder a tiempo a las consultas de la FAO </w:t>
      </w:r>
      <w:proofErr w:type="gramStart"/>
      <w:r w:rsidRPr="00074250">
        <w:rPr>
          <w:rFonts w:cs="Arial"/>
          <w:sz w:val="22"/>
          <w:szCs w:val="22"/>
          <w:lang w:val="es-ES"/>
        </w:rPr>
        <w:t>en relación a</w:t>
      </w:r>
      <w:proofErr w:type="gramEnd"/>
      <w:r w:rsidRPr="00074250">
        <w:rPr>
          <w:rFonts w:cs="Arial"/>
          <w:sz w:val="22"/>
          <w:szCs w:val="22"/>
          <w:lang w:val="es-ES"/>
        </w:rPr>
        <w:t xml:space="preserve"> los datos comunicados para facilitar la corrección y la aclaración de los datos dudosos;</w:t>
      </w:r>
    </w:p>
    <w:p w14:paraId="25D91FDC" w14:textId="77777777" w:rsidR="002C7D6A" w:rsidRPr="00074250" w:rsidRDefault="002C7D6A" w:rsidP="002C7D6A">
      <w:pPr>
        <w:pStyle w:val="ListParagraph"/>
        <w:rPr>
          <w:rFonts w:cs="Arial"/>
          <w:sz w:val="22"/>
          <w:szCs w:val="22"/>
          <w:lang w:val="es-ES"/>
        </w:rPr>
      </w:pPr>
    </w:p>
    <w:p w14:paraId="71C59A10" w14:textId="02FF0048" w:rsidR="009454AA" w:rsidRPr="00074250" w:rsidRDefault="009818C5" w:rsidP="002C7D6A">
      <w:pPr>
        <w:widowControl/>
        <w:numPr>
          <w:ilvl w:val="0"/>
          <w:numId w:val="27"/>
        </w:numPr>
        <w:pBdr>
          <w:top w:val="nil"/>
          <w:left w:val="nil"/>
          <w:bottom w:val="nil"/>
          <w:right w:val="nil"/>
          <w:between w:val="nil"/>
          <w:bar w:val="nil"/>
        </w:pBdr>
        <w:autoSpaceDE/>
        <w:autoSpaceDN/>
        <w:adjustRightInd/>
        <w:ind w:left="900"/>
        <w:contextualSpacing/>
        <w:jc w:val="both"/>
        <w:rPr>
          <w:rFonts w:cs="Arial"/>
          <w:sz w:val="22"/>
          <w:szCs w:val="22"/>
          <w:lang w:val="es-ES"/>
        </w:rPr>
      </w:pPr>
      <w:r w:rsidRPr="00074250">
        <w:rPr>
          <w:rFonts w:cs="Arial"/>
          <w:sz w:val="22"/>
          <w:szCs w:val="22"/>
          <w:lang w:val="es-ES"/>
        </w:rPr>
        <w:t xml:space="preserve">deberían reexaminarse las categorías para enviar datos de desembarcos de especies a fin de evitar la permanencia de errores taxonómicos. Los Signatarios no deberían notificar sus desembarcos usando categorías de especies obsoletas y deberían considerar la posibilidad de modificar previamente los desembarcos notificados a la taxonomía más actualizada. En concreto, las categorías ASFIS actuales que pueden perpetuar los problemas taxonómicos incluyen: </w:t>
      </w:r>
      <w:proofErr w:type="spellStart"/>
      <w:r w:rsidRPr="00074250">
        <w:rPr>
          <w:rFonts w:cs="Arial"/>
          <w:i/>
          <w:iCs/>
          <w:sz w:val="22"/>
          <w:szCs w:val="22"/>
          <w:lang w:val="es-ES"/>
        </w:rPr>
        <w:t>Mobula</w:t>
      </w:r>
      <w:proofErr w:type="spellEnd"/>
      <w:r w:rsidRPr="00074250">
        <w:rPr>
          <w:rFonts w:cs="Arial"/>
          <w:i/>
          <w:iCs/>
          <w:sz w:val="22"/>
          <w:szCs w:val="22"/>
          <w:lang w:val="es-ES"/>
        </w:rPr>
        <w:t xml:space="preserve"> </w:t>
      </w:r>
      <w:proofErr w:type="spellStart"/>
      <w:r w:rsidRPr="00074250">
        <w:rPr>
          <w:rFonts w:cs="Arial"/>
          <w:i/>
          <w:iCs/>
          <w:sz w:val="22"/>
          <w:szCs w:val="22"/>
          <w:lang w:val="es-ES"/>
        </w:rPr>
        <w:t>japanica</w:t>
      </w:r>
      <w:proofErr w:type="spellEnd"/>
      <w:r w:rsidRPr="00074250">
        <w:rPr>
          <w:rFonts w:cs="Arial"/>
          <w:sz w:val="22"/>
          <w:szCs w:val="22"/>
          <w:lang w:val="es-ES"/>
        </w:rPr>
        <w:t xml:space="preserve">, </w:t>
      </w:r>
      <w:r w:rsidRPr="00074250">
        <w:rPr>
          <w:rFonts w:cs="Arial"/>
          <w:i/>
          <w:iCs/>
          <w:sz w:val="22"/>
          <w:szCs w:val="22"/>
          <w:lang w:val="es-ES"/>
        </w:rPr>
        <w:t xml:space="preserve">M. </w:t>
      </w:r>
      <w:proofErr w:type="spellStart"/>
      <w:r w:rsidRPr="00074250">
        <w:rPr>
          <w:rFonts w:cs="Arial"/>
          <w:i/>
          <w:iCs/>
          <w:sz w:val="22"/>
          <w:szCs w:val="22"/>
          <w:lang w:val="es-ES"/>
        </w:rPr>
        <w:t>rochebrunei</w:t>
      </w:r>
      <w:proofErr w:type="spellEnd"/>
      <w:r w:rsidRPr="00074250">
        <w:rPr>
          <w:rFonts w:cs="Arial"/>
          <w:sz w:val="22"/>
          <w:szCs w:val="22"/>
          <w:lang w:val="es-ES"/>
        </w:rPr>
        <w:t xml:space="preserve">, </w:t>
      </w:r>
      <w:r w:rsidRPr="00074250">
        <w:rPr>
          <w:rFonts w:cs="Arial"/>
          <w:i/>
          <w:iCs/>
          <w:sz w:val="22"/>
          <w:szCs w:val="22"/>
          <w:lang w:val="es-ES"/>
        </w:rPr>
        <w:t xml:space="preserve">M. </w:t>
      </w:r>
      <w:proofErr w:type="spellStart"/>
      <w:r w:rsidRPr="00074250">
        <w:rPr>
          <w:rFonts w:cs="Arial"/>
          <w:i/>
          <w:iCs/>
          <w:sz w:val="22"/>
          <w:szCs w:val="22"/>
          <w:lang w:val="es-ES"/>
        </w:rPr>
        <w:t>eregoodootenkee</w:t>
      </w:r>
      <w:proofErr w:type="spellEnd"/>
      <w:r w:rsidRPr="00074250">
        <w:rPr>
          <w:rFonts w:cs="Arial"/>
          <w:sz w:val="22"/>
          <w:szCs w:val="22"/>
          <w:lang w:val="es-ES"/>
        </w:rPr>
        <w:t xml:space="preserve">, y </w:t>
      </w:r>
      <w:proofErr w:type="spellStart"/>
      <w:r w:rsidRPr="00074250">
        <w:rPr>
          <w:rFonts w:cs="Arial"/>
          <w:i/>
          <w:iCs/>
          <w:sz w:val="22"/>
          <w:szCs w:val="22"/>
          <w:lang w:val="es-ES"/>
        </w:rPr>
        <w:t>Pristis</w:t>
      </w:r>
      <w:proofErr w:type="spellEnd"/>
      <w:r w:rsidRPr="00074250">
        <w:rPr>
          <w:rFonts w:cs="Arial"/>
          <w:i/>
          <w:iCs/>
          <w:sz w:val="22"/>
          <w:szCs w:val="22"/>
          <w:lang w:val="es-ES"/>
        </w:rPr>
        <w:t xml:space="preserve"> </w:t>
      </w:r>
      <w:proofErr w:type="spellStart"/>
      <w:r w:rsidRPr="00074250">
        <w:rPr>
          <w:rFonts w:cs="Arial"/>
          <w:i/>
          <w:iCs/>
          <w:sz w:val="22"/>
          <w:szCs w:val="22"/>
          <w:lang w:val="es-ES"/>
        </w:rPr>
        <w:t>microdon</w:t>
      </w:r>
      <w:proofErr w:type="spellEnd"/>
      <w:r w:rsidRPr="00074250">
        <w:rPr>
          <w:rFonts w:cs="Arial"/>
          <w:b/>
          <w:bCs/>
          <w:sz w:val="22"/>
          <w:szCs w:val="22"/>
          <w:lang w:val="es-ES"/>
        </w:rPr>
        <w:t>.</w:t>
      </w:r>
    </w:p>
    <w:p w14:paraId="0BBA8F05" w14:textId="0F0D6387" w:rsidR="009818C5" w:rsidRPr="00074250" w:rsidRDefault="009818C5" w:rsidP="009818C5">
      <w:pPr>
        <w:ind w:right="26"/>
        <w:jc w:val="both"/>
        <w:rPr>
          <w:rFonts w:cs="Arial"/>
          <w:b/>
          <w:bCs/>
          <w:sz w:val="22"/>
          <w:szCs w:val="22"/>
          <w:lang w:val="es-ES"/>
        </w:rPr>
      </w:pPr>
    </w:p>
    <w:p w14:paraId="1B41ADAF" w14:textId="77777777" w:rsidR="002C7D6A" w:rsidRPr="00074250" w:rsidRDefault="002C7D6A" w:rsidP="009818C5">
      <w:pPr>
        <w:ind w:right="26"/>
        <w:jc w:val="both"/>
        <w:rPr>
          <w:rFonts w:cs="Arial"/>
          <w:bCs/>
          <w:iCs/>
          <w:sz w:val="20"/>
          <w:szCs w:val="20"/>
          <w:lang w:val="es-ES"/>
        </w:rPr>
        <w:sectPr w:rsidR="002C7D6A" w:rsidRPr="00074250" w:rsidSect="009454AA">
          <w:headerReference w:type="even" r:id="rId50"/>
          <w:headerReference w:type="first" r:id="rId51"/>
          <w:pgSz w:w="11906" w:h="16838" w:code="9"/>
          <w:pgMar w:top="1138" w:right="1138" w:bottom="1138" w:left="1138" w:header="706" w:footer="706" w:gutter="0"/>
          <w:cols w:space="720"/>
          <w:titlePg/>
          <w:docGrid w:linePitch="245"/>
        </w:sectPr>
      </w:pPr>
    </w:p>
    <w:p w14:paraId="461CFE5A" w14:textId="77777777" w:rsidR="002C7D6A" w:rsidRPr="00074250" w:rsidRDefault="002C7D6A" w:rsidP="002C7D6A">
      <w:pPr>
        <w:widowControl/>
        <w:pBdr>
          <w:top w:val="nil"/>
          <w:left w:val="nil"/>
          <w:bottom w:val="nil"/>
          <w:right w:val="nil"/>
          <w:between w:val="nil"/>
          <w:bar w:val="nil"/>
        </w:pBdr>
        <w:autoSpaceDE/>
        <w:autoSpaceDN/>
        <w:adjustRightInd/>
        <w:jc w:val="right"/>
        <w:outlineLvl w:val="0"/>
        <w:rPr>
          <w:rFonts w:cs="Arial"/>
          <w:b/>
          <w:bCs/>
          <w:sz w:val="22"/>
          <w:szCs w:val="22"/>
          <w:lang w:val="es-ES"/>
        </w:rPr>
      </w:pPr>
    </w:p>
    <w:p w14:paraId="2CC27DE1" w14:textId="3195424B" w:rsidR="002C7D6A" w:rsidRPr="00074250" w:rsidRDefault="002C7D6A" w:rsidP="002C7D6A">
      <w:pPr>
        <w:widowControl/>
        <w:pBdr>
          <w:top w:val="nil"/>
          <w:left w:val="nil"/>
          <w:bottom w:val="nil"/>
          <w:right w:val="nil"/>
          <w:between w:val="nil"/>
          <w:bar w:val="nil"/>
        </w:pBdr>
        <w:autoSpaceDE/>
        <w:autoSpaceDN/>
        <w:adjustRightInd/>
        <w:jc w:val="right"/>
        <w:outlineLvl w:val="0"/>
        <w:rPr>
          <w:rFonts w:cs="Arial"/>
          <w:b/>
          <w:bCs/>
          <w:sz w:val="22"/>
          <w:szCs w:val="22"/>
          <w:lang w:val="es-ES"/>
        </w:rPr>
      </w:pPr>
      <w:r w:rsidRPr="00074250">
        <w:rPr>
          <w:rFonts w:cs="Arial"/>
          <w:b/>
          <w:bCs/>
          <w:sz w:val="22"/>
          <w:szCs w:val="22"/>
          <w:lang w:val="es-ES"/>
        </w:rPr>
        <w:t>ANEXO 3</w:t>
      </w:r>
    </w:p>
    <w:p w14:paraId="3C63E90C" w14:textId="763671B9" w:rsidR="002C7D6A" w:rsidRPr="00074250" w:rsidRDefault="002C7D6A" w:rsidP="002C7D6A">
      <w:pPr>
        <w:widowControl/>
        <w:pBdr>
          <w:top w:val="nil"/>
          <w:left w:val="nil"/>
          <w:bottom w:val="nil"/>
          <w:right w:val="nil"/>
          <w:between w:val="nil"/>
          <w:bar w:val="nil"/>
        </w:pBdr>
        <w:autoSpaceDE/>
        <w:autoSpaceDN/>
        <w:adjustRightInd/>
        <w:jc w:val="both"/>
        <w:rPr>
          <w:rFonts w:cs="Arial"/>
          <w:b/>
          <w:bCs/>
          <w:sz w:val="22"/>
          <w:szCs w:val="22"/>
          <w:lang w:val="es-ES"/>
        </w:rPr>
      </w:pPr>
    </w:p>
    <w:p w14:paraId="21B5CD74" w14:textId="77777777" w:rsidR="002C7D6A" w:rsidRPr="00074250" w:rsidRDefault="002C7D6A" w:rsidP="002C7D6A">
      <w:pPr>
        <w:widowControl/>
        <w:pBdr>
          <w:top w:val="nil"/>
          <w:left w:val="nil"/>
          <w:bottom w:val="nil"/>
          <w:right w:val="nil"/>
          <w:between w:val="nil"/>
          <w:bar w:val="nil"/>
        </w:pBdr>
        <w:autoSpaceDE/>
        <w:autoSpaceDN/>
        <w:adjustRightInd/>
        <w:jc w:val="both"/>
        <w:rPr>
          <w:rFonts w:cs="Arial"/>
          <w:b/>
          <w:bCs/>
          <w:sz w:val="22"/>
          <w:szCs w:val="22"/>
          <w:lang w:val="es-ES"/>
        </w:rPr>
      </w:pPr>
    </w:p>
    <w:p w14:paraId="5FF03B33" w14:textId="77777777" w:rsidR="002C7D6A" w:rsidRPr="00074250" w:rsidRDefault="002C7D6A" w:rsidP="002C7D6A">
      <w:pPr>
        <w:keepNext/>
        <w:keepLines/>
        <w:jc w:val="center"/>
        <w:outlineLvl w:val="0"/>
        <w:rPr>
          <w:rFonts w:eastAsia="MS Gothic" w:cs="Arial"/>
          <w:b/>
          <w:bCs/>
          <w:sz w:val="22"/>
          <w:szCs w:val="22"/>
          <w:lang w:val="es-ES"/>
        </w:rPr>
      </w:pPr>
      <w:r w:rsidRPr="00074250">
        <w:rPr>
          <w:rFonts w:eastAsia="MS Gothic" w:cs="Arial"/>
          <w:b/>
          <w:bCs/>
          <w:sz w:val="22"/>
          <w:szCs w:val="22"/>
          <w:lang w:val="es-ES"/>
        </w:rPr>
        <w:t>BORRADOR DE DECISIONES DE LA REUNIÓN</w:t>
      </w:r>
    </w:p>
    <w:p w14:paraId="33567F53" w14:textId="77777777" w:rsidR="002C7D6A" w:rsidRPr="00074250" w:rsidRDefault="002C7D6A" w:rsidP="002C7D6A">
      <w:pPr>
        <w:widowControl/>
        <w:pBdr>
          <w:top w:val="nil"/>
          <w:left w:val="nil"/>
          <w:bottom w:val="nil"/>
          <w:right w:val="nil"/>
          <w:between w:val="nil"/>
          <w:bar w:val="nil"/>
        </w:pBdr>
        <w:autoSpaceDE/>
        <w:autoSpaceDN/>
        <w:adjustRightInd/>
        <w:jc w:val="center"/>
        <w:rPr>
          <w:rFonts w:cs="Arial"/>
          <w:b/>
          <w:bCs/>
          <w:sz w:val="22"/>
          <w:szCs w:val="22"/>
          <w:lang w:val="es-ES"/>
        </w:rPr>
      </w:pPr>
    </w:p>
    <w:p w14:paraId="185F735D" w14:textId="77777777" w:rsidR="002C7D6A" w:rsidRPr="00074250" w:rsidRDefault="002C7D6A" w:rsidP="002C7D6A">
      <w:pPr>
        <w:widowControl/>
        <w:pBdr>
          <w:top w:val="nil"/>
          <w:left w:val="nil"/>
          <w:bottom w:val="nil"/>
          <w:right w:val="nil"/>
          <w:between w:val="nil"/>
          <w:bar w:val="nil"/>
        </w:pBdr>
        <w:autoSpaceDE/>
        <w:autoSpaceDN/>
        <w:adjustRightInd/>
        <w:jc w:val="center"/>
        <w:rPr>
          <w:rFonts w:cs="Arial"/>
          <w:b/>
          <w:bCs/>
          <w:sz w:val="22"/>
          <w:szCs w:val="22"/>
          <w:lang w:val="es-ES"/>
        </w:rPr>
      </w:pPr>
    </w:p>
    <w:p w14:paraId="511BCF02" w14:textId="77777777" w:rsidR="002C7D6A" w:rsidRPr="00074250" w:rsidRDefault="002C7D6A" w:rsidP="002C7D6A">
      <w:pPr>
        <w:widowControl/>
        <w:pBdr>
          <w:top w:val="nil"/>
          <w:left w:val="nil"/>
          <w:bottom w:val="nil"/>
          <w:right w:val="nil"/>
          <w:between w:val="nil"/>
          <w:bar w:val="nil"/>
        </w:pBdr>
        <w:autoSpaceDE/>
        <w:autoSpaceDN/>
        <w:adjustRightInd/>
        <w:jc w:val="both"/>
        <w:rPr>
          <w:rFonts w:cs="Arial"/>
          <w:b/>
          <w:bCs/>
          <w:sz w:val="22"/>
          <w:szCs w:val="22"/>
          <w:lang w:val="es-ES"/>
        </w:rPr>
      </w:pPr>
      <w:r w:rsidRPr="00074250">
        <w:rPr>
          <w:rFonts w:cs="Arial"/>
          <w:sz w:val="22"/>
          <w:szCs w:val="22"/>
          <w:lang w:val="es-ES"/>
        </w:rPr>
        <w:t>Signatarios</w:t>
      </w:r>
    </w:p>
    <w:p w14:paraId="32E16DCC" w14:textId="77777777" w:rsidR="002C7D6A" w:rsidRPr="00074250" w:rsidRDefault="002C7D6A" w:rsidP="002C7D6A">
      <w:pPr>
        <w:widowControl/>
        <w:pBdr>
          <w:top w:val="nil"/>
          <w:left w:val="nil"/>
          <w:bottom w:val="nil"/>
          <w:right w:val="nil"/>
          <w:between w:val="nil"/>
          <w:bar w:val="nil"/>
        </w:pBdr>
        <w:autoSpaceDE/>
        <w:autoSpaceDN/>
        <w:adjustRightInd/>
        <w:jc w:val="both"/>
        <w:rPr>
          <w:rFonts w:cs="Arial"/>
          <w:sz w:val="22"/>
          <w:szCs w:val="22"/>
          <w:lang w:val="es-ES"/>
        </w:rPr>
      </w:pPr>
    </w:p>
    <w:p w14:paraId="0D3DFE6F" w14:textId="77777777" w:rsidR="002C7D6A" w:rsidRPr="00074250" w:rsidRDefault="002C7D6A" w:rsidP="002C7D6A">
      <w:pPr>
        <w:widowControl/>
        <w:numPr>
          <w:ilvl w:val="0"/>
          <w:numId w:val="28"/>
        </w:numPr>
        <w:pBdr>
          <w:top w:val="nil"/>
          <w:left w:val="nil"/>
          <w:bottom w:val="nil"/>
          <w:right w:val="nil"/>
          <w:between w:val="nil"/>
          <w:bar w:val="nil"/>
        </w:pBdr>
        <w:autoSpaceDE/>
        <w:autoSpaceDN/>
        <w:adjustRightInd/>
        <w:ind w:left="630" w:hanging="630"/>
        <w:contextualSpacing/>
        <w:jc w:val="both"/>
        <w:rPr>
          <w:rFonts w:cs="Arial"/>
          <w:sz w:val="22"/>
          <w:szCs w:val="22"/>
          <w:lang w:val="es-ES"/>
        </w:rPr>
      </w:pPr>
      <w:r w:rsidRPr="00074250">
        <w:rPr>
          <w:rFonts w:cs="Arial"/>
          <w:sz w:val="22"/>
          <w:szCs w:val="22"/>
          <w:lang w:val="es-ES"/>
        </w:rPr>
        <w:t xml:space="preserve">Reconocieron el resultado del estudio realizado tal y como se ha expuesto en </w:t>
      </w:r>
      <w:hyperlink r:id="rId52" w:history="1">
        <w:r w:rsidRPr="00074250">
          <w:rPr>
            <w:rFonts w:cs="Arial"/>
            <w:color w:val="0000FF"/>
            <w:sz w:val="22"/>
            <w:szCs w:val="22"/>
            <w:u w:val="single"/>
            <w:lang w:val="es-ES"/>
          </w:rPr>
          <w:t>CMS/</w:t>
        </w:r>
        <w:proofErr w:type="spellStart"/>
        <w:r w:rsidRPr="00074250">
          <w:rPr>
            <w:rFonts w:cs="Arial"/>
            <w:color w:val="0000FF"/>
            <w:sz w:val="22"/>
            <w:szCs w:val="22"/>
            <w:u w:val="single"/>
            <w:lang w:val="es-ES"/>
          </w:rPr>
          <w:t>Sharks</w:t>
        </w:r>
        <w:proofErr w:type="spellEnd"/>
        <w:r w:rsidRPr="00074250">
          <w:rPr>
            <w:rFonts w:cs="Arial"/>
            <w:color w:val="0000FF"/>
            <w:sz w:val="22"/>
            <w:szCs w:val="22"/>
            <w:u w:val="single"/>
            <w:lang w:val="es-ES"/>
          </w:rPr>
          <w:t>/MOS4/Doc.10.6</w:t>
        </w:r>
      </w:hyperlink>
      <w:r w:rsidRPr="00074250">
        <w:rPr>
          <w:rFonts w:cs="Arial"/>
          <w:sz w:val="22"/>
          <w:szCs w:val="22"/>
          <w:lang w:val="es-ES"/>
        </w:rPr>
        <w:t>.</w:t>
      </w:r>
    </w:p>
    <w:p w14:paraId="1E569B34" w14:textId="77777777" w:rsidR="002C7D6A" w:rsidRPr="00074250" w:rsidRDefault="002C7D6A" w:rsidP="002C7D6A">
      <w:pPr>
        <w:widowControl/>
        <w:pBdr>
          <w:top w:val="nil"/>
          <w:left w:val="nil"/>
          <w:bottom w:val="nil"/>
          <w:right w:val="nil"/>
          <w:between w:val="nil"/>
          <w:bar w:val="nil"/>
        </w:pBdr>
        <w:autoSpaceDE/>
        <w:autoSpaceDN/>
        <w:adjustRightInd/>
        <w:ind w:left="630" w:hanging="630"/>
        <w:contextualSpacing/>
        <w:jc w:val="both"/>
        <w:rPr>
          <w:rFonts w:cs="Arial"/>
          <w:sz w:val="22"/>
          <w:szCs w:val="22"/>
          <w:lang w:val="es-ES"/>
        </w:rPr>
      </w:pPr>
    </w:p>
    <w:p w14:paraId="7B8CDA2D" w14:textId="618AD295" w:rsidR="002C7D6A" w:rsidRPr="00074250" w:rsidRDefault="002C7D6A" w:rsidP="002C7D6A">
      <w:pPr>
        <w:widowControl/>
        <w:numPr>
          <w:ilvl w:val="0"/>
          <w:numId w:val="28"/>
        </w:numPr>
        <w:pBdr>
          <w:top w:val="nil"/>
          <w:left w:val="nil"/>
          <w:bottom w:val="nil"/>
          <w:right w:val="nil"/>
          <w:between w:val="nil"/>
          <w:bar w:val="nil"/>
        </w:pBdr>
        <w:autoSpaceDE/>
        <w:autoSpaceDN/>
        <w:adjustRightInd/>
        <w:ind w:left="630" w:hanging="630"/>
        <w:contextualSpacing/>
        <w:jc w:val="both"/>
        <w:rPr>
          <w:rFonts w:cs="Arial"/>
          <w:sz w:val="22"/>
          <w:szCs w:val="22"/>
          <w:lang w:val="es-ES"/>
        </w:rPr>
      </w:pPr>
      <w:r w:rsidRPr="00074250">
        <w:rPr>
          <w:rFonts w:cs="Arial"/>
          <w:sz w:val="22"/>
          <w:szCs w:val="22"/>
          <w:lang w:val="es-ES"/>
        </w:rPr>
        <w:t>Acordaron implementar las “</w:t>
      </w:r>
      <w:r w:rsidRPr="00074250">
        <w:rPr>
          <w:rFonts w:cs="Arial"/>
          <w:i/>
          <w:iCs/>
          <w:sz w:val="22"/>
          <w:szCs w:val="22"/>
          <w:lang w:val="es-ES"/>
        </w:rPr>
        <w:t xml:space="preserve">Recomendaciones a los Signatarios para mejorar la notificación de los datos de desembarcos de especies enumeradas en el Anexo 1 del </w:t>
      </w:r>
      <w:proofErr w:type="spellStart"/>
      <w:r w:rsidRPr="00074250">
        <w:rPr>
          <w:rFonts w:cs="Arial"/>
          <w:i/>
          <w:iCs/>
          <w:sz w:val="22"/>
          <w:szCs w:val="22"/>
          <w:lang w:val="es-ES"/>
        </w:rPr>
        <w:t>MdE</w:t>
      </w:r>
      <w:proofErr w:type="spellEnd"/>
      <w:r w:rsidRPr="00074250">
        <w:rPr>
          <w:rFonts w:cs="Arial"/>
          <w:i/>
          <w:iCs/>
          <w:sz w:val="22"/>
          <w:szCs w:val="22"/>
          <w:lang w:val="es-ES"/>
        </w:rPr>
        <w:t xml:space="preserve"> sobre tiburones</w:t>
      </w:r>
      <w:r w:rsidRPr="00074250">
        <w:rPr>
          <w:rFonts w:cs="Arial"/>
          <w:sz w:val="22"/>
          <w:szCs w:val="22"/>
          <w:lang w:val="es-ES"/>
        </w:rPr>
        <w:t xml:space="preserve">” finales, según lo acordado y dispuesto en el Resultado 4.x de esta reunión. </w:t>
      </w:r>
    </w:p>
    <w:p w14:paraId="721A6678" w14:textId="77777777" w:rsidR="002C7D6A" w:rsidRPr="00074250" w:rsidRDefault="002C7D6A" w:rsidP="002C7D6A">
      <w:pPr>
        <w:pStyle w:val="ListParagraph"/>
        <w:rPr>
          <w:rFonts w:cs="Arial"/>
          <w:sz w:val="22"/>
          <w:szCs w:val="22"/>
          <w:lang w:val="es-ES"/>
        </w:rPr>
      </w:pPr>
    </w:p>
    <w:p w14:paraId="0FAFD8B3" w14:textId="7F2F2AE3" w:rsidR="009818C5" w:rsidRPr="00074250" w:rsidRDefault="002C7D6A" w:rsidP="002C7D6A">
      <w:pPr>
        <w:widowControl/>
        <w:numPr>
          <w:ilvl w:val="0"/>
          <w:numId w:val="28"/>
        </w:numPr>
        <w:pBdr>
          <w:top w:val="nil"/>
          <w:left w:val="nil"/>
          <w:bottom w:val="nil"/>
          <w:right w:val="nil"/>
          <w:between w:val="nil"/>
          <w:bar w:val="nil"/>
        </w:pBdr>
        <w:autoSpaceDE/>
        <w:autoSpaceDN/>
        <w:adjustRightInd/>
        <w:ind w:left="630" w:hanging="630"/>
        <w:contextualSpacing/>
        <w:jc w:val="both"/>
        <w:rPr>
          <w:rFonts w:cs="Arial"/>
          <w:sz w:val="22"/>
          <w:szCs w:val="22"/>
          <w:lang w:val="es-ES"/>
        </w:rPr>
      </w:pPr>
      <w:r w:rsidRPr="00074250">
        <w:rPr>
          <w:rFonts w:cs="Arial"/>
          <w:sz w:val="22"/>
          <w:szCs w:val="22"/>
          <w:lang w:val="es-ES"/>
        </w:rPr>
        <w:t>Solicitaron al Comité Asesor, en colaboración con los Socios Colaboradores y el Grupo de Trabajo para la Conservación actualizar el análisis de los datos de desembarcos, llevar a cabo análisis adicionales y desarrollar directrices para que las naciones evalúen sus datos nacionales de desembarcos para mejorar el control de calidad de los datos enviados.</w:t>
      </w:r>
      <w:r w:rsidRPr="00074250">
        <w:rPr>
          <w:rFonts w:cs="Arial"/>
          <w:sz w:val="20"/>
          <w:szCs w:val="20"/>
          <w:lang w:val="es-ES" w:eastAsia="es-ES"/>
        </w:rPr>
        <w:t xml:space="preserve"> </w:t>
      </w:r>
      <w:r w:rsidRPr="00074250">
        <w:rPr>
          <w:rFonts w:cs="Arial"/>
          <w:sz w:val="22"/>
          <w:szCs w:val="22"/>
          <w:lang w:val="es-ES"/>
        </w:rPr>
        <w:t>Estas actividades se incluyeron en el Programa de Trabajo (2023-2025).</w:t>
      </w:r>
    </w:p>
    <w:p w14:paraId="7AABD68E" w14:textId="77777777" w:rsidR="002C7D6A" w:rsidRPr="00074250" w:rsidRDefault="002C7D6A" w:rsidP="002C7D6A">
      <w:pPr>
        <w:pStyle w:val="ListParagraph"/>
        <w:rPr>
          <w:rFonts w:cs="Arial"/>
          <w:sz w:val="22"/>
          <w:szCs w:val="22"/>
          <w:lang w:val="es-ES"/>
        </w:rPr>
      </w:pPr>
    </w:p>
    <w:p w14:paraId="7D886FD0" w14:textId="77777777" w:rsidR="002C7D6A" w:rsidRPr="00074250" w:rsidRDefault="002C7D6A" w:rsidP="002C7D6A">
      <w:pPr>
        <w:widowControl/>
        <w:pBdr>
          <w:top w:val="nil"/>
          <w:left w:val="nil"/>
          <w:bottom w:val="nil"/>
          <w:right w:val="nil"/>
          <w:between w:val="nil"/>
          <w:bar w:val="nil"/>
        </w:pBdr>
        <w:autoSpaceDE/>
        <w:autoSpaceDN/>
        <w:adjustRightInd/>
        <w:ind w:left="630"/>
        <w:contextualSpacing/>
        <w:jc w:val="both"/>
        <w:rPr>
          <w:rFonts w:cs="Arial"/>
          <w:sz w:val="22"/>
          <w:szCs w:val="22"/>
          <w:lang w:val="es-ES"/>
        </w:rPr>
        <w:sectPr w:rsidR="002C7D6A" w:rsidRPr="00074250" w:rsidSect="009454AA">
          <w:headerReference w:type="first" r:id="rId53"/>
          <w:pgSz w:w="11906" w:h="16838" w:code="9"/>
          <w:pgMar w:top="1138" w:right="1138" w:bottom="1138" w:left="1138" w:header="706" w:footer="706" w:gutter="0"/>
          <w:cols w:space="720"/>
          <w:titlePg/>
          <w:docGrid w:linePitch="245"/>
        </w:sectPr>
      </w:pPr>
    </w:p>
    <w:p w14:paraId="34E0FEC0" w14:textId="77777777" w:rsidR="002C7D6A" w:rsidRPr="00074250" w:rsidRDefault="002C7D6A" w:rsidP="00FA667F">
      <w:pPr>
        <w:widowControl/>
        <w:pBdr>
          <w:top w:val="nil"/>
          <w:left w:val="nil"/>
          <w:bottom w:val="nil"/>
          <w:right w:val="nil"/>
          <w:between w:val="nil"/>
          <w:bar w:val="nil"/>
        </w:pBdr>
        <w:autoSpaceDE/>
        <w:autoSpaceDN/>
        <w:adjustRightInd/>
        <w:jc w:val="right"/>
        <w:outlineLvl w:val="0"/>
        <w:rPr>
          <w:rFonts w:cs="Arial"/>
          <w:b/>
          <w:bCs/>
          <w:sz w:val="22"/>
          <w:szCs w:val="22"/>
          <w:lang w:val="es-ES"/>
        </w:rPr>
      </w:pPr>
      <w:r w:rsidRPr="00074250">
        <w:rPr>
          <w:rFonts w:cs="Arial"/>
          <w:b/>
          <w:bCs/>
          <w:sz w:val="22"/>
          <w:szCs w:val="22"/>
          <w:lang w:val="es-ES"/>
        </w:rPr>
        <w:lastRenderedPageBreak/>
        <w:t>ANEXO 4</w:t>
      </w:r>
    </w:p>
    <w:p w14:paraId="3699E9DC" w14:textId="77777777" w:rsidR="002C7D6A" w:rsidRPr="00FA667F" w:rsidRDefault="002C7D6A" w:rsidP="002C7D6A">
      <w:pPr>
        <w:widowControl/>
        <w:pBdr>
          <w:top w:val="nil"/>
          <w:left w:val="nil"/>
          <w:bottom w:val="nil"/>
          <w:right w:val="nil"/>
          <w:between w:val="nil"/>
          <w:bar w:val="nil"/>
        </w:pBdr>
        <w:autoSpaceDE/>
        <w:autoSpaceDN/>
        <w:adjustRightInd/>
        <w:spacing w:line="276" w:lineRule="auto"/>
        <w:jc w:val="both"/>
        <w:rPr>
          <w:rFonts w:cs="Arial"/>
          <w:b/>
          <w:bCs/>
          <w:sz w:val="16"/>
          <w:szCs w:val="16"/>
          <w:lang w:val="es-ES"/>
        </w:rPr>
      </w:pPr>
    </w:p>
    <w:p w14:paraId="49AD7C28" w14:textId="77777777" w:rsidR="002C7D6A" w:rsidRPr="00074250" w:rsidRDefault="002C7D6A" w:rsidP="002C7D6A">
      <w:pPr>
        <w:keepNext/>
        <w:keepLines/>
        <w:spacing w:line="276" w:lineRule="auto"/>
        <w:jc w:val="center"/>
        <w:outlineLvl w:val="0"/>
        <w:rPr>
          <w:rFonts w:eastAsia="MS Gothic" w:cs="Arial"/>
          <w:b/>
          <w:bCs/>
          <w:sz w:val="22"/>
          <w:szCs w:val="22"/>
          <w:lang w:val="es-ES"/>
        </w:rPr>
      </w:pPr>
      <w:r w:rsidRPr="00074250">
        <w:rPr>
          <w:rFonts w:eastAsia="MS Gothic" w:cs="Arial"/>
          <w:b/>
          <w:bCs/>
          <w:sz w:val="22"/>
          <w:szCs w:val="22"/>
          <w:lang w:val="es-ES"/>
        </w:rPr>
        <w:t>BORRADOR DE ACTIVIDADES PARA LA INCLUSIÓN EN EL PROGRAMA DE TRABAJO 2023-2025</w:t>
      </w:r>
    </w:p>
    <w:tbl>
      <w:tblPr>
        <w:tblW w:w="5029"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7"/>
        <w:gridCol w:w="4012"/>
        <w:gridCol w:w="1325"/>
        <w:gridCol w:w="1395"/>
        <w:gridCol w:w="1036"/>
        <w:gridCol w:w="1544"/>
        <w:gridCol w:w="1926"/>
        <w:gridCol w:w="1724"/>
        <w:gridCol w:w="500"/>
      </w:tblGrid>
      <w:tr w:rsidR="002C7D6A" w:rsidRPr="0026143E" w14:paraId="22A4AB31" w14:textId="77777777" w:rsidTr="00FA667F">
        <w:trPr>
          <w:trHeight w:val="716"/>
        </w:trPr>
        <w:tc>
          <w:tcPr>
            <w:tcW w:w="205" w:type="pct"/>
            <w:tcBorders>
              <w:top w:val="single" w:sz="6" w:space="0" w:color="7F7F7F"/>
              <w:left w:val="nil"/>
              <w:bottom w:val="single" w:sz="6" w:space="0" w:color="7F7F7F"/>
              <w:right w:val="nil"/>
            </w:tcBorders>
            <w:shd w:val="clear" w:color="auto" w:fill="auto"/>
            <w:vAlign w:val="center"/>
            <w:hideMark/>
          </w:tcPr>
          <w:p w14:paraId="2DFF8B1C" w14:textId="77777777" w:rsidR="002C7D6A" w:rsidRPr="00074250" w:rsidRDefault="002C7D6A" w:rsidP="002C7D6A">
            <w:pPr>
              <w:widowControl/>
              <w:autoSpaceDE/>
              <w:autoSpaceDN/>
              <w:adjustRightInd/>
              <w:textAlignment w:val="baseline"/>
              <w:rPr>
                <w:rFonts w:cs="Arial"/>
                <w:b/>
                <w:bCs/>
                <w:sz w:val="20"/>
                <w:szCs w:val="20"/>
                <w:lang w:val="es-ES" w:eastAsia="en-GB"/>
              </w:rPr>
            </w:pPr>
            <w:r w:rsidRPr="00074250">
              <w:rPr>
                <w:rFonts w:cs="Arial"/>
                <w:b/>
                <w:bCs/>
                <w:sz w:val="20"/>
                <w:szCs w:val="20"/>
                <w:lang w:val="es-ES" w:eastAsia="es-ES"/>
              </w:rPr>
              <w:t>No.</w:t>
            </w:r>
          </w:p>
        </w:tc>
        <w:tc>
          <w:tcPr>
            <w:tcW w:w="1429" w:type="pct"/>
            <w:tcBorders>
              <w:top w:val="single" w:sz="6" w:space="0" w:color="7F7F7F"/>
              <w:left w:val="nil"/>
              <w:bottom w:val="single" w:sz="6" w:space="0" w:color="7F7F7F"/>
              <w:right w:val="nil"/>
            </w:tcBorders>
            <w:shd w:val="clear" w:color="auto" w:fill="auto"/>
            <w:vAlign w:val="center"/>
            <w:hideMark/>
          </w:tcPr>
          <w:p w14:paraId="3F887402" w14:textId="77777777" w:rsidR="002C7D6A" w:rsidRPr="00074250" w:rsidRDefault="002C7D6A" w:rsidP="002C7D6A">
            <w:pPr>
              <w:widowControl/>
              <w:autoSpaceDE/>
              <w:autoSpaceDN/>
              <w:adjustRightInd/>
              <w:textAlignment w:val="baseline"/>
              <w:rPr>
                <w:rFonts w:cs="Arial"/>
                <w:b/>
                <w:bCs/>
                <w:sz w:val="20"/>
                <w:szCs w:val="20"/>
                <w:lang w:val="es-ES" w:eastAsia="en-GB"/>
              </w:rPr>
            </w:pPr>
            <w:r w:rsidRPr="00074250">
              <w:rPr>
                <w:rFonts w:cs="Arial"/>
                <w:b/>
                <w:bCs/>
                <w:color w:val="000000"/>
                <w:sz w:val="20"/>
                <w:szCs w:val="20"/>
                <w:lang w:val="es-ES" w:eastAsia="es-ES"/>
              </w:rPr>
              <w:t>Actividades</w:t>
            </w:r>
          </w:p>
        </w:tc>
        <w:tc>
          <w:tcPr>
            <w:tcW w:w="472" w:type="pct"/>
            <w:tcBorders>
              <w:top w:val="single" w:sz="6" w:space="0" w:color="7F7F7F"/>
              <w:left w:val="nil"/>
              <w:bottom w:val="single" w:sz="6" w:space="0" w:color="7F7F7F"/>
              <w:right w:val="nil"/>
            </w:tcBorders>
            <w:shd w:val="clear" w:color="auto" w:fill="auto"/>
            <w:vAlign w:val="center"/>
            <w:hideMark/>
          </w:tcPr>
          <w:p w14:paraId="70D74B76" w14:textId="77777777" w:rsidR="002C7D6A" w:rsidRPr="00074250" w:rsidRDefault="002C7D6A" w:rsidP="002C7D6A">
            <w:pPr>
              <w:widowControl/>
              <w:autoSpaceDE/>
              <w:autoSpaceDN/>
              <w:adjustRightInd/>
              <w:textAlignment w:val="baseline"/>
              <w:rPr>
                <w:rFonts w:cs="Arial"/>
                <w:b/>
                <w:bCs/>
                <w:sz w:val="20"/>
                <w:szCs w:val="20"/>
                <w:lang w:val="es-ES" w:eastAsia="en-GB"/>
              </w:rPr>
            </w:pPr>
            <w:r w:rsidRPr="00074250">
              <w:rPr>
                <w:rFonts w:cs="Arial"/>
                <w:b/>
                <w:bCs/>
                <w:sz w:val="20"/>
                <w:szCs w:val="20"/>
                <w:lang w:val="es-ES" w:eastAsia="es-ES"/>
              </w:rPr>
              <w:t>Propuesta</w:t>
            </w:r>
            <w:r w:rsidRPr="00074250">
              <w:rPr>
                <w:rFonts w:cs="Arial"/>
                <w:b/>
                <w:bCs/>
                <w:sz w:val="20"/>
                <w:szCs w:val="20"/>
                <w:vertAlign w:val="superscript"/>
                <w:lang w:val="es-ES" w:eastAsia="es-ES"/>
              </w:rPr>
              <w:footnoteReference w:id="11"/>
            </w:r>
            <w:r w:rsidRPr="00074250">
              <w:rPr>
                <w:rFonts w:cs="Arial"/>
                <w:b/>
                <w:bCs/>
                <w:sz w:val="20"/>
                <w:szCs w:val="20"/>
                <w:lang w:val="es-ES" w:eastAsia="es-ES"/>
              </w:rPr>
              <w:t> </w:t>
            </w:r>
          </w:p>
        </w:tc>
        <w:tc>
          <w:tcPr>
            <w:tcW w:w="497" w:type="pct"/>
            <w:tcBorders>
              <w:top w:val="single" w:sz="6" w:space="0" w:color="7F7F7F"/>
              <w:left w:val="nil"/>
              <w:bottom w:val="single" w:sz="6" w:space="0" w:color="7F7F7F"/>
              <w:right w:val="nil"/>
            </w:tcBorders>
            <w:shd w:val="clear" w:color="auto" w:fill="auto"/>
            <w:vAlign w:val="center"/>
            <w:hideMark/>
          </w:tcPr>
          <w:p w14:paraId="0E76ECCD" w14:textId="77777777" w:rsidR="002C7D6A" w:rsidRPr="00074250" w:rsidRDefault="002C7D6A" w:rsidP="002C7D6A">
            <w:pPr>
              <w:widowControl/>
              <w:autoSpaceDE/>
              <w:autoSpaceDN/>
              <w:adjustRightInd/>
              <w:textAlignment w:val="baseline"/>
              <w:rPr>
                <w:rFonts w:cs="Arial"/>
                <w:b/>
                <w:bCs/>
                <w:sz w:val="20"/>
                <w:szCs w:val="20"/>
                <w:lang w:val="es-ES" w:eastAsia="en-GB"/>
              </w:rPr>
            </w:pPr>
            <w:r w:rsidRPr="00074250">
              <w:rPr>
                <w:rFonts w:cs="Arial"/>
                <w:b/>
                <w:bCs/>
                <w:sz w:val="20"/>
                <w:szCs w:val="20"/>
                <w:lang w:val="es-ES" w:eastAsia="es-ES"/>
              </w:rPr>
              <w:t>Prioridad</w:t>
            </w:r>
          </w:p>
          <w:p w14:paraId="03671C90" w14:textId="77777777" w:rsidR="002C7D6A" w:rsidRPr="00074250" w:rsidRDefault="002C7D6A" w:rsidP="002C7D6A">
            <w:pPr>
              <w:widowControl/>
              <w:autoSpaceDE/>
              <w:autoSpaceDN/>
              <w:adjustRightInd/>
              <w:textAlignment w:val="baseline"/>
              <w:rPr>
                <w:rFonts w:cs="Arial"/>
                <w:b/>
                <w:bCs/>
                <w:sz w:val="20"/>
                <w:szCs w:val="20"/>
                <w:lang w:val="es-ES" w:eastAsia="en-GB"/>
              </w:rPr>
            </w:pPr>
            <w:r w:rsidRPr="00074250">
              <w:rPr>
                <w:rFonts w:cs="Arial"/>
                <w:b/>
                <w:bCs/>
                <w:sz w:val="20"/>
                <w:szCs w:val="20"/>
                <w:lang w:val="es-ES" w:eastAsia="es-ES"/>
              </w:rPr>
              <w:t>clasificación</w:t>
            </w:r>
            <w:r w:rsidRPr="00074250">
              <w:rPr>
                <w:rFonts w:cs="Arial"/>
                <w:b/>
                <w:bCs/>
                <w:sz w:val="20"/>
                <w:szCs w:val="20"/>
                <w:vertAlign w:val="superscript"/>
                <w:lang w:val="es-ES" w:eastAsia="es-ES"/>
              </w:rPr>
              <w:footnoteReference w:id="12"/>
            </w:r>
            <w:r w:rsidRPr="00074250">
              <w:rPr>
                <w:rFonts w:cs="Arial"/>
                <w:b/>
                <w:bCs/>
                <w:sz w:val="20"/>
                <w:szCs w:val="20"/>
                <w:lang w:val="es-ES" w:eastAsia="es-ES"/>
              </w:rPr>
              <w:t> </w:t>
            </w:r>
          </w:p>
        </w:tc>
        <w:tc>
          <w:tcPr>
            <w:tcW w:w="369" w:type="pct"/>
            <w:tcBorders>
              <w:top w:val="single" w:sz="6" w:space="0" w:color="7F7F7F"/>
              <w:left w:val="nil"/>
              <w:bottom w:val="single" w:sz="6" w:space="0" w:color="7F7F7F"/>
              <w:right w:val="nil"/>
            </w:tcBorders>
            <w:shd w:val="clear" w:color="auto" w:fill="auto"/>
            <w:vAlign w:val="center"/>
            <w:hideMark/>
          </w:tcPr>
          <w:p w14:paraId="25BF7A9C" w14:textId="77777777" w:rsidR="002C7D6A" w:rsidRPr="00074250" w:rsidRDefault="002C7D6A" w:rsidP="002C7D6A">
            <w:pPr>
              <w:widowControl/>
              <w:autoSpaceDE/>
              <w:autoSpaceDN/>
              <w:adjustRightInd/>
              <w:textAlignment w:val="baseline"/>
              <w:rPr>
                <w:rFonts w:cs="Arial"/>
                <w:b/>
                <w:bCs/>
                <w:sz w:val="20"/>
                <w:szCs w:val="20"/>
                <w:lang w:val="es-ES" w:eastAsia="en-GB"/>
              </w:rPr>
            </w:pPr>
            <w:r w:rsidRPr="00074250">
              <w:rPr>
                <w:rFonts w:cs="Arial"/>
                <w:b/>
                <w:bCs/>
                <w:sz w:val="20"/>
                <w:szCs w:val="20"/>
                <w:lang w:val="es-ES" w:eastAsia="es-ES"/>
              </w:rPr>
              <w:t>Marco temporal</w:t>
            </w:r>
            <w:r w:rsidRPr="00074250">
              <w:rPr>
                <w:rFonts w:cs="Arial"/>
                <w:b/>
                <w:bCs/>
                <w:sz w:val="20"/>
                <w:szCs w:val="20"/>
                <w:vertAlign w:val="superscript"/>
                <w:lang w:val="es-ES" w:eastAsia="es-ES"/>
              </w:rPr>
              <w:footnoteReference w:id="13"/>
            </w:r>
            <w:r w:rsidRPr="00074250">
              <w:rPr>
                <w:rFonts w:cs="Arial"/>
                <w:b/>
                <w:bCs/>
                <w:sz w:val="20"/>
                <w:szCs w:val="20"/>
                <w:lang w:val="es-ES" w:eastAsia="es-ES"/>
              </w:rPr>
              <w:t> </w:t>
            </w:r>
          </w:p>
        </w:tc>
        <w:tc>
          <w:tcPr>
            <w:tcW w:w="550" w:type="pct"/>
            <w:tcBorders>
              <w:top w:val="single" w:sz="6" w:space="0" w:color="7F7F7F"/>
              <w:left w:val="nil"/>
              <w:bottom w:val="single" w:sz="6" w:space="0" w:color="7F7F7F"/>
              <w:right w:val="nil"/>
            </w:tcBorders>
            <w:shd w:val="clear" w:color="auto" w:fill="auto"/>
            <w:vAlign w:val="center"/>
            <w:hideMark/>
          </w:tcPr>
          <w:p w14:paraId="3DCF7249" w14:textId="77777777" w:rsidR="002C7D6A" w:rsidRPr="00074250" w:rsidRDefault="002C7D6A" w:rsidP="002C7D6A">
            <w:pPr>
              <w:widowControl/>
              <w:autoSpaceDE/>
              <w:autoSpaceDN/>
              <w:adjustRightInd/>
              <w:textAlignment w:val="baseline"/>
              <w:rPr>
                <w:rFonts w:cs="Arial"/>
                <w:b/>
                <w:bCs/>
                <w:sz w:val="20"/>
                <w:szCs w:val="20"/>
                <w:lang w:val="es-ES" w:eastAsia="en-GB"/>
              </w:rPr>
            </w:pPr>
            <w:r w:rsidRPr="00074250">
              <w:rPr>
                <w:rFonts w:cs="Arial"/>
                <w:b/>
                <w:bCs/>
                <w:sz w:val="20"/>
                <w:szCs w:val="20"/>
                <w:lang w:val="es-ES" w:eastAsia="es-ES"/>
              </w:rPr>
              <w:t>Entidad responsable</w:t>
            </w:r>
            <w:r w:rsidRPr="00074250">
              <w:rPr>
                <w:rFonts w:cs="Arial"/>
                <w:b/>
                <w:bCs/>
                <w:sz w:val="20"/>
                <w:szCs w:val="20"/>
                <w:vertAlign w:val="superscript"/>
                <w:lang w:val="es-ES" w:eastAsia="es-ES"/>
              </w:rPr>
              <w:footnoteReference w:id="14"/>
            </w:r>
            <w:r w:rsidRPr="00074250">
              <w:rPr>
                <w:rFonts w:cs="Arial"/>
                <w:b/>
                <w:bCs/>
                <w:sz w:val="20"/>
                <w:szCs w:val="20"/>
                <w:lang w:val="es-ES" w:eastAsia="es-ES"/>
              </w:rPr>
              <w:t> </w:t>
            </w:r>
          </w:p>
        </w:tc>
        <w:tc>
          <w:tcPr>
            <w:tcW w:w="686" w:type="pct"/>
            <w:tcBorders>
              <w:top w:val="single" w:sz="6" w:space="0" w:color="7F7F7F"/>
              <w:left w:val="nil"/>
              <w:bottom w:val="single" w:sz="6" w:space="0" w:color="7F7F7F"/>
              <w:right w:val="nil"/>
            </w:tcBorders>
            <w:shd w:val="clear" w:color="auto" w:fill="auto"/>
            <w:vAlign w:val="center"/>
            <w:hideMark/>
          </w:tcPr>
          <w:p w14:paraId="5A603C86" w14:textId="77777777" w:rsidR="002C7D6A" w:rsidRPr="00074250" w:rsidRDefault="002C7D6A" w:rsidP="002C7D6A">
            <w:pPr>
              <w:widowControl/>
              <w:autoSpaceDE/>
              <w:autoSpaceDN/>
              <w:adjustRightInd/>
              <w:textAlignment w:val="baseline"/>
              <w:rPr>
                <w:rFonts w:cs="Arial"/>
                <w:b/>
                <w:bCs/>
                <w:sz w:val="20"/>
                <w:szCs w:val="20"/>
                <w:lang w:val="es-ES" w:eastAsia="en-GB"/>
              </w:rPr>
            </w:pPr>
            <w:r w:rsidRPr="00074250">
              <w:rPr>
                <w:rFonts w:cs="Arial"/>
                <w:b/>
                <w:bCs/>
                <w:sz w:val="20"/>
                <w:szCs w:val="20"/>
                <w:lang w:val="es-ES" w:eastAsia="es-ES"/>
              </w:rPr>
              <w:t>Necesidades de financiación para la implementación</w:t>
            </w:r>
          </w:p>
        </w:tc>
        <w:tc>
          <w:tcPr>
            <w:tcW w:w="791" w:type="pct"/>
            <w:gridSpan w:val="2"/>
            <w:tcBorders>
              <w:top w:val="single" w:sz="6" w:space="0" w:color="7F7F7F"/>
              <w:left w:val="nil"/>
              <w:bottom w:val="single" w:sz="6" w:space="0" w:color="7F7F7F"/>
              <w:right w:val="nil"/>
            </w:tcBorders>
            <w:shd w:val="clear" w:color="auto" w:fill="auto"/>
            <w:vAlign w:val="center"/>
            <w:hideMark/>
          </w:tcPr>
          <w:p w14:paraId="38FED0FF" w14:textId="77777777" w:rsidR="002C7D6A" w:rsidRPr="00074250" w:rsidRDefault="002C7D6A" w:rsidP="002C7D6A">
            <w:pPr>
              <w:widowControl/>
              <w:autoSpaceDE/>
              <w:autoSpaceDN/>
              <w:adjustRightInd/>
              <w:textAlignment w:val="baseline"/>
              <w:rPr>
                <w:rFonts w:cs="Arial"/>
                <w:b/>
                <w:bCs/>
                <w:sz w:val="20"/>
                <w:szCs w:val="20"/>
                <w:lang w:val="es-ES" w:eastAsia="en-GB"/>
              </w:rPr>
            </w:pPr>
            <w:r w:rsidRPr="00074250">
              <w:rPr>
                <w:rFonts w:cs="Arial"/>
                <w:b/>
                <w:bCs/>
                <w:sz w:val="20"/>
                <w:szCs w:val="20"/>
                <w:lang w:val="es-ES" w:eastAsia="es-ES"/>
              </w:rPr>
              <w:t>Personal de la Secretaría necesario para la implementación (días laborables)</w:t>
            </w:r>
          </w:p>
        </w:tc>
      </w:tr>
      <w:tr w:rsidR="002C7D6A" w:rsidRPr="0026143E" w14:paraId="49EBC507" w14:textId="77777777" w:rsidTr="00FA667F">
        <w:trPr>
          <w:gridAfter w:val="1"/>
          <w:wAfter w:w="178" w:type="pct"/>
          <w:trHeight w:val="274"/>
        </w:trPr>
        <w:tc>
          <w:tcPr>
            <w:tcW w:w="4822" w:type="pct"/>
            <w:gridSpan w:val="8"/>
            <w:tcBorders>
              <w:top w:val="single" w:sz="6" w:space="0" w:color="7F7F7F"/>
              <w:left w:val="nil"/>
              <w:bottom w:val="single" w:sz="6" w:space="0" w:color="7F7F7F"/>
              <w:right w:val="nil"/>
            </w:tcBorders>
            <w:shd w:val="clear" w:color="auto" w:fill="auto"/>
            <w:hideMark/>
          </w:tcPr>
          <w:p w14:paraId="22484780" w14:textId="77777777" w:rsidR="002C7D6A" w:rsidRPr="00074250" w:rsidRDefault="002C7D6A" w:rsidP="002C7D6A">
            <w:pPr>
              <w:widowControl/>
              <w:autoSpaceDE/>
              <w:autoSpaceDN/>
              <w:adjustRightInd/>
              <w:textAlignment w:val="baseline"/>
              <w:rPr>
                <w:rFonts w:cs="Arial"/>
                <w:b/>
                <w:bCs/>
                <w:sz w:val="20"/>
                <w:szCs w:val="20"/>
                <w:lang w:val="es-ES" w:eastAsia="en-GB"/>
              </w:rPr>
            </w:pPr>
            <w:r w:rsidRPr="00074250">
              <w:rPr>
                <w:rFonts w:cs="Arial"/>
                <w:b/>
                <w:bCs/>
                <w:sz w:val="20"/>
                <w:szCs w:val="20"/>
                <w:lang w:val="es-ES" w:eastAsia="es-ES"/>
              </w:rPr>
              <w:t>Conservación de Especies/Conservación del Hábitat </w:t>
            </w:r>
          </w:p>
        </w:tc>
      </w:tr>
      <w:tr w:rsidR="002C7D6A" w:rsidRPr="0026143E" w14:paraId="1564B612" w14:textId="77777777" w:rsidTr="00FA667F">
        <w:trPr>
          <w:gridAfter w:val="1"/>
          <w:wAfter w:w="178" w:type="pct"/>
          <w:trHeight w:val="274"/>
        </w:trPr>
        <w:tc>
          <w:tcPr>
            <w:tcW w:w="4822" w:type="pct"/>
            <w:gridSpan w:val="8"/>
            <w:tcBorders>
              <w:top w:val="nil"/>
              <w:left w:val="nil"/>
              <w:bottom w:val="nil"/>
              <w:right w:val="nil"/>
            </w:tcBorders>
            <w:shd w:val="clear" w:color="auto" w:fill="auto"/>
            <w:hideMark/>
          </w:tcPr>
          <w:p w14:paraId="74F27AFA" w14:textId="77777777" w:rsidR="002C7D6A" w:rsidRPr="00074250" w:rsidRDefault="002C7D6A" w:rsidP="002C7D6A">
            <w:pPr>
              <w:spacing w:line="276" w:lineRule="auto"/>
              <w:ind w:right="252"/>
              <w:rPr>
                <w:rFonts w:cs="Arial"/>
                <w:b/>
                <w:bCs/>
                <w:sz w:val="20"/>
                <w:szCs w:val="20"/>
                <w:lang w:val="es-ES"/>
              </w:rPr>
            </w:pPr>
            <w:r w:rsidRPr="00074250">
              <w:rPr>
                <w:rFonts w:cs="Arial"/>
                <w:b/>
                <w:bCs/>
                <w:sz w:val="20"/>
                <w:szCs w:val="20"/>
                <w:lang w:val="es-ES" w:eastAsia="es-ES"/>
              </w:rPr>
              <w:t xml:space="preserve">X. </w:t>
            </w:r>
            <w:r w:rsidRPr="00074250">
              <w:rPr>
                <w:b/>
                <w:bCs/>
                <w:lang w:val="es-ES"/>
              </w:rPr>
              <w:t xml:space="preserve">Mejorar las notificaciones de los datos de desembarcos de las especies enumeradas en el Anexo 1 del </w:t>
            </w:r>
            <w:proofErr w:type="spellStart"/>
            <w:r w:rsidRPr="00074250">
              <w:rPr>
                <w:b/>
                <w:bCs/>
                <w:lang w:val="es-ES"/>
              </w:rPr>
              <w:t>MdE</w:t>
            </w:r>
            <w:proofErr w:type="spellEnd"/>
            <w:r w:rsidRPr="00074250">
              <w:rPr>
                <w:b/>
                <w:bCs/>
                <w:lang w:val="es-ES"/>
              </w:rPr>
              <w:t xml:space="preserve"> sobre tiburones</w:t>
            </w:r>
          </w:p>
        </w:tc>
      </w:tr>
      <w:tr w:rsidR="002C7D6A" w:rsidRPr="0026143E" w14:paraId="29AE0FA7" w14:textId="77777777" w:rsidTr="00FA667F">
        <w:trPr>
          <w:trHeight w:val="411"/>
        </w:trPr>
        <w:tc>
          <w:tcPr>
            <w:tcW w:w="205" w:type="pct"/>
            <w:tcBorders>
              <w:top w:val="single" w:sz="6" w:space="0" w:color="7F7F7F"/>
              <w:left w:val="nil"/>
              <w:bottom w:val="single" w:sz="6" w:space="0" w:color="7F7F7F"/>
              <w:right w:val="nil"/>
            </w:tcBorders>
            <w:shd w:val="clear" w:color="auto" w:fill="auto"/>
            <w:hideMark/>
          </w:tcPr>
          <w:p w14:paraId="53A97DB8" w14:textId="77777777" w:rsidR="002C7D6A" w:rsidRPr="00074250" w:rsidRDefault="002C7D6A" w:rsidP="002C7D6A">
            <w:pPr>
              <w:widowControl/>
              <w:autoSpaceDE/>
              <w:autoSpaceDN/>
              <w:adjustRightInd/>
              <w:textAlignment w:val="baseline"/>
              <w:rPr>
                <w:rFonts w:cs="Arial"/>
                <w:b/>
                <w:bCs/>
                <w:sz w:val="20"/>
                <w:szCs w:val="20"/>
                <w:lang w:val="es-ES" w:eastAsia="en-GB"/>
              </w:rPr>
            </w:pPr>
            <w:r w:rsidRPr="00074250">
              <w:rPr>
                <w:rFonts w:cs="Arial"/>
                <w:b/>
                <w:bCs/>
                <w:sz w:val="20"/>
                <w:szCs w:val="20"/>
                <w:lang w:val="es-ES" w:eastAsia="es-ES"/>
              </w:rPr>
              <w:t>x.1 </w:t>
            </w:r>
          </w:p>
        </w:tc>
        <w:tc>
          <w:tcPr>
            <w:tcW w:w="1429" w:type="pct"/>
            <w:tcBorders>
              <w:top w:val="single" w:sz="6" w:space="0" w:color="7F7F7F"/>
              <w:left w:val="nil"/>
              <w:bottom w:val="single" w:sz="6" w:space="0" w:color="7F7F7F"/>
              <w:right w:val="nil"/>
            </w:tcBorders>
            <w:shd w:val="clear" w:color="auto" w:fill="auto"/>
            <w:hideMark/>
          </w:tcPr>
          <w:p w14:paraId="2848E9FD" w14:textId="77777777" w:rsidR="002C7D6A" w:rsidRPr="00074250" w:rsidRDefault="002C7D6A" w:rsidP="002C7D6A">
            <w:pPr>
              <w:widowControl/>
              <w:autoSpaceDE/>
              <w:autoSpaceDN/>
              <w:adjustRightInd/>
              <w:textAlignment w:val="baseline"/>
              <w:rPr>
                <w:rFonts w:cs="Arial"/>
                <w:sz w:val="20"/>
                <w:szCs w:val="20"/>
                <w:lang w:val="es-ES" w:eastAsia="en-GB"/>
              </w:rPr>
            </w:pPr>
            <w:r w:rsidRPr="00074250">
              <w:rPr>
                <w:rFonts w:cs="Arial"/>
                <w:sz w:val="20"/>
                <w:szCs w:val="20"/>
                <w:lang w:val="es-ES" w:eastAsia="es-ES"/>
              </w:rPr>
              <w:t xml:space="preserve">Actualizar el análisis proporcionado en </w:t>
            </w:r>
            <w:hyperlink r:id="rId54" w:history="1">
              <w:r w:rsidRPr="00074250">
                <w:rPr>
                  <w:rFonts w:cs="Arial"/>
                  <w:color w:val="0000FF"/>
                  <w:sz w:val="20"/>
                  <w:szCs w:val="20"/>
                  <w:u w:val="single"/>
                  <w:lang w:val="es-ES" w:eastAsia="es-ES"/>
                </w:rPr>
                <w:t>CMS/</w:t>
              </w:r>
              <w:proofErr w:type="spellStart"/>
              <w:r w:rsidRPr="00074250">
                <w:rPr>
                  <w:rFonts w:cs="Arial"/>
                  <w:color w:val="0000FF"/>
                  <w:sz w:val="20"/>
                  <w:szCs w:val="20"/>
                  <w:u w:val="single"/>
                  <w:lang w:val="es-ES" w:eastAsia="es-ES"/>
                </w:rPr>
                <w:t>Sharks</w:t>
              </w:r>
              <w:proofErr w:type="spellEnd"/>
              <w:r w:rsidRPr="00074250">
                <w:rPr>
                  <w:rFonts w:cs="Arial"/>
                  <w:color w:val="0000FF"/>
                  <w:sz w:val="20"/>
                  <w:szCs w:val="20"/>
                  <w:u w:val="single"/>
                  <w:lang w:val="es-ES" w:eastAsia="es-ES"/>
                </w:rPr>
                <w:t>/MOS4/Doc.10.6</w:t>
              </w:r>
            </w:hyperlink>
            <w:r w:rsidRPr="00074250">
              <w:rPr>
                <w:rFonts w:cs="Arial"/>
                <w:sz w:val="20"/>
                <w:szCs w:val="20"/>
                <w:lang w:val="es-ES" w:eastAsia="es-ES"/>
              </w:rPr>
              <w:t xml:space="preserve"> para incluir los datos más actualizados y publicar los resultados en una revista revisada por científicos expertos en colaboración con los especialistas de la FAO (y otros especialistas pertinentes). </w:t>
            </w:r>
          </w:p>
        </w:tc>
        <w:tc>
          <w:tcPr>
            <w:tcW w:w="472" w:type="pct"/>
            <w:tcBorders>
              <w:top w:val="single" w:sz="6" w:space="0" w:color="7F7F7F"/>
              <w:left w:val="nil"/>
              <w:bottom w:val="single" w:sz="6" w:space="0" w:color="7F7F7F"/>
              <w:right w:val="nil"/>
            </w:tcBorders>
            <w:shd w:val="clear" w:color="auto" w:fill="auto"/>
            <w:hideMark/>
          </w:tcPr>
          <w:p w14:paraId="10456934" w14:textId="77777777" w:rsidR="002C7D6A" w:rsidRPr="00074250" w:rsidRDefault="002C7D6A" w:rsidP="002C7D6A">
            <w:pPr>
              <w:widowControl/>
              <w:autoSpaceDE/>
              <w:autoSpaceDN/>
              <w:adjustRightInd/>
              <w:jc w:val="center"/>
              <w:textAlignment w:val="baseline"/>
              <w:rPr>
                <w:rFonts w:cs="Arial"/>
                <w:sz w:val="20"/>
                <w:szCs w:val="20"/>
                <w:lang w:val="es-ES" w:eastAsia="en-GB"/>
              </w:rPr>
            </w:pPr>
            <w:r w:rsidRPr="00074250">
              <w:rPr>
                <w:rFonts w:cs="Arial"/>
                <w:sz w:val="20"/>
                <w:szCs w:val="20"/>
                <w:lang w:val="es-ES" w:eastAsia="es-ES"/>
              </w:rPr>
              <w:t>Decisiones MOS4</w:t>
            </w:r>
          </w:p>
        </w:tc>
        <w:tc>
          <w:tcPr>
            <w:tcW w:w="497" w:type="pct"/>
            <w:tcBorders>
              <w:top w:val="single" w:sz="6" w:space="0" w:color="7F7F7F"/>
              <w:left w:val="nil"/>
              <w:bottom w:val="single" w:sz="6" w:space="0" w:color="7F7F7F"/>
              <w:right w:val="nil"/>
            </w:tcBorders>
            <w:shd w:val="clear" w:color="auto" w:fill="auto"/>
            <w:hideMark/>
          </w:tcPr>
          <w:p w14:paraId="51E19EA5" w14:textId="77777777" w:rsidR="002C7D6A" w:rsidRPr="00074250" w:rsidRDefault="002C7D6A" w:rsidP="002C7D6A">
            <w:pPr>
              <w:widowControl/>
              <w:autoSpaceDE/>
              <w:autoSpaceDN/>
              <w:adjustRightInd/>
              <w:jc w:val="center"/>
              <w:textAlignment w:val="baseline"/>
              <w:rPr>
                <w:rFonts w:cs="Arial"/>
                <w:sz w:val="20"/>
                <w:szCs w:val="20"/>
                <w:lang w:val="es-ES" w:eastAsia="en-GB"/>
              </w:rPr>
            </w:pPr>
            <w:r w:rsidRPr="00074250">
              <w:rPr>
                <w:rFonts w:cs="Arial"/>
                <w:sz w:val="20"/>
                <w:szCs w:val="20"/>
                <w:lang w:val="es-ES" w:eastAsia="es-ES"/>
              </w:rPr>
              <w:t>por determinar</w:t>
            </w:r>
          </w:p>
        </w:tc>
        <w:tc>
          <w:tcPr>
            <w:tcW w:w="369" w:type="pct"/>
            <w:tcBorders>
              <w:top w:val="single" w:sz="6" w:space="0" w:color="7F7F7F"/>
              <w:left w:val="nil"/>
              <w:bottom w:val="single" w:sz="6" w:space="0" w:color="7F7F7F"/>
              <w:right w:val="nil"/>
            </w:tcBorders>
            <w:shd w:val="clear" w:color="auto" w:fill="auto"/>
            <w:hideMark/>
          </w:tcPr>
          <w:p w14:paraId="579006F7" w14:textId="77777777" w:rsidR="002C7D6A" w:rsidRPr="00074250" w:rsidRDefault="002C7D6A" w:rsidP="002C7D6A">
            <w:pPr>
              <w:widowControl/>
              <w:autoSpaceDE/>
              <w:autoSpaceDN/>
              <w:adjustRightInd/>
              <w:jc w:val="center"/>
              <w:textAlignment w:val="baseline"/>
              <w:rPr>
                <w:rFonts w:cs="Arial"/>
                <w:sz w:val="20"/>
                <w:szCs w:val="20"/>
                <w:lang w:val="es-ES" w:eastAsia="en-GB"/>
              </w:rPr>
            </w:pPr>
            <w:r w:rsidRPr="00074250">
              <w:rPr>
                <w:rFonts w:cs="Arial"/>
                <w:sz w:val="20"/>
                <w:szCs w:val="20"/>
                <w:lang w:val="es-ES" w:eastAsia="es-ES"/>
              </w:rPr>
              <w:t>2023</w:t>
            </w:r>
          </w:p>
        </w:tc>
        <w:tc>
          <w:tcPr>
            <w:tcW w:w="550" w:type="pct"/>
            <w:tcBorders>
              <w:top w:val="single" w:sz="6" w:space="0" w:color="7F7F7F"/>
              <w:left w:val="nil"/>
              <w:bottom w:val="single" w:sz="6" w:space="0" w:color="7F7F7F"/>
              <w:right w:val="nil"/>
            </w:tcBorders>
            <w:shd w:val="clear" w:color="auto" w:fill="auto"/>
          </w:tcPr>
          <w:p w14:paraId="4B682891" w14:textId="77777777" w:rsidR="002C7D6A" w:rsidRPr="00074250" w:rsidRDefault="002C7D6A" w:rsidP="002C7D6A">
            <w:pPr>
              <w:widowControl/>
              <w:autoSpaceDE/>
              <w:autoSpaceDN/>
              <w:adjustRightInd/>
              <w:jc w:val="center"/>
              <w:textAlignment w:val="baseline"/>
              <w:rPr>
                <w:rFonts w:cs="Arial"/>
                <w:sz w:val="20"/>
                <w:szCs w:val="20"/>
                <w:lang w:val="es-ES" w:eastAsia="en-GB"/>
              </w:rPr>
            </w:pPr>
            <w:r w:rsidRPr="00074250">
              <w:rPr>
                <w:rFonts w:cs="Arial"/>
                <w:sz w:val="20"/>
                <w:szCs w:val="20"/>
                <w:lang w:val="es-ES" w:eastAsia="es-ES"/>
              </w:rPr>
              <w:t>CA</w:t>
            </w:r>
          </w:p>
          <w:p w14:paraId="75E91FA9" w14:textId="77777777" w:rsidR="002C7D6A" w:rsidRPr="00074250" w:rsidRDefault="002C7D6A" w:rsidP="002C7D6A">
            <w:pPr>
              <w:widowControl/>
              <w:autoSpaceDE/>
              <w:autoSpaceDN/>
              <w:adjustRightInd/>
              <w:jc w:val="center"/>
              <w:textAlignment w:val="baseline"/>
              <w:rPr>
                <w:rFonts w:cs="Arial"/>
                <w:sz w:val="20"/>
                <w:szCs w:val="20"/>
                <w:lang w:val="es-ES" w:eastAsia="en-GB"/>
              </w:rPr>
            </w:pPr>
            <w:proofErr w:type="spellStart"/>
            <w:r w:rsidRPr="00074250">
              <w:rPr>
                <w:rFonts w:cs="Arial"/>
                <w:sz w:val="20"/>
                <w:szCs w:val="20"/>
                <w:lang w:val="es-ES" w:eastAsia="es-ES"/>
              </w:rPr>
              <w:t>Coop</w:t>
            </w:r>
            <w:proofErr w:type="spellEnd"/>
          </w:p>
          <w:p w14:paraId="0B708032" w14:textId="77777777" w:rsidR="002C7D6A" w:rsidRPr="00074250" w:rsidRDefault="002C7D6A" w:rsidP="002C7D6A">
            <w:pPr>
              <w:widowControl/>
              <w:autoSpaceDE/>
              <w:autoSpaceDN/>
              <w:adjustRightInd/>
              <w:jc w:val="center"/>
              <w:textAlignment w:val="baseline"/>
              <w:rPr>
                <w:rFonts w:cs="Arial"/>
                <w:sz w:val="20"/>
                <w:szCs w:val="20"/>
                <w:lang w:val="es-ES" w:eastAsia="en-GB"/>
              </w:rPr>
            </w:pPr>
            <w:r w:rsidRPr="00074250">
              <w:rPr>
                <w:rFonts w:cs="Arial"/>
                <w:sz w:val="20"/>
                <w:szCs w:val="20"/>
                <w:lang w:val="es-ES" w:eastAsia="es-ES"/>
              </w:rPr>
              <w:t>CWG</w:t>
            </w:r>
          </w:p>
        </w:tc>
        <w:tc>
          <w:tcPr>
            <w:tcW w:w="686" w:type="pct"/>
            <w:tcBorders>
              <w:top w:val="single" w:sz="6" w:space="0" w:color="7F7F7F"/>
              <w:left w:val="nil"/>
              <w:bottom w:val="single" w:sz="6" w:space="0" w:color="7F7F7F"/>
              <w:right w:val="nil"/>
            </w:tcBorders>
            <w:shd w:val="clear" w:color="auto" w:fill="auto"/>
          </w:tcPr>
          <w:p w14:paraId="75F2C3EB" w14:textId="77777777" w:rsidR="002C7D6A" w:rsidRPr="00074250" w:rsidRDefault="002C7D6A" w:rsidP="002C7D6A">
            <w:pPr>
              <w:widowControl/>
              <w:autoSpaceDE/>
              <w:autoSpaceDN/>
              <w:adjustRightInd/>
              <w:textAlignment w:val="baseline"/>
              <w:rPr>
                <w:rFonts w:cs="Arial"/>
                <w:sz w:val="20"/>
                <w:szCs w:val="20"/>
                <w:lang w:val="es-ES" w:eastAsia="en-GB"/>
              </w:rPr>
            </w:pPr>
            <w:r w:rsidRPr="00074250">
              <w:rPr>
                <w:rFonts w:cs="Arial"/>
                <w:sz w:val="20"/>
                <w:szCs w:val="20"/>
                <w:lang w:val="es-ES" w:eastAsia="es-ES"/>
              </w:rPr>
              <w:t>16 000 €</w:t>
            </w:r>
          </w:p>
          <w:p w14:paraId="7D5312B1" w14:textId="77777777" w:rsidR="002C7D6A" w:rsidRPr="00074250" w:rsidRDefault="002C7D6A" w:rsidP="002C7D6A">
            <w:pPr>
              <w:widowControl/>
              <w:autoSpaceDE/>
              <w:autoSpaceDN/>
              <w:adjustRightInd/>
              <w:textAlignment w:val="baseline"/>
              <w:rPr>
                <w:rFonts w:cs="Arial"/>
                <w:sz w:val="20"/>
                <w:szCs w:val="20"/>
                <w:lang w:val="es-ES" w:eastAsia="en-GB"/>
              </w:rPr>
            </w:pPr>
            <w:r w:rsidRPr="00074250">
              <w:rPr>
                <w:rFonts w:cs="Arial"/>
                <w:sz w:val="20"/>
                <w:szCs w:val="20"/>
                <w:lang w:val="es-ES" w:eastAsia="es-ES"/>
              </w:rPr>
              <w:t>(Asesoría y tarifas de publicación en acceso abierto)</w:t>
            </w:r>
          </w:p>
        </w:tc>
        <w:tc>
          <w:tcPr>
            <w:tcW w:w="791" w:type="pct"/>
            <w:gridSpan w:val="2"/>
            <w:tcBorders>
              <w:top w:val="single" w:sz="6" w:space="0" w:color="7F7F7F"/>
              <w:left w:val="nil"/>
              <w:bottom w:val="single" w:sz="6" w:space="0" w:color="7F7F7F"/>
              <w:right w:val="nil"/>
            </w:tcBorders>
            <w:shd w:val="clear" w:color="auto" w:fill="auto"/>
          </w:tcPr>
          <w:p w14:paraId="7701081C" w14:textId="77777777" w:rsidR="002C7D6A" w:rsidRPr="00074250" w:rsidRDefault="002C7D6A" w:rsidP="002C7D6A">
            <w:pPr>
              <w:widowControl/>
              <w:autoSpaceDE/>
              <w:autoSpaceDN/>
              <w:adjustRightInd/>
              <w:textAlignment w:val="baseline"/>
              <w:rPr>
                <w:rFonts w:cs="Arial"/>
                <w:sz w:val="20"/>
                <w:szCs w:val="20"/>
                <w:lang w:val="es-ES" w:eastAsia="en-GB"/>
              </w:rPr>
            </w:pPr>
            <w:r w:rsidRPr="00074250">
              <w:rPr>
                <w:rFonts w:cs="Arial"/>
                <w:sz w:val="20"/>
                <w:szCs w:val="20"/>
                <w:lang w:val="es-ES" w:eastAsia="es-ES"/>
              </w:rPr>
              <w:t>P personal: 5</w:t>
            </w:r>
          </w:p>
          <w:p w14:paraId="7DA10517" w14:textId="77777777" w:rsidR="002C7D6A" w:rsidRPr="00074250" w:rsidRDefault="002C7D6A" w:rsidP="002C7D6A">
            <w:pPr>
              <w:widowControl/>
              <w:autoSpaceDE/>
              <w:autoSpaceDN/>
              <w:adjustRightInd/>
              <w:textAlignment w:val="baseline"/>
              <w:rPr>
                <w:rFonts w:cs="Arial"/>
                <w:sz w:val="20"/>
                <w:szCs w:val="20"/>
                <w:lang w:val="es-ES" w:eastAsia="en-GB"/>
              </w:rPr>
            </w:pPr>
            <w:r w:rsidRPr="00074250">
              <w:rPr>
                <w:rFonts w:cs="Arial"/>
                <w:sz w:val="20"/>
                <w:szCs w:val="20"/>
                <w:lang w:val="es-ES" w:eastAsia="es-ES"/>
              </w:rPr>
              <w:t>G personal: 0.5</w:t>
            </w:r>
          </w:p>
          <w:p w14:paraId="254D4B5A" w14:textId="77777777" w:rsidR="002C7D6A" w:rsidRPr="00074250" w:rsidRDefault="002C7D6A" w:rsidP="002C7D6A">
            <w:pPr>
              <w:widowControl/>
              <w:autoSpaceDE/>
              <w:autoSpaceDN/>
              <w:adjustRightInd/>
              <w:textAlignment w:val="baseline"/>
              <w:rPr>
                <w:rFonts w:cs="Arial"/>
                <w:sz w:val="20"/>
                <w:szCs w:val="20"/>
                <w:lang w:val="es-ES" w:eastAsia="en-GB"/>
              </w:rPr>
            </w:pPr>
          </w:p>
          <w:p w14:paraId="21508940" w14:textId="77777777" w:rsidR="002C7D6A" w:rsidRPr="00074250" w:rsidRDefault="002C7D6A" w:rsidP="002C7D6A">
            <w:pPr>
              <w:widowControl/>
              <w:autoSpaceDE/>
              <w:autoSpaceDN/>
              <w:adjustRightInd/>
              <w:textAlignment w:val="baseline"/>
              <w:rPr>
                <w:rFonts w:cs="Arial"/>
                <w:sz w:val="20"/>
                <w:szCs w:val="20"/>
                <w:lang w:val="es-ES" w:eastAsia="en-GB"/>
              </w:rPr>
            </w:pPr>
            <w:r w:rsidRPr="00074250">
              <w:rPr>
                <w:rFonts w:cs="Arial"/>
                <w:sz w:val="20"/>
                <w:szCs w:val="20"/>
                <w:lang w:val="es-ES" w:eastAsia="es-ES"/>
              </w:rPr>
              <w:t>(reclutamiento y asesor orientador, gestión de los acuerdos con los donantes)</w:t>
            </w:r>
          </w:p>
        </w:tc>
      </w:tr>
      <w:tr w:rsidR="002C7D6A" w:rsidRPr="00074250" w14:paraId="3E7EBEA5" w14:textId="77777777" w:rsidTr="00FA667F">
        <w:trPr>
          <w:trHeight w:val="411"/>
        </w:trPr>
        <w:tc>
          <w:tcPr>
            <w:tcW w:w="205" w:type="pct"/>
            <w:tcBorders>
              <w:top w:val="nil"/>
              <w:left w:val="nil"/>
              <w:bottom w:val="nil"/>
              <w:right w:val="nil"/>
            </w:tcBorders>
            <w:shd w:val="clear" w:color="auto" w:fill="auto"/>
            <w:hideMark/>
          </w:tcPr>
          <w:p w14:paraId="159B4460" w14:textId="77777777" w:rsidR="002C7D6A" w:rsidRPr="00074250" w:rsidRDefault="002C7D6A" w:rsidP="002C7D6A">
            <w:pPr>
              <w:widowControl/>
              <w:autoSpaceDE/>
              <w:autoSpaceDN/>
              <w:adjustRightInd/>
              <w:textAlignment w:val="baseline"/>
              <w:rPr>
                <w:rFonts w:cs="Arial"/>
                <w:b/>
                <w:bCs/>
                <w:sz w:val="20"/>
                <w:szCs w:val="20"/>
                <w:lang w:val="es-ES" w:eastAsia="en-GB"/>
              </w:rPr>
            </w:pPr>
            <w:r w:rsidRPr="00074250">
              <w:rPr>
                <w:rFonts w:cs="Arial"/>
                <w:b/>
                <w:bCs/>
                <w:sz w:val="20"/>
                <w:szCs w:val="20"/>
                <w:lang w:val="es-ES" w:eastAsia="es-ES"/>
              </w:rPr>
              <w:t>x.2 </w:t>
            </w:r>
          </w:p>
        </w:tc>
        <w:tc>
          <w:tcPr>
            <w:tcW w:w="1429" w:type="pct"/>
            <w:tcBorders>
              <w:top w:val="nil"/>
              <w:left w:val="nil"/>
              <w:bottom w:val="nil"/>
              <w:right w:val="nil"/>
            </w:tcBorders>
            <w:shd w:val="clear" w:color="auto" w:fill="auto"/>
            <w:hideMark/>
          </w:tcPr>
          <w:p w14:paraId="009ACE07" w14:textId="77777777" w:rsidR="002C7D6A" w:rsidRPr="00074250" w:rsidRDefault="002C7D6A" w:rsidP="002C7D6A">
            <w:pPr>
              <w:widowControl/>
              <w:autoSpaceDE/>
              <w:autoSpaceDN/>
              <w:adjustRightInd/>
              <w:textAlignment w:val="baseline"/>
              <w:rPr>
                <w:rFonts w:cs="Arial"/>
                <w:sz w:val="20"/>
                <w:szCs w:val="20"/>
                <w:lang w:val="es-ES" w:eastAsia="en-GB"/>
              </w:rPr>
            </w:pPr>
            <w:r w:rsidRPr="00074250">
              <w:rPr>
                <w:rFonts w:cs="Arial"/>
                <w:sz w:val="20"/>
                <w:szCs w:val="20"/>
                <w:lang w:val="es-ES" w:eastAsia="es-ES"/>
              </w:rPr>
              <w:t>Realizar análisis de aquellos datos de tiburones enumerados en el Anexo 1 según lo notificado a las OROP pertinentes (</w:t>
            </w:r>
            <w:proofErr w:type="gramStart"/>
            <w:r w:rsidRPr="00074250">
              <w:rPr>
                <w:rFonts w:cs="Arial"/>
                <w:sz w:val="20"/>
                <w:szCs w:val="20"/>
                <w:lang w:val="es-ES" w:eastAsia="es-ES"/>
              </w:rPr>
              <w:t>p.</w:t>
            </w:r>
            <w:proofErr w:type="spellStart"/>
            <w:r w:rsidRPr="00074250">
              <w:rPr>
                <w:rFonts w:cs="Arial"/>
                <w:sz w:val="20"/>
                <w:szCs w:val="20"/>
                <w:lang w:val="es-ES" w:eastAsia="es-ES"/>
              </w:rPr>
              <w:t>ej</w:t>
            </w:r>
            <w:proofErr w:type="spellEnd"/>
            <w:r w:rsidRPr="00074250">
              <w:rPr>
                <w:rFonts w:cs="Arial"/>
                <w:sz w:val="20"/>
                <w:szCs w:val="20"/>
                <w:lang w:val="es-ES" w:eastAsia="es-ES"/>
              </w:rPr>
              <w:t>.,ICCAT</w:t>
            </w:r>
            <w:proofErr w:type="gramEnd"/>
            <w:r w:rsidRPr="00074250">
              <w:rPr>
                <w:rFonts w:cs="Arial"/>
                <w:sz w:val="20"/>
                <w:szCs w:val="20"/>
                <w:lang w:val="es-ES" w:eastAsia="es-ES"/>
              </w:rPr>
              <w:t xml:space="preserve">), incluyendo la comparación con datos comparativos en poder de la FAO en colaboración con especialistas, incluidas las reuniones del grupo de trabajo de las OROP. </w:t>
            </w:r>
          </w:p>
        </w:tc>
        <w:tc>
          <w:tcPr>
            <w:tcW w:w="472" w:type="pct"/>
            <w:tcBorders>
              <w:top w:val="nil"/>
              <w:left w:val="nil"/>
              <w:bottom w:val="nil"/>
              <w:right w:val="nil"/>
            </w:tcBorders>
            <w:shd w:val="clear" w:color="auto" w:fill="auto"/>
            <w:hideMark/>
          </w:tcPr>
          <w:p w14:paraId="4DDE8A08" w14:textId="77777777" w:rsidR="002C7D6A" w:rsidRPr="00074250" w:rsidRDefault="002C7D6A" w:rsidP="002C7D6A">
            <w:pPr>
              <w:widowControl/>
              <w:autoSpaceDE/>
              <w:autoSpaceDN/>
              <w:adjustRightInd/>
              <w:jc w:val="center"/>
              <w:textAlignment w:val="baseline"/>
              <w:rPr>
                <w:rFonts w:cs="Arial"/>
                <w:sz w:val="20"/>
                <w:szCs w:val="20"/>
                <w:lang w:val="es-ES" w:eastAsia="en-GB"/>
              </w:rPr>
            </w:pPr>
            <w:r w:rsidRPr="00074250">
              <w:rPr>
                <w:rFonts w:cs="Arial"/>
                <w:sz w:val="20"/>
                <w:szCs w:val="20"/>
                <w:lang w:val="es-ES" w:eastAsia="es-ES"/>
              </w:rPr>
              <w:t>Decisiones MOS4</w:t>
            </w:r>
          </w:p>
        </w:tc>
        <w:tc>
          <w:tcPr>
            <w:tcW w:w="497" w:type="pct"/>
            <w:tcBorders>
              <w:top w:val="nil"/>
              <w:left w:val="nil"/>
              <w:bottom w:val="nil"/>
              <w:right w:val="nil"/>
            </w:tcBorders>
            <w:shd w:val="clear" w:color="auto" w:fill="auto"/>
            <w:hideMark/>
          </w:tcPr>
          <w:p w14:paraId="6D62242E" w14:textId="77777777" w:rsidR="002C7D6A" w:rsidRPr="00074250" w:rsidRDefault="002C7D6A" w:rsidP="002C7D6A">
            <w:pPr>
              <w:widowControl/>
              <w:autoSpaceDE/>
              <w:autoSpaceDN/>
              <w:adjustRightInd/>
              <w:jc w:val="center"/>
              <w:textAlignment w:val="baseline"/>
              <w:rPr>
                <w:rFonts w:cs="Arial"/>
                <w:sz w:val="20"/>
                <w:szCs w:val="20"/>
                <w:lang w:val="es-ES" w:eastAsia="en-GB"/>
              </w:rPr>
            </w:pPr>
            <w:r w:rsidRPr="00074250">
              <w:rPr>
                <w:rFonts w:cs="Arial"/>
                <w:sz w:val="20"/>
                <w:szCs w:val="20"/>
                <w:lang w:val="es-ES" w:eastAsia="es-ES"/>
              </w:rPr>
              <w:t>por determinar</w:t>
            </w:r>
          </w:p>
        </w:tc>
        <w:tc>
          <w:tcPr>
            <w:tcW w:w="369" w:type="pct"/>
            <w:tcBorders>
              <w:top w:val="nil"/>
              <w:left w:val="nil"/>
              <w:bottom w:val="nil"/>
              <w:right w:val="nil"/>
            </w:tcBorders>
            <w:shd w:val="clear" w:color="auto" w:fill="auto"/>
            <w:hideMark/>
          </w:tcPr>
          <w:p w14:paraId="6912E4C1" w14:textId="77777777" w:rsidR="002C7D6A" w:rsidRPr="00074250" w:rsidRDefault="002C7D6A" w:rsidP="002C7D6A">
            <w:pPr>
              <w:widowControl/>
              <w:autoSpaceDE/>
              <w:autoSpaceDN/>
              <w:adjustRightInd/>
              <w:jc w:val="center"/>
              <w:textAlignment w:val="baseline"/>
              <w:rPr>
                <w:rFonts w:cs="Arial"/>
                <w:sz w:val="20"/>
                <w:szCs w:val="20"/>
                <w:lang w:val="es-ES" w:eastAsia="en-GB"/>
              </w:rPr>
            </w:pPr>
            <w:r w:rsidRPr="00074250">
              <w:rPr>
                <w:rFonts w:cs="Arial"/>
                <w:sz w:val="20"/>
                <w:szCs w:val="20"/>
                <w:lang w:val="es-ES" w:eastAsia="es-ES"/>
              </w:rPr>
              <w:t>2023-2025</w:t>
            </w:r>
          </w:p>
        </w:tc>
        <w:tc>
          <w:tcPr>
            <w:tcW w:w="550" w:type="pct"/>
            <w:tcBorders>
              <w:top w:val="nil"/>
              <w:left w:val="nil"/>
              <w:bottom w:val="nil"/>
              <w:right w:val="nil"/>
            </w:tcBorders>
            <w:shd w:val="clear" w:color="auto" w:fill="auto"/>
          </w:tcPr>
          <w:p w14:paraId="14DEBD9F" w14:textId="77777777" w:rsidR="002C7D6A" w:rsidRPr="00074250" w:rsidRDefault="002C7D6A" w:rsidP="002C7D6A">
            <w:pPr>
              <w:widowControl/>
              <w:autoSpaceDE/>
              <w:autoSpaceDN/>
              <w:adjustRightInd/>
              <w:jc w:val="center"/>
              <w:textAlignment w:val="baseline"/>
              <w:rPr>
                <w:rFonts w:cs="Arial"/>
                <w:sz w:val="20"/>
                <w:szCs w:val="20"/>
                <w:lang w:val="es-ES" w:eastAsia="en-GB"/>
              </w:rPr>
            </w:pPr>
            <w:r w:rsidRPr="00074250">
              <w:rPr>
                <w:rFonts w:cs="Arial"/>
                <w:sz w:val="20"/>
                <w:szCs w:val="20"/>
                <w:lang w:val="es-ES" w:eastAsia="es-ES"/>
              </w:rPr>
              <w:t>CA</w:t>
            </w:r>
          </w:p>
          <w:p w14:paraId="401D39C1" w14:textId="77777777" w:rsidR="002C7D6A" w:rsidRPr="00074250" w:rsidRDefault="002C7D6A" w:rsidP="002C7D6A">
            <w:pPr>
              <w:widowControl/>
              <w:autoSpaceDE/>
              <w:autoSpaceDN/>
              <w:adjustRightInd/>
              <w:jc w:val="center"/>
              <w:textAlignment w:val="baseline"/>
              <w:rPr>
                <w:rFonts w:cs="Arial"/>
                <w:sz w:val="20"/>
                <w:szCs w:val="20"/>
                <w:lang w:val="es-ES" w:eastAsia="en-GB"/>
              </w:rPr>
            </w:pPr>
            <w:proofErr w:type="spellStart"/>
            <w:r w:rsidRPr="00074250">
              <w:rPr>
                <w:rFonts w:cs="Arial"/>
                <w:sz w:val="20"/>
                <w:szCs w:val="20"/>
                <w:lang w:val="es-ES" w:eastAsia="es-ES"/>
              </w:rPr>
              <w:t>Coop</w:t>
            </w:r>
            <w:proofErr w:type="spellEnd"/>
          </w:p>
          <w:p w14:paraId="3C3D7568" w14:textId="77777777" w:rsidR="002C7D6A" w:rsidRPr="00074250" w:rsidRDefault="002C7D6A" w:rsidP="002C7D6A">
            <w:pPr>
              <w:widowControl/>
              <w:autoSpaceDE/>
              <w:autoSpaceDN/>
              <w:adjustRightInd/>
              <w:jc w:val="center"/>
              <w:textAlignment w:val="baseline"/>
              <w:rPr>
                <w:rFonts w:cs="Arial"/>
                <w:sz w:val="20"/>
                <w:szCs w:val="20"/>
                <w:lang w:val="es-ES" w:eastAsia="en-GB"/>
              </w:rPr>
            </w:pPr>
            <w:r w:rsidRPr="00074250">
              <w:rPr>
                <w:rFonts w:cs="Arial"/>
                <w:sz w:val="20"/>
                <w:szCs w:val="20"/>
                <w:lang w:val="es-ES" w:eastAsia="es-ES"/>
              </w:rPr>
              <w:t>CWG</w:t>
            </w:r>
          </w:p>
        </w:tc>
        <w:tc>
          <w:tcPr>
            <w:tcW w:w="686" w:type="pct"/>
            <w:tcBorders>
              <w:top w:val="nil"/>
              <w:left w:val="nil"/>
              <w:bottom w:val="nil"/>
              <w:right w:val="nil"/>
            </w:tcBorders>
            <w:shd w:val="clear" w:color="auto" w:fill="auto"/>
          </w:tcPr>
          <w:p w14:paraId="1CCDFDE3" w14:textId="77777777" w:rsidR="002C7D6A" w:rsidRPr="00074250" w:rsidRDefault="002C7D6A" w:rsidP="002C7D6A">
            <w:pPr>
              <w:widowControl/>
              <w:autoSpaceDE/>
              <w:autoSpaceDN/>
              <w:adjustRightInd/>
              <w:textAlignment w:val="baseline"/>
              <w:rPr>
                <w:rFonts w:cs="Arial"/>
                <w:sz w:val="20"/>
                <w:szCs w:val="20"/>
                <w:lang w:val="es-ES" w:eastAsia="en-GB"/>
              </w:rPr>
            </w:pPr>
            <w:r w:rsidRPr="00074250">
              <w:rPr>
                <w:rFonts w:cs="Arial"/>
                <w:sz w:val="20"/>
                <w:szCs w:val="20"/>
                <w:lang w:val="es-ES" w:eastAsia="es-ES"/>
              </w:rPr>
              <w:t>10 000 € (asistencia en viajes para presentar documentos de trabajo a reuniones del grupo de trabajo de las OROP pertinentes; 3 misiones)</w:t>
            </w:r>
          </w:p>
        </w:tc>
        <w:tc>
          <w:tcPr>
            <w:tcW w:w="791" w:type="pct"/>
            <w:gridSpan w:val="2"/>
            <w:tcBorders>
              <w:top w:val="nil"/>
              <w:left w:val="nil"/>
              <w:bottom w:val="nil"/>
              <w:right w:val="nil"/>
            </w:tcBorders>
            <w:shd w:val="clear" w:color="auto" w:fill="auto"/>
          </w:tcPr>
          <w:p w14:paraId="25919E8B" w14:textId="77777777" w:rsidR="002C7D6A" w:rsidRPr="00074250" w:rsidRDefault="002C7D6A" w:rsidP="002C7D6A">
            <w:pPr>
              <w:widowControl/>
              <w:autoSpaceDE/>
              <w:autoSpaceDN/>
              <w:adjustRightInd/>
              <w:textAlignment w:val="baseline"/>
              <w:rPr>
                <w:rFonts w:cs="Arial"/>
                <w:sz w:val="20"/>
                <w:szCs w:val="20"/>
                <w:lang w:val="es-ES" w:eastAsia="en-GB"/>
              </w:rPr>
            </w:pPr>
            <w:r w:rsidRPr="00074250">
              <w:rPr>
                <w:rFonts w:cs="Arial"/>
                <w:sz w:val="20"/>
                <w:szCs w:val="20"/>
                <w:lang w:val="es-ES" w:eastAsia="es-ES"/>
              </w:rPr>
              <w:t>P personal: 0.5</w:t>
            </w:r>
          </w:p>
          <w:p w14:paraId="5E7C135C" w14:textId="77777777" w:rsidR="002C7D6A" w:rsidRPr="00074250" w:rsidRDefault="002C7D6A" w:rsidP="002C7D6A">
            <w:pPr>
              <w:widowControl/>
              <w:autoSpaceDE/>
              <w:autoSpaceDN/>
              <w:adjustRightInd/>
              <w:textAlignment w:val="baseline"/>
              <w:rPr>
                <w:rFonts w:cs="Arial"/>
                <w:sz w:val="20"/>
                <w:szCs w:val="20"/>
                <w:lang w:val="es-ES" w:eastAsia="en-GB"/>
              </w:rPr>
            </w:pPr>
            <w:r w:rsidRPr="00074250">
              <w:rPr>
                <w:rFonts w:cs="Arial"/>
                <w:sz w:val="20"/>
                <w:szCs w:val="20"/>
                <w:lang w:val="es-ES" w:eastAsia="es-ES"/>
              </w:rPr>
              <w:t>Personal de servicios generales: 1</w:t>
            </w:r>
          </w:p>
          <w:p w14:paraId="58FF9A98" w14:textId="77777777" w:rsidR="002C7D6A" w:rsidRPr="00074250" w:rsidRDefault="002C7D6A" w:rsidP="002C7D6A">
            <w:pPr>
              <w:widowControl/>
              <w:autoSpaceDE/>
              <w:autoSpaceDN/>
              <w:adjustRightInd/>
              <w:textAlignment w:val="baseline"/>
              <w:rPr>
                <w:rFonts w:cs="Arial"/>
                <w:sz w:val="20"/>
                <w:szCs w:val="20"/>
                <w:lang w:val="es-ES" w:eastAsia="en-GB"/>
              </w:rPr>
            </w:pPr>
          </w:p>
          <w:p w14:paraId="60DAA1D1" w14:textId="77777777" w:rsidR="002C7D6A" w:rsidRPr="00074250" w:rsidRDefault="002C7D6A" w:rsidP="002C7D6A">
            <w:pPr>
              <w:widowControl/>
              <w:autoSpaceDE/>
              <w:autoSpaceDN/>
              <w:adjustRightInd/>
              <w:textAlignment w:val="baseline"/>
              <w:rPr>
                <w:rFonts w:cs="Arial"/>
                <w:sz w:val="20"/>
                <w:szCs w:val="20"/>
                <w:lang w:val="es-ES" w:eastAsia="en-GB"/>
              </w:rPr>
            </w:pPr>
            <w:r w:rsidRPr="00074250">
              <w:rPr>
                <w:rFonts w:cs="Arial"/>
                <w:sz w:val="20"/>
                <w:szCs w:val="20"/>
                <w:lang w:val="es-ES" w:eastAsia="es-ES"/>
              </w:rPr>
              <w:t>(gestión de viajes)</w:t>
            </w:r>
          </w:p>
        </w:tc>
      </w:tr>
      <w:tr w:rsidR="002C7D6A" w:rsidRPr="0026143E" w14:paraId="3714109C" w14:textId="77777777" w:rsidTr="00FA667F">
        <w:trPr>
          <w:trHeight w:val="411"/>
        </w:trPr>
        <w:tc>
          <w:tcPr>
            <w:tcW w:w="205" w:type="pct"/>
            <w:tcBorders>
              <w:top w:val="single" w:sz="6" w:space="0" w:color="7F7F7F"/>
              <w:left w:val="nil"/>
              <w:bottom w:val="single" w:sz="6" w:space="0" w:color="7F7F7F"/>
              <w:right w:val="nil"/>
            </w:tcBorders>
            <w:shd w:val="clear" w:color="auto" w:fill="auto"/>
            <w:hideMark/>
          </w:tcPr>
          <w:p w14:paraId="1F64931D" w14:textId="77777777" w:rsidR="002C7D6A" w:rsidRPr="00074250" w:rsidRDefault="002C7D6A" w:rsidP="002C7D6A">
            <w:pPr>
              <w:widowControl/>
              <w:autoSpaceDE/>
              <w:autoSpaceDN/>
              <w:adjustRightInd/>
              <w:textAlignment w:val="baseline"/>
              <w:rPr>
                <w:rFonts w:cs="Arial"/>
                <w:b/>
                <w:bCs/>
                <w:sz w:val="20"/>
                <w:szCs w:val="20"/>
                <w:lang w:val="es-ES" w:eastAsia="en-GB"/>
              </w:rPr>
            </w:pPr>
            <w:r w:rsidRPr="00074250">
              <w:rPr>
                <w:rFonts w:cs="Arial"/>
                <w:b/>
                <w:bCs/>
                <w:sz w:val="20"/>
                <w:szCs w:val="20"/>
                <w:lang w:val="es-ES" w:eastAsia="es-ES"/>
              </w:rPr>
              <w:t>x.3 </w:t>
            </w:r>
          </w:p>
        </w:tc>
        <w:tc>
          <w:tcPr>
            <w:tcW w:w="1429" w:type="pct"/>
            <w:tcBorders>
              <w:top w:val="single" w:sz="6" w:space="0" w:color="7F7F7F"/>
              <w:left w:val="nil"/>
              <w:bottom w:val="single" w:sz="6" w:space="0" w:color="7F7F7F"/>
              <w:right w:val="nil"/>
            </w:tcBorders>
            <w:shd w:val="clear" w:color="auto" w:fill="auto"/>
            <w:hideMark/>
          </w:tcPr>
          <w:p w14:paraId="706C8AD6" w14:textId="77777777" w:rsidR="002C7D6A" w:rsidRPr="00074250" w:rsidRDefault="002C7D6A" w:rsidP="002C7D6A">
            <w:pPr>
              <w:widowControl/>
              <w:autoSpaceDE/>
              <w:autoSpaceDN/>
              <w:adjustRightInd/>
              <w:textAlignment w:val="baseline"/>
              <w:rPr>
                <w:rFonts w:cs="Arial"/>
                <w:sz w:val="20"/>
                <w:szCs w:val="20"/>
                <w:lang w:val="es-ES" w:eastAsia="en-GB"/>
              </w:rPr>
            </w:pPr>
            <w:r w:rsidRPr="00074250">
              <w:rPr>
                <w:rFonts w:cs="Arial"/>
                <w:sz w:val="20"/>
                <w:szCs w:val="20"/>
                <w:lang w:val="es-ES" w:eastAsia="es-ES"/>
              </w:rPr>
              <w:t xml:space="preserve">Identificar los tipos de errores o errores potenciales que se han observado en los análisis de los datos de desembarcos y desarrollar directrices para que las naciones evalúen sus datos nacionales de desembarcos para mejorar el control de calidad de los datos enviados. </w:t>
            </w:r>
          </w:p>
        </w:tc>
        <w:tc>
          <w:tcPr>
            <w:tcW w:w="472" w:type="pct"/>
            <w:tcBorders>
              <w:top w:val="single" w:sz="6" w:space="0" w:color="7F7F7F"/>
              <w:left w:val="nil"/>
              <w:bottom w:val="single" w:sz="6" w:space="0" w:color="7F7F7F"/>
              <w:right w:val="nil"/>
            </w:tcBorders>
            <w:shd w:val="clear" w:color="auto" w:fill="auto"/>
            <w:hideMark/>
          </w:tcPr>
          <w:p w14:paraId="0F1722A4" w14:textId="77777777" w:rsidR="002C7D6A" w:rsidRPr="00074250" w:rsidRDefault="002C7D6A" w:rsidP="002C7D6A">
            <w:pPr>
              <w:widowControl/>
              <w:autoSpaceDE/>
              <w:autoSpaceDN/>
              <w:adjustRightInd/>
              <w:jc w:val="center"/>
              <w:textAlignment w:val="baseline"/>
              <w:rPr>
                <w:rFonts w:cs="Arial"/>
                <w:sz w:val="20"/>
                <w:szCs w:val="20"/>
                <w:lang w:val="es-ES" w:eastAsia="en-GB"/>
              </w:rPr>
            </w:pPr>
            <w:r w:rsidRPr="00074250">
              <w:rPr>
                <w:rFonts w:cs="Arial"/>
                <w:sz w:val="20"/>
                <w:szCs w:val="20"/>
                <w:lang w:val="es-ES" w:eastAsia="es-ES"/>
              </w:rPr>
              <w:t>Decisiones MOS4</w:t>
            </w:r>
          </w:p>
        </w:tc>
        <w:tc>
          <w:tcPr>
            <w:tcW w:w="497" w:type="pct"/>
            <w:tcBorders>
              <w:top w:val="single" w:sz="6" w:space="0" w:color="7F7F7F"/>
              <w:left w:val="nil"/>
              <w:bottom w:val="single" w:sz="6" w:space="0" w:color="7F7F7F"/>
              <w:right w:val="nil"/>
            </w:tcBorders>
            <w:shd w:val="clear" w:color="auto" w:fill="auto"/>
            <w:hideMark/>
          </w:tcPr>
          <w:p w14:paraId="05989A77" w14:textId="77777777" w:rsidR="002C7D6A" w:rsidRPr="00074250" w:rsidRDefault="002C7D6A" w:rsidP="002C7D6A">
            <w:pPr>
              <w:widowControl/>
              <w:autoSpaceDE/>
              <w:autoSpaceDN/>
              <w:adjustRightInd/>
              <w:jc w:val="center"/>
              <w:textAlignment w:val="baseline"/>
              <w:rPr>
                <w:rFonts w:cs="Arial"/>
                <w:sz w:val="20"/>
                <w:szCs w:val="20"/>
                <w:lang w:val="es-ES" w:eastAsia="en-GB"/>
              </w:rPr>
            </w:pPr>
            <w:r w:rsidRPr="00074250">
              <w:rPr>
                <w:rFonts w:cs="Arial"/>
                <w:sz w:val="20"/>
                <w:szCs w:val="20"/>
                <w:lang w:val="es-ES" w:eastAsia="es-ES"/>
              </w:rPr>
              <w:t>por determinar</w:t>
            </w:r>
          </w:p>
        </w:tc>
        <w:tc>
          <w:tcPr>
            <w:tcW w:w="369" w:type="pct"/>
            <w:tcBorders>
              <w:top w:val="single" w:sz="6" w:space="0" w:color="7F7F7F"/>
              <w:left w:val="nil"/>
              <w:bottom w:val="single" w:sz="6" w:space="0" w:color="7F7F7F"/>
              <w:right w:val="nil"/>
            </w:tcBorders>
            <w:shd w:val="clear" w:color="auto" w:fill="auto"/>
            <w:hideMark/>
          </w:tcPr>
          <w:p w14:paraId="4A6A7323" w14:textId="77777777" w:rsidR="002C7D6A" w:rsidRPr="00074250" w:rsidRDefault="002C7D6A" w:rsidP="002C7D6A">
            <w:pPr>
              <w:widowControl/>
              <w:autoSpaceDE/>
              <w:autoSpaceDN/>
              <w:adjustRightInd/>
              <w:jc w:val="center"/>
              <w:textAlignment w:val="baseline"/>
              <w:rPr>
                <w:rFonts w:cs="Arial"/>
                <w:sz w:val="20"/>
                <w:szCs w:val="20"/>
                <w:lang w:val="es-ES" w:eastAsia="en-GB"/>
              </w:rPr>
            </w:pPr>
            <w:r w:rsidRPr="00074250">
              <w:rPr>
                <w:rFonts w:cs="Arial"/>
                <w:sz w:val="20"/>
                <w:szCs w:val="20"/>
                <w:lang w:val="es-ES" w:eastAsia="es-ES"/>
              </w:rPr>
              <w:t>2023-2025</w:t>
            </w:r>
          </w:p>
        </w:tc>
        <w:tc>
          <w:tcPr>
            <w:tcW w:w="550" w:type="pct"/>
            <w:tcBorders>
              <w:top w:val="single" w:sz="6" w:space="0" w:color="7F7F7F"/>
              <w:left w:val="nil"/>
              <w:bottom w:val="single" w:sz="6" w:space="0" w:color="7F7F7F"/>
              <w:right w:val="nil"/>
            </w:tcBorders>
            <w:shd w:val="clear" w:color="auto" w:fill="auto"/>
          </w:tcPr>
          <w:p w14:paraId="70CFF07C" w14:textId="77777777" w:rsidR="002C7D6A" w:rsidRPr="00074250" w:rsidRDefault="002C7D6A" w:rsidP="002C7D6A">
            <w:pPr>
              <w:widowControl/>
              <w:autoSpaceDE/>
              <w:autoSpaceDN/>
              <w:adjustRightInd/>
              <w:jc w:val="center"/>
              <w:textAlignment w:val="baseline"/>
              <w:rPr>
                <w:rFonts w:cs="Arial"/>
                <w:sz w:val="20"/>
                <w:szCs w:val="20"/>
                <w:lang w:val="es-ES" w:eastAsia="en-GB"/>
              </w:rPr>
            </w:pPr>
            <w:r w:rsidRPr="00074250">
              <w:rPr>
                <w:rFonts w:cs="Arial"/>
                <w:sz w:val="20"/>
                <w:szCs w:val="20"/>
                <w:lang w:val="es-ES" w:eastAsia="es-ES"/>
              </w:rPr>
              <w:t>CA</w:t>
            </w:r>
          </w:p>
          <w:p w14:paraId="7449BF07" w14:textId="77777777" w:rsidR="002C7D6A" w:rsidRPr="00074250" w:rsidRDefault="002C7D6A" w:rsidP="002C7D6A">
            <w:pPr>
              <w:widowControl/>
              <w:autoSpaceDE/>
              <w:autoSpaceDN/>
              <w:adjustRightInd/>
              <w:jc w:val="center"/>
              <w:textAlignment w:val="baseline"/>
              <w:rPr>
                <w:rFonts w:cs="Arial"/>
                <w:sz w:val="20"/>
                <w:szCs w:val="20"/>
                <w:lang w:val="es-ES" w:eastAsia="en-GB"/>
              </w:rPr>
            </w:pPr>
            <w:proofErr w:type="spellStart"/>
            <w:r w:rsidRPr="00074250">
              <w:rPr>
                <w:rFonts w:cs="Arial"/>
                <w:sz w:val="20"/>
                <w:szCs w:val="20"/>
                <w:lang w:val="es-ES" w:eastAsia="es-ES"/>
              </w:rPr>
              <w:t>Coop</w:t>
            </w:r>
            <w:proofErr w:type="spellEnd"/>
          </w:p>
          <w:p w14:paraId="4C3264A8" w14:textId="77777777" w:rsidR="002C7D6A" w:rsidRPr="00074250" w:rsidRDefault="002C7D6A" w:rsidP="002C7D6A">
            <w:pPr>
              <w:widowControl/>
              <w:autoSpaceDE/>
              <w:autoSpaceDN/>
              <w:adjustRightInd/>
              <w:jc w:val="center"/>
              <w:textAlignment w:val="baseline"/>
              <w:rPr>
                <w:rFonts w:cs="Arial"/>
                <w:sz w:val="20"/>
                <w:szCs w:val="20"/>
                <w:lang w:val="es-ES" w:eastAsia="en-GB"/>
              </w:rPr>
            </w:pPr>
            <w:r w:rsidRPr="00074250">
              <w:rPr>
                <w:rFonts w:cs="Arial"/>
                <w:sz w:val="20"/>
                <w:szCs w:val="20"/>
                <w:lang w:val="es-ES" w:eastAsia="es-ES"/>
              </w:rPr>
              <w:t>CWG</w:t>
            </w:r>
          </w:p>
          <w:p w14:paraId="444C5746" w14:textId="77777777" w:rsidR="002C7D6A" w:rsidRPr="00074250" w:rsidRDefault="002C7D6A" w:rsidP="002C7D6A">
            <w:pPr>
              <w:widowControl/>
              <w:autoSpaceDE/>
              <w:autoSpaceDN/>
              <w:adjustRightInd/>
              <w:jc w:val="center"/>
              <w:textAlignment w:val="baseline"/>
              <w:rPr>
                <w:rFonts w:cs="Arial"/>
                <w:sz w:val="20"/>
                <w:szCs w:val="20"/>
                <w:lang w:val="es-ES" w:eastAsia="en-GB"/>
              </w:rPr>
            </w:pPr>
          </w:p>
        </w:tc>
        <w:tc>
          <w:tcPr>
            <w:tcW w:w="686" w:type="pct"/>
            <w:tcBorders>
              <w:top w:val="single" w:sz="6" w:space="0" w:color="7F7F7F"/>
              <w:left w:val="nil"/>
              <w:bottom w:val="single" w:sz="6" w:space="0" w:color="7F7F7F"/>
              <w:right w:val="nil"/>
            </w:tcBorders>
            <w:shd w:val="clear" w:color="auto" w:fill="auto"/>
          </w:tcPr>
          <w:p w14:paraId="3FBCF4E4" w14:textId="77777777" w:rsidR="002C7D6A" w:rsidRPr="00074250" w:rsidRDefault="002C7D6A" w:rsidP="002C7D6A">
            <w:pPr>
              <w:widowControl/>
              <w:autoSpaceDE/>
              <w:autoSpaceDN/>
              <w:adjustRightInd/>
              <w:textAlignment w:val="baseline"/>
              <w:rPr>
                <w:rFonts w:cs="Arial"/>
                <w:sz w:val="20"/>
                <w:szCs w:val="20"/>
                <w:lang w:val="es-ES" w:eastAsia="en-GB"/>
              </w:rPr>
            </w:pPr>
            <w:r w:rsidRPr="00074250">
              <w:rPr>
                <w:rFonts w:cs="Arial"/>
                <w:sz w:val="20"/>
                <w:szCs w:val="20"/>
                <w:lang w:val="es-ES" w:eastAsia="es-ES"/>
              </w:rPr>
              <w:t>10 000 € (asistencia en viaje para expertos adicionales y talleres de 2 días consecutivos con el AC4)</w:t>
            </w:r>
          </w:p>
        </w:tc>
        <w:tc>
          <w:tcPr>
            <w:tcW w:w="791" w:type="pct"/>
            <w:gridSpan w:val="2"/>
            <w:tcBorders>
              <w:top w:val="single" w:sz="6" w:space="0" w:color="7F7F7F"/>
              <w:left w:val="nil"/>
              <w:bottom w:val="single" w:sz="6" w:space="0" w:color="7F7F7F"/>
              <w:right w:val="nil"/>
            </w:tcBorders>
            <w:shd w:val="clear" w:color="auto" w:fill="auto"/>
          </w:tcPr>
          <w:p w14:paraId="4F0BAE36" w14:textId="77777777" w:rsidR="002C7D6A" w:rsidRPr="00074250" w:rsidRDefault="002C7D6A" w:rsidP="002C7D6A">
            <w:pPr>
              <w:widowControl/>
              <w:autoSpaceDE/>
              <w:autoSpaceDN/>
              <w:adjustRightInd/>
              <w:textAlignment w:val="baseline"/>
              <w:rPr>
                <w:rFonts w:cs="Arial"/>
                <w:sz w:val="20"/>
                <w:szCs w:val="20"/>
                <w:lang w:val="es-ES" w:eastAsia="en-GB"/>
              </w:rPr>
            </w:pPr>
            <w:r w:rsidRPr="00074250">
              <w:rPr>
                <w:rFonts w:cs="Arial"/>
                <w:sz w:val="20"/>
                <w:szCs w:val="20"/>
                <w:lang w:val="es-ES" w:eastAsia="es-ES"/>
              </w:rPr>
              <w:t>P personal: 3</w:t>
            </w:r>
          </w:p>
          <w:p w14:paraId="0E27303A" w14:textId="77777777" w:rsidR="002C7D6A" w:rsidRPr="00074250" w:rsidRDefault="002C7D6A" w:rsidP="002C7D6A">
            <w:pPr>
              <w:widowControl/>
              <w:autoSpaceDE/>
              <w:autoSpaceDN/>
              <w:adjustRightInd/>
              <w:textAlignment w:val="baseline"/>
              <w:rPr>
                <w:rFonts w:cs="Arial"/>
                <w:sz w:val="20"/>
                <w:szCs w:val="20"/>
                <w:lang w:val="es-ES" w:eastAsia="en-GB"/>
              </w:rPr>
            </w:pPr>
            <w:r w:rsidRPr="00074250">
              <w:rPr>
                <w:rFonts w:cs="Arial"/>
                <w:sz w:val="20"/>
                <w:szCs w:val="20"/>
                <w:lang w:val="es-ES" w:eastAsia="es-ES"/>
              </w:rPr>
              <w:t>G personal: 0.5</w:t>
            </w:r>
          </w:p>
          <w:p w14:paraId="1071D60C" w14:textId="77777777" w:rsidR="002C7D6A" w:rsidRPr="00074250" w:rsidRDefault="002C7D6A" w:rsidP="002C7D6A">
            <w:pPr>
              <w:widowControl/>
              <w:autoSpaceDE/>
              <w:autoSpaceDN/>
              <w:adjustRightInd/>
              <w:textAlignment w:val="baseline"/>
              <w:rPr>
                <w:rFonts w:cs="Arial"/>
                <w:sz w:val="20"/>
                <w:szCs w:val="20"/>
                <w:lang w:val="es-ES" w:eastAsia="en-GB"/>
              </w:rPr>
            </w:pPr>
          </w:p>
          <w:p w14:paraId="7A2D4DF1" w14:textId="77777777" w:rsidR="002C7D6A" w:rsidRPr="00074250" w:rsidRDefault="002C7D6A" w:rsidP="002C7D6A">
            <w:pPr>
              <w:widowControl/>
              <w:autoSpaceDE/>
              <w:autoSpaceDN/>
              <w:adjustRightInd/>
              <w:textAlignment w:val="baseline"/>
              <w:rPr>
                <w:rFonts w:cs="Arial"/>
                <w:sz w:val="20"/>
                <w:szCs w:val="20"/>
                <w:lang w:val="es-ES" w:eastAsia="en-GB"/>
              </w:rPr>
            </w:pPr>
            <w:r w:rsidRPr="00074250">
              <w:rPr>
                <w:rFonts w:cs="Arial"/>
                <w:sz w:val="20"/>
                <w:szCs w:val="20"/>
                <w:lang w:val="es-ES" w:eastAsia="es-ES"/>
              </w:rPr>
              <w:t>(Gestión de logística de viajes y reuniones, incluida la contratación según sea necesario participar)</w:t>
            </w:r>
          </w:p>
        </w:tc>
      </w:tr>
    </w:tbl>
    <w:p w14:paraId="17CE0678" w14:textId="77777777" w:rsidR="002C7D6A" w:rsidRPr="00FA667F" w:rsidRDefault="002C7D6A" w:rsidP="00FA667F">
      <w:pPr>
        <w:widowControl/>
        <w:pBdr>
          <w:top w:val="nil"/>
          <w:left w:val="nil"/>
          <w:bottom w:val="nil"/>
          <w:right w:val="nil"/>
          <w:between w:val="nil"/>
          <w:bar w:val="nil"/>
        </w:pBdr>
        <w:autoSpaceDE/>
        <w:autoSpaceDN/>
        <w:adjustRightInd/>
        <w:spacing w:after="160" w:line="276" w:lineRule="auto"/>
        <w:jc w:val="both"/>
        <w:rPr>
          <w:rFonts w:cs="Arial"/>
          <w:b/>
          <w:bCs/>
          <w:sz w:val="2"/>
          <w:szCs w:val="2"/>
          <w:lang w:val="es-ES"/>
        </w:rPr>
      </w:pPr>
    </w:p>
    <w:sectPr w:rsidR="002C7D6A" w:rsidRPr="00FA667F" w:rsidSect="00E31F80">
      <w:headerReference w:type="first" r:id="rId55"/>
      <w:pgSz w:w="16838" w:h="11906" w:orient="landscape"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7BAD0" w14:textId="77777777" w:rsidR="001A56EC" w:rsidRDefault="001A56EC" w:rsidP="00F9613E">
      <w:r>
        <w:separator/>
      </w:r>
    </w:p>
  </w:endnote>
  <w:endnote w:type="continuationSeparator" w:id="0">
    <w:p w14:paraId="5F63E576" w14:textId="77777777" w:rsidR="001A56EC" w:rsidRDefault="001A56EC" w:rsidP="00F96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736977"/>
      <w:docPartObj>
        <w:docPartGallery w:val="Page Numbers (Bottom of Page)"/>
        <w:docPartUnique/>
      </w:docPartObj>
    </w:sdtPr>
    <w:sdtEndPr>
      <w:rPr>
        <w:noProof/>
      </w:rPr>
    </w:sdtEndPr>
    <w:sdtContent>
      <w:p w14:paraId="034BE100" w14:textId="155E8458" w:rsidR="00E31F80" w:rsidRDefault="00E31F80" w:rsidP="009E2F56">
        <w:pPr>
          <w:pStyle w:val="Footer"/>
          <w:jc w:val="center"/>
        </w:pPr>
        <w:r>
          <w:fldChar w:fldCharType="begin"/>
        </w:r>
        <w:r>
          <w:instrText xml:space="preserve"> PAGE   \* MERGEFORMAT </w:instrText>
        </w:r>
        <w:r>
          <w:fldChar w:fldCharType="separate"/>
        </w:r>
        <w:r w:rsidR="00BD5B19">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2369203"/>
      <w:docPartObj>
        <w:docPartGallery w:val="Page Numbers (Bottom of Page)"/>
        <w:docPartUnique/>
      </w:docPartObj>
    </w:sdtPr>
    <w:sdtEndPr>
      <w:rPr>
        <w:noProof/>
      </w:rPr>
    </w:sdtEndPr>
    <w:sdtContent>
      <w:p w14:paraId="4AB9F89C" w14:textId="54D7E1A6" w:rsidR="00E31F80" w:rsidRDefault="00E31F80" w:rsidP="009E2F56">
        <w:pPr>
          <w:pStyle w:val="Footer"/>
          <w:jc w:val="center"/>
        </w:pPr>
        <w:r>
          <w:fldChar w:fldCharType="begin"/>
        </w:r>
        <w:r>
          <w:instrText xml:space="preserve"> PAGE   \* MERGEFORMAT </w:instrText>
        </w:r>
        <w:r>
          <w:fldChar w:fldCharType="separate"/>
        </w:r>
        <w:r w:rsidR="00BD5B19">
          <w:rPr>
            <w:noProof/>
          </w:rPr>
          <w:t>13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DD587" w14:textId="77777777" w:rsidR="00421664" w:rsidRDefault="004216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8094934"/>
      <w:docPartObj>
        <w:docPartGallery w:val="Page Numbers (Bottom of Page)"/>
        <w:docPartUnique/>
      </w:docPartObj>
    </w:sdtPr>
    <w:sdtEndPr>
      <w:rPr>
        <w:noProof/>
      </w:rPr>
    </w:sdtEndPr>
    <w:sdtContent>
      <w:p w14:paraId="6F26E240" w14:textId="019D3164" w:rsidR="00E31F80" w:rsidRDefault="00E31F80">
        <w:pPr>
          <w:pStyle w:val="Footer"/>
          <w:jc w:val="center"/>
        </w:pPr>
        <w:r>
          <w:fldChar w:fldCharType="begin"/>
        </w:r>
        <w:r>
          <w:instrText xml:space="preserve"> PAGE   \* MERGEFORMAT </w:instrText>
        </w:r>
        <w:r>
          <w:fldChar w:fldCharType="separate"/>
        </w:r>
        <w:r w:rsidR="00BD5B19">
          <w:rPr>
            <w:noProof/>
          </w:rPr>
          <w:t>19</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3168137"/>
      <w:docPartObj>
        <w:docPartGallery w:val="Page Numbers (Bottom of Page)"/>
        <w:docPartUnique/>
      </w:docPartObj>
    </w:sdtPr>
    <w:sdtEndPr>
      <w:rPr>
        <w:noProof/>
      </w:rPr>
    </w:sdtEndPr>
    <w:sdtContent>
      <w:p w14:paraId="0F7CF678" w14:textId="0416CD92" w:rsidR="00E31F80" w:rsidRDefault="00E31F80">
        <w:pPr>
          <w:pStyle w:val="Footer"/>
          <w:jc w:val="center"/>
        </w:pPr>
        <w:r>
          <w:fldChar w:fldCharType="begin"/>
        </w:r>
        <w:r>
          <w:instrText xml:space="preserve"> PAGE   \* MERGEFORMAT </w:instrText>
        </w:r>
        <w:r>
          <w:fldChar w:fldCharType="separate"/>
        </w:r>
        <w:r w:rsidR="00BD5B19">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56A4A" w14:textId="77777777" w:rsidR="001A56EC" w:rsidRDefault="001A56EC" w:rsidP="00F9613E">
      <w:r>
        <w:separator/>
      </w:r>
    </w:p>
  </w:footnote>
  <w:footnote w:type="continuationSeparator" w:id="0">
    <w:p w14:paraId="5EC065EF" w14:textId="77777777" w:rsidR="001A56EC" w:rsidRDefault="001A56EC" w:rsidP="00F9613E">
      <w:r>
        <w:continuationSeparator/>
      </w:r>
    </w:p>
  </w:footnote>
  <w:footnote w:id="1">
    <w:p w14:paraId="3118841F" w14:textId="021BE1D5" w:rsidR="00E31F80" w:rsidRPr="009B36B6" w:rsidRDefault="00E31F80" w:rsidP="00B67B59">
      <w:pPr>
        <w:jc w:val="both"/>
        <w:rPr>
          <w:lang w:val="es-ES"/>
        </w:rPr>
      </w:pPr>
      <w:r w:rsidRPr="00B67B59">
        <w:rPr>
          <w:rStyle w:val="FootnoteReference"/>
          <w:rFonts w:cs="Arial"/>
          <w:sz w:val="16"/>
          <w:szCs w:val="16"/>
        </w:rPr>
        <w:footnoteRef/>
      </w:r>
      <w:r w:rsidRPr="009B36B6">
        <w:rPr>
          <w:rFonts w:cs="Arial"/>
          <w:sz w:val="16"/>
          <w:szCs w:val="16"/>
          <w:lang w:val="es-ES"/>
        </w:rPr>
        <w:t xml:space="preserve"> Captura nominal (también denominada desembarco nominal): peso en tierra convertido a peso vivo usando un factor de conversión. La captura nominal se refiere normalmente al peso vivo equivalente al peso en tierra o abreviado al peso vivo y en algunas publicaciones nacionales también se conoce como desembarque en redondo, base fresca, base entera o desembarque en base </w:t>
      </w:r>
      <w:proofErr w:type="spellStart"/>
      <w:r w:rsidRPr="009B36B6">
        <w:rPr>
          <w:rFonts w:cs="Arial"/>
          <w:sz w:val="16"/>
          <w:szCs w:val="16"/>
          <w:lang w:val="es-ES"/>
        </w:rPr>
        <w:t>ex-agua</w:t>
      </w:r>
      <w:proofErr w:type="spellEnd"/>
      <w:r w:rsidRPr="009B36B6">
        <w:rPr>
          <w:rFonts w:cs="Arial"/>
          <w:sz w:val="16"/>
          <w:szCs w:val="16"/>
          <w:lang w:val="es-ES"/>
        </w:rPr>
        <w:t>. Se debe tener un especial cuidado cuando se hace referencia a la captura nominal como la captura ya que en muchas situaciones la captura incluye componentes descartados que no son desembarcados (consulte diagrama conceptual de capturas). A menudo, en el tratamiento posterior de los datos, se aplican factores de conversión a productos individuales (p.ej., peso en tierra) que expresa el peso de un modo más homogéneo. Una vez verificado, la captura nominal es en muchos casos la declaración final de lo que se capturó y el importe que se aplica a las cuotas o que comunica un país. (fuente:</w:t>
      </w:r>
      <w:hyperlink r:id="rId1" w:history="1">
        <w:r w:rsidRPr="009B36B6">
          <w:rPr>
            <w:rStyle w:val="Hyperlink"/>
            <w:rFonts w:cs="Arial"/>
            <w:sz w:val="16"/>
            <w:szCs w:val="16"/>
            <w:lang w:val="es-ES"/>
          </w:rPr>
          <w:t>https://www.fao.org/cwp-on-fishery-statistics/handbook/capture-fisheries-statistics/catch-and-landings</w:t>
        </w:r>
      </w:hyperlink>
      <w:r w:rsidRPr="009B36B6">
        <w:rPr>
          <w:rFonts w:cs="Arial"/>
          <w:sz w:val="16"/>
          <w:szCs w:val="16"/>
          <w:lang w:val="es-ES"/>
        </w:rPr>
        <w:t>)</w:t>
      </w:r>
    </w:p>
  </w:footnote>
  <w:footnote w:id="2">
    <w:p w14:paraId="1491634B" w14:textId="77777777" w:rsidR="00E31F80" w:rsidRPr="009B36B6" w:rsidRDefault="00E31F80" w:rsidP="00B67B59">
      <w:pPr>
        <w:pStyle w:val="FootnoteText"/>
        <w:rPr>
          <w:rFonts w:ascii="Arial" w:hAnsi="Arial" w:cs="Arial"/>
          <w:sz w:val="16"/>
          <w:szCs w:val="16"/>
          <w:lang w:val="es-ES"/>
        </w:rPr>
      </w:pPr>
      <w:r w:rsidRPr="002C7D6A">
        <w:rPr>
          <w:rFonts w:ascii="Arial" w:hAnsi="Arial" w:cs="Arial"/>
          <w:sz w:val="16"/>
          <w:szCs w:val="16"/>
          <w:vertAlign w:val="superscript"/>
        </w:rPr>
        <w:footnoteRef/>
      </w:r>
      <w:r w:rsidRPr="009B36B6">
        <w:rPr>
          <w:rFonts w:ascii="Arial" w:hAnsi="Arial" w:cs="Arial"/>
          <w:sz w:val="16"/>
          <w:szCs w:val="16"/>
          <w:lang w:val="es-ES"/>
        </w:rPr>
        <w:t xml:space="preserve"> "</w:t>
      </w:r>
      <w:proofErr w:type="spellStart"/>
      <w:r w:rsidRPr="009B36B6">
        <w:rPr>
          <w:rFonts w:ascii="Arial" w:hAnsi="Arial" w:cs="Arial"/>
          <w:sz w:val="16"/>
          <w:szCs w:val="16"/>
          <w:lang w:val="es-ES"/>
        </w:rPr>
        <w:t>nep</w:t>
      </w:r>
      <w:proofErr w:type="spellEnd"/>
      <w:r w:rsidRPr="009B36B6">
        <w:rPr>
          <w:rFonts w:ascii="Arial" w:hAnsi="Arial" w:cs="Arial"/>
          <w:sz w:val="16"/>
          <w:szCs w:val="16"/>
          <w:lang w:val="es-ES"/>
        </w:rPr>
        <w:t xml:space="preserve"> (‘</w:t>
      </w:r>
      <w:proofErr w:type="spellStart"/>
      <w:r w:rsidRPr="009B36B6">
        <w:rPr>
          <w:rFonts w:ascii="Arial" w:hAnsi="Arial" w:cs="Arial"/>
          <w:sz w:val="16"/>
          <w:szCs w:val="16"/>
          <w:lang w:val="es-ES"/>
        </w:rPr>
        <w:t>nei’en</w:t>
      </w:r>
      <w:proofErr w:type="spellEnd"/>
      <w:r w:rsidRPr="009B36B6">
        <w:rPr>
          <w:rFonts w:ascii="Arial" w:hAnsi="Arial" w:cs="Arial"/>
          <w:sz w:val="16"/>
          <w:szCs w:val="16"/>
          <w:lang w:val="es-ES"/>
        </w:rPr>
        <w:t xml:space="preserve"> inglés) = No especificado en otra parte</w:t>
      </w:r>
    </w:p>
  </w:footnote>
  <w:footnote w:id="3">
    <w:p w14:paraId="20AEC55E" w14:textId="77777777" w:rsidR="00E31F80" w:rsidRPr="009B36B6" w:rsidRDefault="00E31F80" w:rsidP="00B67B59">
      <w:pPr>
        <w:pStyle w:val="FootnoteText"/>
        <w:rPr>
          <w:sz w:val="16"/>
          <w:szCs w:val="16"/>
          <w:lang w:val="es-ES"/>
        </w:rPr>
      </w:pPr>
      <w:r w:rsidRPr="00A32203">
        <w:rPr>
          <w:rStyle w:val="FootnoteReference"/>
          <w:sz w:val="16"/>
          <w:szCs w:val="16"/>
        </w:rPr>
        <w:footnoteRef/>
      </w:r>
      <w:r w:rsidRPr="009B36B6">
        <w:rPr>
          <w:sz w:val="16"/>
          <w:szCs w:val="16"/>
          <w:lang w:val="es-ES"/>
        </w:rPr>
        <w:t xml:space="preserve"> Teniendo en cuenta las exenciones permitidas en virtud del Art. III (5) de la Convención de la CMS</w:t>
      </w:r>
    </w:p>
  </w:footnote>
  <w:footnote w:id="4">
    <w:p w14:paraId="72BBA3A5" w14:textId="77777777" w:rsidR="00E31F80" w:rsidRPr="009B36B6" w:rsidRDefault="00E31F80" w:rsidP="00A32203">
      <w:pPr>
        <w:pStyle w:val="FootnoteText"/>
        <w:rPr>
          <w:rFonts w:ascii="Arial" w:hAnsi="Arial" w:cs="Arial"/>
          <w:sz w:val="16"/>
          <w:szCs w:val="16"/>
          <w:lang w:val="es-ES"/>
        </w:rPr>
      </w:pPr>
      <w:r w:rsidRPr="00620032">
        <w:rPr>
          <w:rStyle w:val="FootnoteReference"/>
          <w:rFonts w:ascii="Arial" w:hAnsi="Arial" w:cs="Arial"/>
          <w:sz w:val="16"/>
          <w:szCs w:val="16"/>
        </w:rPr>
        <w:footnoteRef/>
      </w:r>
      <w:r w:rsidRPr="009B36B6">
        <w:rPr>
          <w:rFonts w:ascii="Arial" w:hAnsi="Arial" w:cs="Arial"/>
          <w:sz w:val="16"/>
          <w:szCs w:val="16"/>
          <w:lang w:val="es-ES"/>
        </w:rPr>
        <w:t xml:space="preserve"> "</w:t>
      </w:r>
      <w:proofErr w:type="spellStart"/>
      <w:r w:rsidRPr="009B36B6">
        <w:rPr>
          <w:rFonts w:ascii="Arial" w:hAnsi="Arial" w:cs="Arial"/>
          <w:sz w:val="16"/>
          <w:szCs w:val="16"/>
          <w:lang w:val="es-ES"/>
        </w:rPr>
        <w:t>nep</w:t>
      </w:r>
      <w:proofErr w:type="spellEnd"/>
      <w:r w:rsidRPr="009B36B6">
        <w:rPr>
          <w:rFonts w:ascii="Arial" w:hAnsi="Arial" w:cs="Arial"/>
          <w:sz w:val="16"/>
          <w:szCs w:val="16"/>
          <w:lang w:val="es-ES"/>
        </w:rPr>
        <w:t>" ("</w:t>
      </w:r>
      <w:proofErr w:type="spellStart"/>
      <w:r w:rsidRPr="009B36B6">
        <w:rPr>
          <w:rFonts w:ascii="Arial" w:hAnsi="Arial" w:cs="Arial"/>
          <w:sz w:val="16"/>
          <w:szCs w:val="16"/>
          <w:lang w:val="es-ES"/>
        </w:rPr>
        <w:t>nei"en</w:t>
      </w:r>
      <w:proofErr w:type="spellEnd"/>
      <w:r w:rsidRPr="009B36B6">
        <w:rPr>
          <w:rFonts w:ascii="Arial" w:hAnsi="Arial" w:cs="Arial"/>
          <w:sz w:val="16"/>
          <w:szCs w:val="16"/>
          <w:lang w:val="es-ES"/>
        </w:rPr>
        <w:t xml:space="preserve"> inglés) es un término de la FAO cuyo significado es "no especificado en otra parte", cuando no es posible identificar la especie y hay más de una especie en el mismo grupo. </w:t>
      </w:r>
    </w:p>
  </w:footnote>
  <w:footnote w:id="5">
    <w:p w14:paraId="2381D51F" w14:textId="77777777" w:rsidR="00E31F80" w:rsidRPr="009B36B6" w:rsidRDefault="00E31F80" w:rsidP="00620032">
      <w:pPr>
        <w:pStyle w:val="FootnoteText"/>
        <w:jc w:val="both"/>
        <w:rPr>
          <w:rFonts w:ascii="Arial" w:hAnsi="Arial" w:cs="Arial"/>
          <w:sz w:val="16"/>
          <w:szCs w:val="16"/>
          <w:lang w:val="es-ES"/>
        </w:rPr>
      </w:pPr>
      <w:r w:rsidRPr="00620032">
        <w:rPr>
          <w:rStyle w:val="FootnoteReference"/>
          <w:rFonts w:ascii="Arial" w:hAnsi="Arial" w:cs="Arial"/>
          <w:sz w:val="16"/>
          <w:szCs w:val="16"/>
        </w:rPr>
        <w:footnoteRef/>
      </w:r>
      <w:r w:rsidRPr="009B36B6">
        <w:rPr>
          <w:rFonts w:ascii="Arial" w:hAnsi="Arial" w:cs="Arial"/>
          <w:sz w:val="16"/>
          <w:szCs w:val="16"/>
          <w:lang w:val="es-ES"/>
        </w:rPr>
        <w:t xml:space="preserve"> </w:t>
      </w:r>
      <w:r w:rsidRPr="009B36B6">
        <w:rPr>
          <w:rFonts w:ascii="Arial" w:hAnsi="Arial" w:cs="Arial"/>
          <w:color w:val="auto"/>
          <w:sz w:val="16"/>
          <w:szCs w:val="16"/>
          <w:bdr w:val="none" w:sz="0" w:space="0" w:color="auto"/>
          <w:lang w:val="es-ES" w:eastAsia="es-ES"/>
        </w:rPr>
        <w:t xml:space="preserve">Mientras que los desembarcos nominales de </w:t>
      </w:r>
      <w:proofErr w:type="spellStart"/>
      <w:r w:rsidRPr="009B36B6">
        <w:rPr>
          <w:rFonts w:ascii="Arial" w:hAnsi="Arial" w:cs="Arial"/>
          <w:i/>
          <w:iCs/>
          <w:color w:val="auto"/>
          <w:sz w:val="16"/>
          <w:szCs w:val="16"/>
          <w:bdr w:val="none" w:sz="0" w:space="0" w:color="auto"/>
          <w:lang w:val="es-ES" w:eastAsia="es-ES"/>
        </w:rPr>
        <w:t>Squalus</w:t>
      </w:r>
      <w:proofErr w:type="spellEnd"/>
      <w:r w:rsidRPr="009B36B6">
        <w:rPr>
          <w:rFonts w:ascii="Arial" w:hAnsi="Arial" w:cs="Arial"/>
          <w:i/>
          <w:iCs/>
          <w:color w:val="auto"/>
          <w:sz w:val="16"/>
          <w:szCs w:val="16"/>
          <w:bdr w:val="none" w:sz="0" w:space="0" w:color="auto"/>
          <w:lang w:val="es-ES" w:eastAsia="es-ES"/>
        </w:rPr>
        <w:t xml:space="preserve"> </w:t>
      </w:r>
      <w:proofErr w:type="spellStart"/>
      <w:r w:rsidRPr="009B36B6">
        <w:rPr>
          <w:rFonts w:ascii="Arial" w:hAnsi="Arial" w:cs="Arial"/>
          <w:i/>
          <w:iCs/>
          <w:color w:val="auto"/>
          <w:sz w:val="16"/>
          <w:szCs w:val="16"/>
          <w:bdr w:val="none" w:sz="0" w:space="0" w:color="auto"/>
          <w:lang w:val="es-ES" w:eastAsia="es-ES"/>
        </w:rPr>
        <w:t>acanthias</w:t>
      </w:r>
      <w:proofErr w:type="spellEnd"/>
      <w:r w:rsidRPr="009B36B6">
        <w:rPr>
          <w:rFonts w:ascii="Arial" w:hAnsi="Arial" w:cs="Arial"/>
          <w:color w:val="auto"/>
          <w:sz w:val="16"/>
          <w:szCs w:val="16"/>
          <w:bdr w:val="none" w:sz="0" w:space="0" w:color="auto"/>
          <w:lang w:val="es-ES" w:eastAsia="es-ES"/>
        </w:rPr>
        <w:t xml:space="preserve"> en las Zonas FAO 61, 67, y 77 se incluyeron en el presente estudio, ahora se considera que representan una especie diferente, </w:t>
      </w:r>
      <w:proofErr w:type="spellStart"/>
      <w:r w:rsidRPr="009B36B6">
        <w:rPr>
          <w:rFonts w:ascii="Arial" w:hAnsi="Arial" w:cs="Arial"/>
          <w:i/>
          <w:iCs/>
          <w:color w:val="auto"/>
          <w:sz w:val="16"/>
          <w:szCs w:val="16"/>
          <w:bdr w:val="none" w:sz="0" w:space="0" w:color="auto"/>
          <w:lang w:val="es-ES" w:eastAsia="es-ES"/>
        </w:rPr>
        <w:t>Squalus</w:t>
      </w:r>
      <w:proofErr w:type="spellEnd"/>
      <w:r w:rsidRPr="009B36B6">
        <w:rPr>
          <w:rFonts w:ascii="Arial" w:hAnsi="Arial" w:cs="Arial"/>
          <w:i/>
          <w:iCs/>
          <w:color w:val="auto"/>
          <w:sz w:val="16"/>
          <w:szCs w:val="16"/>
          <w:bdr w:val="none" w:sz="0" w:space="0" w:color="auto"/>
          <w:lang w:val="es-ES" w:eastAsia="es-ES"/>
        </w:rPr>
        <w:t xml:space="preserve"> </w:t>
      </w:r>
      <w:proofErr w:type="spellStart"/>
      <w:r w:rsidRPr="009B36B6">
        <w:rPr>
          <w:rFonts w:ascii="Arial" w:hAnsi="Arial" w:cs="Arial"/>
          <w:i/>
          <w:iCs/>
          <w:color w:val="auto"/>
          <w:sz w:val="16"/>
          <w:szCs w:val="16"/>
          <w:bdr w:val="none" w:sz="0" w:space="0" w:color="auto"/>
          <w:lang w:val="es-ES" w:eastAsia="es-ES"/>
        </w:rPr>
        <w:t>suckleyi</w:t>
      </w:r>
      <w:proofErr w:type="spellEnd"/>
      <w:r w:rsidRPr="009B36B6">
        <w:rPr>
          <w:rFonts w:ascii="Arial" w:hAnsi="Arial" w:cs="Arial"/>
          <w:i/>
          <w:iCs/>
          <w:color w:val="auto"/>
          <w:sz w:val="16"/>
          <w:szCs w:val="16"/>
          <w:bdr w:val="none" w:sz="0" w:space="0" w:color="auto"/>
          <w:lang w:val="es-ES" w:eastAsia="es-ES"/>
        </w:rPr>
        <w:t>.</w:t>
      </w:r>
    </w:p>
  </w:footnote>
  <w:footnote w:id="6">
    <w:p w14:paraId="46D9DA8E" w14:textId="77777777" w:rsidR="00E31F80" w:rsidRPr="009B36B6" w:rsidRDefault="00E31F80" w:rsidP="00620032">
      <w:pPr>
        <w:pStyle w:val="FootnoteText"/>
        <w:jc w:val="both"/>
        <w:rPr>
          <w:rFonts w:ascii="Arial" w:hAnsi="Arial" w:cs="Arial"/>
          <w:i/>
          <w:iCs/>
          <w:sz w:val="16"/>
          <w:szCs w:val="16"/>
          <w:lang w:val="es-ES"/>
        </w:rPr>
      </w:pPr>
      <w:r w:rsidRPr="00620032">
        <w:rPr>
          <w:rStyle w:val="FootnoteReference"/>
          <w:rFonts w:ascii="Arial" w:hAnsi="Arial" w:cs="Arial"/>
          <w:sz w:val="16"/>
          <w:szCs w:val="16"/>
        </w:rPr>
        <w:footnoteRef/>
      </w:r>
      <w:r w:rsidRPr="009B36B6">
        <w:rPr>
          <w:rFonts w:ascii="Arial" w:hAnsi="Arial" w:cs="Arial"/>
          <w:sz w:val="16"/>
          <w:szCs w:val="16"/>
          <w:lang w:val="es-ES"/>
        </w:rPr>
        <w:t xml:space="preserve"> Incluida en el ASFIS de la FAO como </w:t>
      </w:r>
      <w:proofErr w:type="spellStart"/>
      <w:r w:rsidRPr="009B36B6">
        <w:rPr>
          <w:rFonts w:ascii="Arial" w:hAnsi="Arial" w:cs="Arial"/>
          <w:sz w:val="16"/>
          <w:szCs w:val="16"/>
          <w:lang w:val="es-ES"/>
        </w:rPr>
        <w:t>Mobilinae</w:t>
      </w:r>
      <w:proofErr w:type="spellEnd"/>
      <w:r w:rsidRPr="009B36B6">
        <w:rPr>
          <w:rFonts w:ascii="Arial" w:hAnsi="Arial" w:cs="Arial"/>
          <w:sz w:val="16"/>
          <w:szCs w:val="16"/>
          <w:lang w:val="es-ES"/>
        </w:rPr>
        <w:t xml:space="preserve"> en lugar de </w:t>
      </w:r>
      <w:proofErr w:type="spellStart"/>
      <w:r w:rsidRPr="009B36B6">
        <w:rPr>
          <w:rFonts w:ascii="Arial" w:hAnsi="Arial" w:cs="Arial"/>
          <w:sz w:val="16"/>
          <w:szCs w:val="16"/>
          <w:lang w:val="es-ES"/>
        </w:rPr>
        <w:t>Mobulidae</w:t>
      </w:r>
      <w:proofErr w:type="spellEnd"/>
      <w:r w:rsidRPr="009B36B6">
        <w:rPr>
          <w:rFonts w:ascii="Arial" w:hAnsi="Arial" w:cs="Arial"/>
          <w:sz w:val="16"/>
          <w:szCs w:val="16"/>
          <w:lang w:val="es-ES"/>
        </w:rPr>
        <w:t>.</w:t>
      </w:r>
    </w:p>
  </w:footnote>
  <w:footnote w:id="7">
    <w:p w14:paraId="2EA260B0" w14:textId="77777777" w:rsidR="00E31F80" w:rsidRPr="009B36B6" w:rsidRDefault="00E31F80" w:rsidP="00A32203">
      <w:pPr>
        <w:pStyle w:val="FootnoteText"/>
        <w:rPr>
          <w:rFonts w:ascii="Arial" w:hAnsi="Arial" w:cs="Arial"/>
          <w:sz w:val="16"/>
          <w:szCs w:val="16"/>
          <w:lang w:val="es-ES"/>
        </w:rPr>
      </w:pPr>
      <w:r w:rsidRPr="00620032">
        <w:rPr>
          <w:rStyle w:val="FootnoteReference"/>
          <w:rFonts w:ascii="Arial" w:hAnsi="Arial" w:cs="Arial"/>
          <w:sz w:val="16"/>
          <w:szCs w:val="16"/>
        </w:rPr>
        <w:footnoteRef/>
      </w:r>
      <w:r w:rsidRPr="009B36B6">
        <w:rPr>
          <w:rFonts w:ascii="Arial" w:hAnsi="Arial" w:cs="Arial"/>
          <w:sz w:val="16"/>
          <w:szCs w:val="16"/>
          <w:lang w:val="es-ES"/>
        </w:rPr>
        <w:t xml:space="preserve"> Incluida en el ASFIS de la FAO </w:t>
      </w:r>
      <w:proofErr w:type="spellStart"/>
      <w:r w:rsidRPr="009B36B6">
        <w:rPr>
          <w:rFonts w:ascii="Arial" w:hAnsi="Arial" w:cs="Arial"/>
          <w:sz w:val="16"/>
          <w:szCs w:val="16"/>
          <w:lang w:val="es-ES"/>
        </w:rPr>
        <w:t>como</w:t>
      </w:r>
      <w:r w:rsidRPr="00620032">
        <w:rPr>
          <w:rFonts w:ascii="Arial" w:hAnsi="Arial" w:cs="Arial"/>
          <w:i/>
          <w:iCs/>
          <w:sz w:val="16"/>
          <w:szCs w:val="16"/>
          <w:lang w:val="es-ES"/>
        </w:rPr>
        <w:t>Mobula</w:t>
      </w:r>
      <w:proofErr w:type="spellEnd"/>
      <w:r w:rsidRPr="00620032">
        <w:rPr>
          <w:rFonts w:ascii="Arial" w:hAnsi="Arial" w:cs="Arial"/>
          <w:i/>
          <w:iCs/>
          <w:sz w:val="16"/>
          <w:szCs w:val="16"/>
          <w:lang w:val="es-ES"/>
        </w:rPr>
        <w:t xml:space="preserve"> </w:t>
      </w:r>
      <w:proofErr w:type="spellStart"/>
      <w:r w:rsidRPr="00620032">
        <w:rPr>
          <w:rFonts w:ascii="Arial" w:hAnsi="Arial" w:cs="Arial"/>
          <w:i/>
          <w:iCs/>
          <w:sz w:val="16"/>
          <w:szCs w:val="16"/>
          <w:lang w:val="es-ES"/>
        </w:rPr>
        <w:t>eregoodootenkee</w:t>
      </w:r>
      <w:proofErr w:type="spellEnd"/>
      <w:r w:rsidRPr="00620032">
        <w:rPr>
          <w:rFonts w:ascii="Arial" w:hAnsi="Arial" w:cs="Arial"/>
          <w:i/>
          <w:iCs/>
          <w:sz w:val="16"/>
          <w:szCs w:val="16"/>
          <w:lang w:val="es-ES"/>
        </w:rPr>
        <w:t xml:space="preserve"> </w:t>
      </w:r>
      <w:r w:rsidRPr="00620032">
        <w:rPr>
          <w:rFonts w:ascii="Arial" w:hAnsi="Arial" w:cs="Arial"/>
          <w:sz w:val="16"/>
          <w:szCs w:val="16"/>
          <w:lang w:val="es-ES"/>
        </w:rPr>
        <w:t xml:space="preserve">en lugar de </w:t>
      </w:r>
      <w:proofErr w:type="spellStart"/>
      <w:r w:rsidRPr="00620032">
        <w:rPr>
          <w:rFonts w:ascii="Arial" w:hAnsi="Arial" w:cs="Arial"/>
          <w:i/>
          <w:iCs/>
          <w:sz w:val="16"/>
          <w:szCs w:val="16"/>
          <w:lang w:val="es-ES"/>
        </w:rPr>
        <w:t>Mobula</w:t>
      </w:r>
      <w:proofErr w:type="spellEnd"/>
      <w:r w:rsidRPr="00620032">
        <w:rPr>
          <w:rFonts w:ascii="Arial" w:hAnsi="Arial" w:cs="Arial"/>
          <w:i/>
          <w:iCs/>
          <w:sz w:val="16"/>
          <w:szCs w:val="16"/>
          <w:lang w:val="es-ES"/>
        </w:rPr>
        <w:t xml:space="preserve"> </w:t>
      </w:r>
      <w:proofErr w:type="spellStart"/>
      <w:r w:rsidRPr="00620032">
        <w:rPr>
          <w:rFonts w:ascii="Arial" w:hAnsi="Arial" w:cs="Arial"/>
          <w:i/>
          <w:iCs/>
          <w:sz w:val="16"/>
          <w:szCs w:val="16"/>
          <w:lang w:val="es-ES"/>
        </w:rPr>
        <w:t>eregoodoo</w:t>
      </w:r>
      <w:proofErr w:type="spellEnd"/>
      <w:r w:rsidRPr="00620032">
        <w:rPr>
          <w:rFonts w:ascii="Arial" w:hAnsi="Arial" w:cs="Arial"/>
          <w:sz w:val="16"/>
          <w:szCs w:val="16"/>
          <w:lang w:val="es-ES"/>
        </w:rPr>
        <w:t>.</w:t>
      </w:r>
    </w:p>
  </w:footnote>
  <w:footnote w:id="8">
    <w:p w14:paraId="26641761" w14:textId="77777777" w:rsidR="00E31F80" w:rsidRPr="009B36B6" w:rsidRDefault="00E31F80" w:rsidP="00A32203">
      <w:pPr>
        <w:pStyle w:val="FootnoteText"/>
        <w:rPr>
          <w:sz w:val="16"/>
          <w:szCs w:val="16"/>
          <w:lang w:val="es-ES"/>
        </w:rPr>
      </w:pPr>
      <w:r w:rsidRPr="00620032">
        <w:rPr>
          <w:rStyle w:val="FootnoteReference"/>
          <w:rFonts w:ascii="Arial" w:hAnsi="Arial" w:cs="Arial"/>
          <w:sz w:val="16"/>
          <w:szCs w:val="16"/>
        </w:rPr>
        <w:footnoteRef/>
      </w:r>
      <w:r w:rsidRPr="009B36B6">
        <w:rPr>
          <w:rFonts w:ascii="Arial" w:hAnsi="Arial" w:cs="Arial"/>
          <w:sz w:val="16"/>
          <w:szCs w:val="16"/>
          <w:lang w:val="es-ES"/>
        </w:rPr>
        <w:t xml:space="preserve"> Incluida en el ASFIS de la </w:t>
      </w:r>
      <w:proofErr w:type="gramStart"/>
      <w:r w:rsidRPr="009B36B6">
        <w:rPr>
          <w:rFonts w:ascii="Arial" w:hAnsi="Arial" w:cs="Arial"/>
          <w:sz w:val="16"/>
          <w:szCs w:val="16"/>
          <w:lang w:val="es-ES"/>
        </w:rPr>
        <w:t>FAO</w:t>
      </w:r>
      <w:proofErr w:type="gramEnd"/>
      <w:r w:rsidRPr="009B36B6">
        <w:rPr>
          <w:rFonts w:ascii="Arial" w:hAnsi="Arial" w:cs="Arial"/>
          <w:sz w:val="16"/>
          <w:szCs w:val="16"/>
          <w:lang w:val="es-ES"/>
        </w:rPr>
        <w:t xml:space="preserve"> pero no considerada una especie válida y ahora debe ser agregada a </w:t>
      </w:r>
      <w:proofErr w:type="spellStart"/>
      <w:r w:rsidRPr="00620032">
        <w:rPr>
          <w:rFonts w:ascii="Arial" w:hAnsi="Arial" w:cs="Arial"/>
          <w:i/>
          <w:iCs/>
          <w:sz w:val="16"/>
          <w:szCs w:val="16"/>
          <w:lang w:val="es-ES"/>
        </w:rPr>
        <w:t>Mobula</w:t>
      </w:r>
      <w:proofErr w:type="spellEnd"/>
      <w:r w:rsidRPr="00620032">
        <w:rPr>
          <w:rFonts w:ascii="Arial" w:hAnsi="Arial" w:cs="Arial"/>
          <w:i/>
          <w:iCs/>
          <w:sz w:val="16"/>
          <w:szCs w:val="16"/>
          <w:lang w:val="es-ES"/>
        </w:rPr>
        <w:t xml:space="preserve"> </w:t>
      </w:r>
      <w:proofErr w:type="spellStart"/>
      <w:r w:rsidRPr="00620032">
        <w:rPr>
          <w:rFonts w:ascii="Arial" w:hAnsi="Arial" w:cs="Arial"/>
          <w:i/>
          <w:iCs/>
          <w:sz w:val="16"/>
          <w:szCs w:val="16"/>
          <w:lang w:val="es-ES"/>
        </w:rPr>
        <w:t>mobular</w:t>
      </w:r>
      <w:proofErr w:type="spellEnd"/>
      <w:r w:rsidRPr="00620032">
        <w:rPr>
          <w:rFonts w:ascii="Arial" w:hAnsi="Arial" w:cs="Arial"/>
          <w:sz w:val="16"/>
          <w:szCs w:val="16"/>
          <w:lang w:val="es-ES"/>
        </w:rPr>
        <w:t>.</w:t>
      </w:r>
    </w:p>
  </w:footnote>
  <w:footnote w:id="9">
    <w:p w14:paraId="68E1BD1A" w14:textId="77777777" w:rsidR="00E31F80" w:rsidRPr="009B36B6" w:rsidRDefault="00E31F80" w:rsidP="00A32203">
      <w:pPr>
        <w:pStyle w:val="FootnoteText"/>
        <w:rPr>
          <w:rFonts w:ascii="Arial" w:hAnsi="Arial" w:cs="Arial"/>
          <w:sz w:val="16"/>
          <w:szCs w:val="16"/>
          <w:lang w:val="es-ES"/>
        </w:rPr>
      </w:pPr>
      <w:r w:rsidRPr="00620032">
        <w:rPr>
          <w:rStyle w:val="FootnoteReference"/>
          <w:rFonts w:ascii="Arial" w:hAnsi="Arial" w:cs="Arial"/>
          <w:sz w:val="16"/>
          <w:szCs w:val="16"/>
        </w:rPr>
        <w:footnoteRef/>
      </w:r>
      <w:r w:rsidRPr="009B36B6">
        <w:rPr>
          <w:rFonts w:ascii="Arial" w:hAnsi="Arial" w:cs="Arial"/>
          <w:sz w:val="16"/>
          <w:szCs w:val="16"/>
          <w:lang w:val="es-ES"/>
        </w:rPr>
        <w:t xml:space="preserve"> Incluida en el ASFIS de la </w:t>
      </w:r>
      <w:proofErr w:type="gramStart"/>
      <w:r w:rsidRPr="009B36B6">
        <w:rPr>
          <w:rFonts w:ascii="Arial" w:hAnsi="Arial" w:cs="Arial"/>
          <w:sz w:val="16"/>
          <w:szCs w:val="16"/>
          <w:lang w:val="es-ES"/>
        </w:rPr>
        <w:t>FAO</w:t>
      </w:r>
      <w:proofErr w:type="gramEnd"/>
      <w:r w:rsidRPr="009B36B6">
        <w:rPr>
          <w:rFonts w:ascii="Arial" w:hAnsi="Arial" w:cs="Arial"/>
          <w:sz w:val="16"/>
          <w:szCs w:val="16"/>
          <w:lang w:val="es-ES"/>
        </w:rPr>
        <w:t xml:space="preserve"> pero no considerada una especie válida y ahora debe ser agregada a </w:t>
      </w:r>
      <w:proofErr w:type="spellStart"/>
      <w:r w:rsidRPr="009B36B6">
        <w:rPr>
          <w:rFonts w:ascii="Arial" w:hAnsi="Arial" w:cs="Arial"/>
          <w:i/>
          <w:iCs/>
          <w:sz w:val="16"/>
          <w:szCs w:val="16"/>
          <w:lang w:val="es-ES"/>
        </w:rPr>
        <w:t>Mobula</w:t>
      </w:r>
      <w:proofErr w:type="spellEnd"/>
      <w:r w:rsidRPr="009B36B6">
        <w:rPr>
          <w:rFonts w:ascii="Arial" w:hAnsi="Arial" w:cs="Arial"/>
          <w:i/>
          <w:iCs/>
          <w:sz w:val="16"/>
          <w:szCs w:val="16"/>
          <w:lang w:val="es-ES"/>
        </w:rPr>
        <w:t xml:space="preserve"> </w:t>
      </w:r>
      <w:proofErr w:type="spellStart"/>
      <w:r w:rsidRPr="009B36B6">
        <w:rPr>
          <w:rFonts w:ascii="Arial" w:hAnsi="Arial" w:cs="Arial"/>
          <w:i/>
          <w:iCs/>
          <w:sz w:val="16"/>
          <w:szCs w:val="16"/>
          <w:lang w:val="es-ES"/>
        </w:rPr>
        <w:t>hypostoma</w:t>
      </w:r>
      <w:proofErr w:type="spellEnd"/>
      <w:r w:rsidRPr="009B36B6">
        <w:rPr>
          <w:rFonts w:ascii="Arial" w:hAnsi="Arial" w:cs="Arial"/>
          <w:sz w:val="16"/>
          <w:szCs w:val="16"/>
          <w:lang w:val="es-ES"/>
        </w:rPr>
        <w:t>.</w:t>
      </w:r>
    </w:p>
  </w:footnote>
  <w:footnote w:id="10">
    <w:p w14:paraId="3720789F" w14:textId="77777777" w:rsidR="00E31F80" w:rsidRPr="009B36B6" w:rsidRDefault="00E31F80" w:rsidP="00A32203">
      <w:pPr>
        <w:pStyle w:val="FootnoteText"/>
        <w:rPr>
          <w:rFonts w:ascii="Arial" w:hAnsi="Arial" w:cs="Arial"/>
          <w:sz w:val="18"/>
          <w:szCs w:val="18"/>
          <w:lang w:val="es-ES"/>
        </w:rPr>
      </w:pPr>
      <w:r w:rsidRPr="00620032">
        <w:rPr>
          <w:rStyle w:val="FootnoteReference"/>
          <w:rFonts w:ascii="Arial" w:hAnsi="Arial" w:cs="Arial"/>
          <w:sz w:val="16"/>
          <w:szCs w:val="16"/>
        </w:rPr>
        <w:footnoteRef/>
      </w:r>
      <w:r w:rsidRPr="009B36B6">
        <w:rPr>
          <w:rFonts w:ascii="Arial" w:hAnsi="Arial" w:cs="Arial"/>
          <w:sz w:val="16"/>
          <w:szCs w:val="16"/>
          <w:lang w:val="es-ES"/>
        </w:rPr>
        <w:t xml:space="preserve"> Incluida en el ASFIS de la </w:t>
      </w:r>
      <w:proofErr w:type="gramStart"/>
      <w:r w:rsidRPr="009B36B6">
        <w:rPr>
          <w:rFonts w:ascii="Arial" w:hAnsi="Arial" w:cs="Arial"/>
          <w:sz w:val="16"/>
          <w:szCs w:val="16"/>
          <w:lang w:val="es-ES"/>
        </w:rPr>
        <w:t>FAO</w:t>
      </w:r>
      <w:proofErr w:type="gramEnd"/>
      <w:r w:rsidRPr="009B36B6">
        <w:rPr>
          <w:rFonts w:ascii="Arial" w:hAnsi="Arial" w:cs="Arial"/>
          <w:sz w:val="16"/>
          <w:szCs w:val="16"/>
          <w:lang w:val="es-ES"/>
        </w:rPr>
        <w:t xml:space="preserve"> pero no considerada una especie válida y ahora debe ser agregada a </w:t>
      </w:r>
      <w:proofErr w:type="spellStart"/>
      <w:r w:rsidRPr="00620032">
        <w:rPr>
          <w:rFonts w:ascii="Arial" w:hAnsi="Arial" w:cs="Arial"/>
          <w:i/>
          <w:iCs/>
          <w:sz w:val="16"/>
          <w:szCs w:val="16"/>
          <w:lang w:val="es-ES"/>
        </w:rPr>
        <w:t>Pristis</w:t>
      </w:r>
      <w:proofErr w:type="spellEnd"/>
      <w:r w:rsidRPr="00620032">
        <w:rPr>
          <w:rFonts w:ascii="Arial" w:hAnsi="Arial" w:cs="Arial"/>
          <w:i/>
          <w:iCs/>
          <w:sz w:val="16"/>
          <w:szCs w:val="16"/>
          <w:lang w:val="es-ES"/>
        </w:rPr>
        <w:t xml:space="preserve"> </w:t>
      </w:r>
      <w:proofErr w:type="spellStart"/>
      <w:r w:rsidRPr="00620032">
        <w:rPr>
          <w:rFonts w:ascii="Arial" w:hAnsi="Arial" w:cs="Arial"/>
          <w:i/>
          <w:iCs/>
          <w:sz w:val="16"/>
          <w:szCs w:val="16"/>
          <w:lang w:val="es-ES"/>
        </w:rPr>
        <w:t>pristis</w:t>
      </w:r>
      <w:proofErr w:type="spellEnd"/>
      <w:r w:rsidRPr="00620032">
        <w:rPr>
          <w:rFonts w:ascii="Arial" w:hAnsi="Arial" w:cs="Arial"/>
          <w:sz w:val="16"/>
          <w:szCs w:val="16"/>
          <w:lang w:val="es-ES"/>
        </w:rPr>
        <w:t>.</w:t>
      </w:r>
    </w:p>
  </w:footnote>
  <w:footnote w:id="11">
    <w:p w14:paraId="55DADC3F" w14:textId="77777777" w:rsidR="00E31F80" w:rsidRPr="009B36B6" w:rsidRDefault="00E31F80" w:rsidP="002C7D6A">
      <w:pPr>
        <w:pStyle w:val="FootnoteText"/>
        <w:rPr>
          <w:rFonts w:ascii="Arial" w:hAnsi="Arial" w:cs="Arial"/>
          <w:sz w:val="16"/>
          <w:szCs w:val="16"/>
          <w:lang w:val="es-ES"/>
        </w:rPr>
      </w:pPr>
      <w:r w:rsidRPr="002C7D6A">
        <w:rPr>
          <w:rStyle w:val="FootnoteReference"/>
          <w:rFonts w:ascii="Arial" w:hAnsi="Arial" w:cs="Arial"/>
          <w:sz w:val="16"/>
          <w:szCs w:val="16"/>
        </w:rPr>
        <w:footnoteRef/>
      </w:r>
      <w:r w:rsidRPr="009B36B6">
        <w:rPr>
          <w:rFonts w:ascii="Arial" w:hAnsi="Arial" w:cs="Arial"/>
          <w:sz w:val="16"/>
          <w:szCs w:val="16"/>
          <w:lang w:val="es-ES"/>
        </w:rPr>
        <w:t xml:space="preserve"> Plan de Conservación (CP), Términos de Referencia del Comité Asesor (AC TOR), Términos de Referencia del Secretariado (SEC TOR)</w:t>
      </w:r>
    </w:p>
  </w:footnote>
  <w:footnote w:id="12">
    <w:p w14:paraId="48402EA2" w14:textId="77777777" w:rsidR="00E31F80" w:rsidRPr="009B36B6" w:rsidRDefault="00E31F80" w:rsidP="002C7D6A">
      <w:pPr>
        <w:pStyle w:val="FootnoteText"/>
        <w:rPr>
          <w:rFonts w:ascii="Arial" w:hAnsi="Arial" w:cs="Arial"/>
          <w:sz w:val="16"/>
          <w:szCs w:val="16"/>
          <w:lang w:val="es-ES"/>
        </w:rPr>
      </w:pPr>
      <w:r w:rsidRPr="002C7D6A">
        <w:rPr>
          <w:rStyle w:val="FootnoteReference"/>
          <w:rFonts w:ascii="Arial" w:hAnsi="Arial" w:cs="Arial"/>
          <w:sz w:val="16"/>
          <w:szCs w:val="16"/>
        </w:rPr>
        <w:footnoteRef/>
      </w:r>
      <w:r w:rsidRPr="009B36B6">
        <w:rPr>
          <w:rFonts w:ascii="Arial" w:hAnsi="Arial" w:cs="Arial"/>
          <w:sz w:val="16"/>
          <w:szCs w:val="16"/>
          <w:lang w:val="es-ES"/>
        </w:rPr>
        <w:t xml:space="preserve"> Actividades Básicas del Secretariado y prioridades sugeridas (Alta, Media)</w:t>
      </w:r>
    </w:p>
  </w:footnote>
  <w:footnote w:id="13">
    <w:p w14:paraId="6149DD35" w14:textId="77777777" w:rsidR="00E31F80" w:rsidRPr="009B36B6" w:rsidRDefault="00E31F80" w:rsidP="002C7D6A">
      <w:pPr>
        <w:pStyle w:val="FootnoteText"/>
        <w:rPr>
          <w:rFonts w:ascii="Arial" w:hAnsi="Arial" w:cs="Arial"/>
          <w:sz w:val="16"/>
          <w:szCs w:val="16"/>
          <w:lang w:val="es-ES"/>
        </w:rPr>
      </w:pPr>
      <w:r w:rsidRPr="002C7D6A">
        <w:rPr>
          <w:rStyle w:val="FootnoteReference"/>
          <w:rFonts w:ascii="Arial" w:hAnsi="Arial" w:cs="Arial"/>
          <w:sz w:val="16"/>
          <w:szCs w:val="16"/>
        </w:rPr>
        <w:footnoteRef/>
      </w:r>
      <w:r w:rsidRPr="009B36B6">
        <w:rPr>
          <w:rFonts w:ascii="Arial" w:hAnsi="Arial" w:cs="Arial"/>
          <w:sz w:val="16"/>
          <w:szCs w:val="16"/>
          <w:lang w:val="es-ES"/>
        </w:rPr>
        <w:t xml:space="preserve"> </w:t>
      </w:r>
      <w:r w:rsidRPr="002C7D6A">
        <w:rPr>
          <w:rFonts w:ascii="Arial" w:hAnsi="Arial" w:cs="Arial"/>
          <w:sz w:val="16"/>
          <w:szCs w:val="16"/>
        </w:rPr>
        <w:footnoteRef/>
      </w:r>
      <w:r w:rsidRPr="009B36B6">
        <w:rPr>
          <w:rFonts w:ascii="Arial" w:hAnsi="Arial" w:cs="Arial"/>
          <w:sz w:val="16"/>
          <w:szCs w:val="16"/>
          <w:lang w:val="es-ES"/>
        </w:rPr>
        <w:t xml:space="preserve"> Año(s) durante el(los) cual(es) deberá implementarse la actividad</w:t>
      </w:r>
    </w:p>
  </w:footnote>
  <w:footnote w:id="14">
    <w:p w14:paraId="69B82AB8" w14:textId="77777777" w:rsidR="00E31F80" w:rsidRPr="009B36B6" w:rsidRDefault="00E31F80" w:rsidP="002C7D6A">
      <w:pPr>
        <w:pStyle w:val="FootnoteText"/>
        <w:rPr>
          <w:lang w:val="es-ES"/>
        </w:rPr>
      </w:pPr>
      <w:r w:rsidRPr="002C7D6A">
        <w:rPr>
          <w:rStyle w:val="FootnoteReference"/>
          <w:rFonts w:ascii="Arial" w:hAnsi="Arial" w:cs="Arial"/>
          <w:sz w:val="16"/>
          <w:szCs w:val="16"/>
        </w:rPr>
        <w:footnoteRef/>
      </w:r>
      <w:r w:rsidRPr="009B36B6">
        <w:rPr>
          <w:rFonts w:ascii="Arial" w:hAnsi="Arial" w:cs="Arial"/>
          <w:sz w:val="16"/>
          <w:szCs w:val="16"/>
          <w:lang w:val="es-ES"/>
        </w:rPr>
        <w:t xml:space="preserve"> Signatarios (SIG), Comité Asesor (CA), Secretariado (SEC), Grupo de Trabajo de Conservación (CWS), Consultores, Socios Cooperadores (</w:t>
      </w:r>
      <w:proofErr w:type="spellStart"/>
      <w:r w:rsidRPr="009B36B6">
        <w:rPr>
          <w:rFonts w:ascii="Arial" w:hAnsi="Arial" w:cs="Arial"/>
          <w:sz w:val="16"/>
          <w:szCs w:val="16"/>
          <w:lang w:val="es-ES"/>
        </w:rPr>
        <w:t>CooP</w:t>
      </w:r>
      <w:proofErr w:type="spellEnd"/>
      <w:r w:rsidRPr="009B36B6">
        <w:rPr>
          <w:rFonts w:ascii="Arial" w:hAnsi="Arial" w:cs="Arial"/>
          <w:sz w:val="16"/>
          <w:szCs w:val="16"/>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8651" w14:textId="5DC9523D" w:rsidR="00E31F80" w:rsidRPr="009E2F56" w:rsidRDefault="00E31F80" w:rsidP="009E2F56">
    <w:pPr>
      <w:pStyle w:val="Heading1"/>
      <w:keepNext w:val="0"/>
      <w:pBdr>
        <w:bottom w:val="single" w:sz="4" w:space="1" w:color="auto"/>
      </w:pBdr>
      <w:spacing w:before="0"/>
      <w:rPr>
        <w:rFonts w:ascii="Arial" w:hAnsi="Arial" w:cs="Arial"/>
        <w:b/>
        <w:i/>
        <w:color w:val="auto"/>
        <w:sz w:val="18"/>
        <w:szCs w:val="18"/>
      </w:rPr>
    </w:pPr>
    <w:r>
      <w:rPr>
        <w:rFonts w:ascii="Arial" w:hAnsi="Arial" w:cs="Arial"/>
        <w:i/>
        <w:color w:val="auto"/>
        <w:sz w:val="18"/>
        <w:szCs w:val="18"/>
      </w:rPr>
      <w:t>CMS/Sharks/MOS4/Doc.10.6</w:t>
    </w:r>
  </w:p>
  <w:p w14:paraId="4B3BBC59" w14:textId="77777777" w:rsidR="00E31F80" w:rsidRDefault="00E31F8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1E8DA" w14:textId="3A64F43E" w:rsidR="00E31F80" w:rsidRPr="009E2F56" w:rsidRDefault="00E31F80" w:rsidP="009818C5">
    <w:pPr>
      <w:pStyle w:val="Heading1"/>
      <w:keepNext w:val="0"/>
      <w:pBdr>
        <w:bottom w:val="single" w:sz="4" w:space="1" w:color="auto"/>
      </w:pBdr>
      <w:spacing w:before="0"/>
      <w:rPr>
        <w:rFonts w:ascii="Arial" w:hAnsi="Arial" w:cs="Arial"/>
        <w:b/>
        <w:i/>
        <w:color w:val="auto"/>
        <w:sz w:val="18"/>
        <w:szCs w:val="18"/>
      </w:rPr>
    </w:pPr>
    <w:r>
      <w:rPr>
        <w:rFonts w:ascii="Arial" w:hAnsi="Arial" w:cs="Arial"/>
        <w:i/>
        <w:color w:val="auto"/>
        <w:sz w:val="18"/>
        <w:szCs w:val="18"/>
      </w:rPr>
      <w:t>CMS/Sharks/MOS4/Doc.10.6/An</w:t>
    </w:r>
    <w:r w:rsidR="00421664">
      <w:rPr>
        <w:rFonts w:ascii="Arial" w:hAnsi="Arial" w:cs="Arial"/>
        <w:i/>
        <w:color w:val="auto"/>
        <w:sz w:val="18"/>
        <w:szCs w:val="18"/>
      </w:rPr>
      <w:t>exo</w:t>
    </w:r>
    <w:r>
      <w:rPr>
        <w:rFonts w:ascii="Arial" w:hAnsi="Arial" w:cs="Arial"/>
        <w:i/>
        <w:color w:val="auto"/>
        <w:sz w:val="18"/>
        <w:szCs w:val="18"/>
      </w:rPr>
      <w:t xml:space="preserve"> 1</w:t>
    </w:r>
  </w:p>
  <w:p w14:paraId="5B8ECD1C" w14:textId="77777777" w:rsidR="00E31F80" w:rsidRPr="00B67B59" w:rsidRDefault="00E31F80" w:rsidP="00B67B5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8B940" w14:textId="3B804CC5" w:rsidR="00E31F80" w:rsidRPr="009E2F56" w:rsidRDefault="00E31F80" w:rsidP="002C7D6A">
    <w:pPr>
      <w:pStyle w:val="Heading1"/>
      <w:keepNext w:val="0"/>
      <w:pBdr>
        <w:bottom w:val="single" w:sz="4" w:space="1" w:color="auto"/>
      </w:pBdr>
      <w:spacing w:before="0"/>
      <w:rPr>
        <w:rFonts w:ascii="Arial" w:hAnsi="Arial" w:cs="Arial"/>
        <w:b/>
        <w:i/>
        <w:color w:val="auto"/>
        <w:sz w:val="18"/>
        <w:szCs w:val="18"/>
      </w:rPr>
    </w:pPr>
    <w:r>
      <w:rPr>
        <w:rFonts w:ascii="Arial" w:hAnsi="Arial" w:cs="Arial"/>
        <w:i/>
        <w:color w:val="auto"/>
        <w:sz w:val="18"/>
        <w:szCs w:val="18"/>
      </w:rPr>
      <w:t>CMS/Sharks/MOS4/Doc.10.6/An</w:t>
    </w:r>
    <w:r w:rsidR="00421664">
      <w:rPr>
        <w:rFonts w:ascii="Arial" w:hAnsi="Arial" w:cs="Arial"/>
        <w:i/>
        <w:color w:val="auto"/>
        <w:sz w:val="18"/>
        <w:szCs w:val="18"/>
      </w:rPr>
      <w:t>e</w:t>
    </w:r>
    <w:r>
      <w:rPr>
        <w:rFonts w:ascii="Arial" w:hAnsi="Arial" w:cs="Arial"/>
        <w:i/>
        <w:color w:val="auto"/>
        <w:sz w:val="18"/>
        <w:szCs w:val="18"/>
      </w:rPr>
      <w:t>x</w:t>
    </w:r>
    <w:r w:rsidR="00421664">
      <w:rPr>
        <w:rFonts w:ascii="Arial" w:hAnsi="Arial" w:cs="Arial"/>
        <w:i/>
        <w:color w:val="auto"/>
        <w:sz w:val="18"/>
        <w:szCs w:val="18"/>
      </w:rPr>
      <w:t>o</w:t>
    </w:r>
    <w:r>
      <w:rPr>
        <w:rFonts w:ascii="Arial" w:hAnsi="Arial" w:cs="Arial"/>
        <w:i/>
        <w:color w:val="auto"/>
        <w:sz w:val="18"/>
        <w:szCs w:val="18"/>
      </w:rPr>
      <w:t xml:space="preserve"> 1</w:t>
    </w:r>
  </w:p>
  <w:p w14:paraId="45C7B141" w14:textId="77777777" w:rsidR="00E31F80" w:rsidRPr="00B67B59" w:rsidRDefault="00E31F80" w:rsidP="00B67B5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64691" w14:textId="77777777" w:rsidR="00421664" w:rsidRPr="009E2F56" w:rsidRDefault="00421664" w:rsidP="009E2F56">
    <w:pPr>
      <w:pStyle w:val="Heading1"/>
      <w:keepNext w:val="0"/>
      <w:pBdr>
        <w:bottom w:val="single" w:sz="4" w:space="1" w:color="auto"/>
      </w:pBdr>
      <w:spacing w:before="0"/>
      <w:rPr>
        <w:rFonts w:ascii="Arial" w:hAnsi="Arial" w:cs="Arial"/>
        <w:b/>
        <w:i/>
        <w:color w:val="auto"/>
        <w:sz w:val="18"/>
        <w:szCs w:val="18"/>
      </w:rPr>
    </w:pPr>
    <w:r>
      <w:rPr>
        <w:rFonts w:ascii="Arial" w:hAnsi="Arial" w:cs="Arial"/>
        <w:i/>
        <w:color w:val="auto"/>
        <w:sz w:val="18"/>
        <w:szCs w:val="18"/>
      </w:rPr>
      <w:t>CMS/Sharks/MOS4/Doc.10.6/Anexo 1</w:t>
    </w:r>
  </w:p>
  <w:p w14:paraId="2E1E250F" w14:textId="77777777" w:rsidR="00421664" w:rsidRDefault="0042166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56F23" w14:textId="63EEDEEE" w:rsidR="00E31F80" w:rsidRPr="009E2F56" w:rsidRDefault="00E31F80" w:rsidP="002C7D6A">
    <w:pPr>
      <w:pStyle w:val="Heading1"/>
      <w:keepNext w:val="0"/>
      <w:pBdr>
        <w:bottom w:val="single" w:sz="4" w:space="1" w:color="auto"/>
      </w:pBdr>
      <w:spacing w:before="0"/>
      <w:jc w:val="right"/>
      <w:rPr>
        <w:rFonts w:ascii="Arial" w:hAnsi="Arial" w:cs="Arial"/>
        <w:b/>
        <w:i/>
        <w:color w:val="auto"/>
        <w:sz w:val="18"/>
        <w:szCs w:val="18"/>
      </w:rPr>
    </w:pPr>
    <w:r>
      <w:rPr>
        <w:rFonts w:ascii="Arial" w:hAnsi="Arial" w:cs="Arial"/>
        <w:i/>
        <w:color w:val="auto"/>
        <w:sz w:val="18"/>
        <w:szCs w:val="18"/>
      </w:rPr>
      <w:t>CMS/Sharks/MOS4/Doc.10.6/Anex</w:t>
    </w:r>
    <w:r w:rsidR="00421664">
      <w:rPr>
        <w:rFonts w:ascii="Arial" w:hAnsi="Arial" w:cs="Arial"/>
        <w:i/>
        <w:color w:val="auto"/>
        <w:sz w:val="18"/>
        <w:szCs w:val="18"/>
      </w:rPr>
      <w:t>o</w:t>
    </w:r>
    <w:r>
      <w:rPr>
        <w:rFonts w:ascii="Arial" w:hAnsi="Arial" w:cs="Arial"/>
        <w:i/>
        <w:color w:val="auto"/>
        <w:sz w:val="18"/>
        <w:szCs w:val="18"/>
      </w:rPr>
      <w:t xml:space="preserve"> 1</w:t>
    </w:r>
  </w:p>
  <w:p w14:paraId="37254D82" w14:textId="77777777" w:rsidR="00E31F80" w:rsidRPr="00B67B59" w:rsidRDefault="00E31F80" w:rsidP="00B67B5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34AD3" w14:textId="35579141" w:rsidR="00421664" w:rsidRPr="009E2F56" w:rsidRDefault="00421664" w:rsidP="009E2F56">
    <w:pPr>
      <w:pStyle w:val="Heading1"/>
      <w:keepNext w:val="0"/>
      <w:pBdr>
        <w:bottom w:val="single" w:sz="4" w:space="1" w:color="auto"/>
      </w:pBdr>
      <w:spacing w:before="0"/>
      <w:rPr>
        <w:rFonts w:ascii="Arial" w:hAnsi="Arial" w:cs="Arial"/>
        <w:b/>
        <w:i/>
        <w:color w:val="auto"/>
        <w:sz w:val="18"/>
        <w:szCs w:val="18"/>
      </w:rPr>
    </w:pPr>
    <w:r>
      <w:rPr>
        <w:rFonts w:ascii="Arial" w:hAnsi="Arial" w:cs="Arial"/>
        <w:i/>
        <w:color w:val="auto"/>
        <w:sz w:val="18"/>
        <w:szCs w:val="18"/>
      </w:rPr>
      <w:t>CMS/Sharks/MOS4/Doc.10.6/Anexo 2</w:t>
    </w:r>
  </w:p>
  <w:p w14:paraId="02EA6C2E" w14:textId="77777777" w:rsidR="00421664" w:rsidRDefault="0042166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BAAA" w14:textId="47903E01" w:rsidR="00E31F80" w:rsidRPr="009E2F56" w:rsidRDefault="00E31F80" w:rsidP="009818C5">
    <w:pPr>
      <w:pStyle w:val="Heading1"/>
      <w:keepNext w:val="0"/>
      <w:pBdr>
        <w:bottom w:val="single" w:sz="4" w:space="1" w:color="auto"/>
      </w:pBdr>
      <w:spacing w:before="0"/>
      <w:jc w:val="right"/>
      <w:rPr>
        <w:rFonts w:ascii="Arial" w:hAnsi="Arial" w:cs="Arial"/>
        <w:b/>
        <w:i/>
        <w:color w:val="auto"/>
        <w:sz w:val="18"/>
        <w:szCs w:val="18"/>
      </w:rPr>
    </w:pPr>
    <w:r>
      <w:rPr>
        <w:rFonts w:ascii="Arial" w:hAnsi="Arial" w:cs="Arial"/>
        <w:i/>
        <w:color w:val="auto"/>
        <w:sz w:val="18"/>
        <w:szCs w:val="18"/>
      </w:rPr>
      <w:t>CMS/Sharks/MOS2/Doc.10.6/Anex</w:t>
    </w:r>
    <w:r w:rsidR="00421664">
      <w:rPr>
        <w:rFonts w:ascii="Arial" w:hAnsi="Arial" w:cs="Arial"/>
        <w:i/>
        <w:color w:val="auto"/>
        <w:sz w:val="18"/>
        <w:szCs w:val="18"/>
      </w:rPr>
      <w:t>o</w:t>
    </w:r>
    <w:r>
      <w:rPr>
        <w:rFonts w:ascii="Arial" w:hAnsi="Arial" w:cs="Arial"/>
        <w:i/>
        <w:color w:val="auto"/>
        <w:sz w:val="18"/>
        <w:szCs w:val="18"/>
      </w:rPr>
      <w:t xml:space="preserve"> </w:t>
    </w:r>
    <w:r w:rsidR="00421664">
      <w:rPr>
        <w:rFonts w:ascii="Arial" w:hAnsi="Arial" w:cs="Arial"/>
        <w:i/>
        <w:color w:val="auto"/>
        <w:sz w:val="18"/>
        <w:szCs w:val="18"/>
      </w:rPr>
      <w:t>2</w:t>
    </w:r>
  </w:p>
  <w:p w14:paraId="17E7E96C" w14:textId="77777777" w:rsidR="00E31F80" w:rsidRPr="00B67B59" w:rsidRDefault="00E31F80" w:rsidP="00B67B5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1FCFC" w14:textId="7FDC123A" w:rsidR="00E31F80" w:rsidRPr="009E2F56" w:rsidRDefault="00E31F80" w:rsidP="009818C5">
    <w:pPr>
      <w:pStyle w:val="Heading1"/>
      <w:keepNext w:val="0"/>
      <w:pBdr>
        <w:bottom w:val="single" w:sz="4" w:space="1" w:color="auto"/>
      </w:pBdr>
      <w:spacing w:before="0"/>
      <w:jc w:val="right"/>
      <w:rPr>
        <w:rFonts w:ascii="Arial" w:hAnsi="Arial" w:cs="Arial"/>
        <w:b/>
        <w:i/>
        <w:color w:val="auto"/>
        <w:sz w:val="18"/>
        <w:szCs w:val="18"/>
      </w:rPr>
    </w:pPr>
    <w:r>
      <w:rPr>
        <w:rFonts w:ascii="Arial" w:hAnsi="Arial" w:cs="Arial"/>
        <w:i/>
        <w:color w:val="auto"/>
        <w:sz w:val="18"/>
        <w:szCs w:val="18"/>
      </w:rPr>
      <w:t>CMS/Sharks/MOS4/Doc.10.6/Anex</w:t>
    </w:r>
    <w:r w:rsidR="00421664">
      <w:rPr>
        <w:rFonts w:ascii="Arial" w:hAnsi="Arial" w:cs="Arial"/>
        <w:i/>
        <w:color w:val="auto"/>
        <w:sz w:val="18"/>
        <w:szCs w:val="18"/>
      </w:rPr>
      <w:t>o</w:t>
    </w:r>
    <w:r>
      <w:rPr>
        <w:rFonts w:ascii="Arial" w:hAnsi="Arial" w:cs="Arial"/>
        <w:i/>
        <w:color w:val="auto"/>
        <w:sz w:val="18"/>
        <w:szCs w:val="18"/>
      </w:rPr>
      <w:t xml:space="preserve"> 3</w:t>
    </w:r>
  </w:p>
  <w:p w14:paraId="794327BC" w14:textId="77777777" w:rsidR="00E31F80" w:rsidRPr="00B67B59" w:rsidRDefault="00E31F80" w:rsidP="00B67B5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BC755" w14:textId="76A02F2C" w:rsidR="00E31F80" w:rsidRPr="009E2F56" w:rsidRDefault="00E31F80" w:rsidP="002C7D6A">
    <w:pPr>
      <w:pStyle w:val="Heading1"/>
      <w:keepNext w:val="0"/>
      <w:pBdr>
        <w:bottom w:val="single" w:sz="4" w:space="1" w:color="auto"/>
      </w:pBdr>
      <w:spacing w:before="0"/>
      <w:rPr>
        <w:rFonts w:ascii="Arial" w:hAnsi="Arial" w:cs="Arial"/>
        <w:b/>
        <w:i/>
        <w:color w:val="auto"/>
        <w:sz w:val="18"/>
        <w:szCs w:val="18"/>
      </w:rPr>
    </w:pPr>
    <w:r>
      <w:rPr>
        <w:rFonts w:ascii="Arial" w:hAnsi="Arial" w:cs="Arial"/>
        <w:i/>
        <w:color w:val="auto"/>
        <w:sz w:val="18"/>
        <w:szCs w:val="18"/>
      </w:rPr>
      <w:t>CMS/Sharks/MOS4/Doc.10.6/Anex</w:t>
    </w:r>
    <w:r w:rsidR="00421664">
      <w:rPr>
        <w:rFonts w:ascii="Arial" w:hAnsi="Arial" w:cs="Arial"/>
        <w:i/>
        <w:color w:val="auto"/>
        <w:sz w:val="18"/>
        <w:szCs w:val="18"/>
      </w:rPr>
      <w:t>o</w:t>
    </w:r>
    <w:r>
      <w:rPr>
        <w:rFonts w:ascii="Arial" w:hAnsi="Arial" w:cs="Arial"/>
        <w:i/>
        <w:color w:val="auto"/>
        <w:sz w:val="18"/>
        <w:szCs w:val="18"/>
      </w:rPr>
      <w:t xml:space="preserve"> 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07C67" w14:textId="56D71C9D" w:rsidR="00E31F80" w:rsidRPr="009E2F56" w:rsidRDefault="00E31F80" w:rsidP="00D87D1E">
    <w:pPr>
      <w:pStyle w:val="Heading1"/>
      <w:keepNext w:val="0"/>
      <w:pBdr>
        <w:bottom w:val="single" w:sz="4" w:space="1" w:color="auto"/>
      </w:pBdr>
      <w:spacing w:before="0"/>
      <w:jc w:val="right"/>
      <w:rPr>
        <w:rFonts w:ascii="Arial" w:hAnsi="Arial" w:cs="Arial"/>
        <w:b/>
        <w:i/>
        <w:color w:val="auto"/>
        <w:sz w:val="18"/>
        <w:szCs w:val="18"/>
      </w:rPr>
    </w:pPr>
    <w:r>
      <w:rPr>
        <w:rFonts w:ascii="Arial" w:hAnsi="Arial" w:cs="Arial"/>
        <w:i/>
        <w:color w:val="auto"/>
        <w:sz w:val="18"/>
        <w:szCs w:val="18"/>
      </w:rPr>
      <w:t>CMS/Sharks/MOS4/Doc.10.6</w:t>
    </w:r>
  </w:p>
  <w:p w14:paraId="06013ABC" w14:textId="77777777" w:rsidR="00E31F80" w:rsidRDefault="00E31F80" w:rsidP="00D87D1E">
    <w:pPr>
      <w:pStyle w:val="Header"/>
    </w:pPr>
  </w:p>
  <w:p w14:paraId="236E8C0D" w14:textId="66411B27" w:rsidR="00E31F80" w:rsidRDefault="00E31F80" w:rsidP="00F9613E">
    <w:pPr>
      <w:pStyle w:val="Header"/>
      <w:tabs>
        <w:tab w:val="clear" w:pos="4680"/>
        <w:tab w:val="clear" w:pos="9360"/>
        <w:tab w:val="left" w:pos="271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page" w:horzAnchor="margin" w:tblpY="294"/>
      <w:tblW w:w="9552" w:type="dxa"/>
      <w:tblLayout w:type="fixed"/>
      <w:tblCellMar>
        <w:top w:w="198" w:type="dxa"/>
      </w:tblCellMar>
      <w:tblLook w:val="0000" w:firstRow="0" w:lastRow="0" w:firstColumn="0" w:lastColumn="0" w:noHBand="0" w:noVBand="0"/>
    </w:tblPr>
    <w:tblGrid>
      <w:gridCol w:w="9552"/>
    </w:tblGrid>
    <w:tr w:rsidR="009B36B6" w:rsidRPr="00FD56E6" w14:paraId="7C111A78" w14:textId="77777777" w:rsidTr="00883444">
      <w:trPr>
        <w:cantSplit/>
        <w:trHeight w:val="762"/>
      </w:trPr>
      <w:tc>
        <w:tcPr>
          <w:tcW w:w="9552" w:type="dxa"/>
          <w:tcBorders>
            <w:bottom w:val="single" w:sz="4" w:space="0" w:color="auto"/>
          </w:tcBorders>
          <w:tcMar>
            <w:top w:w="85" w:type="dxa"/>
          </w:tcMar>
        </w:tcPr>
        <w:p w14:paraId="7401972A" w14:textId="77777777" w:rsidR="009B36B6" w:rsidRPr="001A259F" w:rsidRDefault="009B36B6" w:rsidP="009B36B6">
          <w:pPr>
            <w:tabs>
              <w:tab w:val="left" w:pos="-1057"/>
              <w:tab w:val="left" w:pos="-720"/>
              <w:tab w:val="left" w:pos="0"/>
              <w:tab w:val="left" w:pos="141"/>
              <w:tab w:val="left" w:pos="720"/>
              <w:tab w:val="right" w:pos="8955"/>
            </w:tabs>
            <w:jc w:val="both"/>
            <w:rPr>
              <w:lang w:val="en-GB"/>
            </w:rPr>
          </w:pPr>
          <w:r>
            <w:rPr>
              <w:noProof/>
            </w:rPr>
            <w:drawing>
              <wp:anchor distT="0" distB="0" distL="114300" distR="114300" simplePos="0" relativeHeight="251660288" behindDoc="0" locked="0" layoutInCell="1" allowOverlap="1" wp14:anchorId="3731634F" wp14:editId="7CBB8EF5">
                <wp:simplePos x="0" y="0"/>
                <wp:positionH relativeFrom="column">
                  <wp:posOffset>-48260</wp:posOffset>
                </wp:positionH>
                <wp:positionV relativeFrom="page">
                  <wp:posOffset>-21590</wp:posOffset>
                </wp:positionV>
                <wp:extent cx="636270" cy="4667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Environment_Logo_Spanish_Full_black"/>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4999" b="11667"/>
                        <a:stretch/>
                      </pic:blipFill>
                      <pic:spPr bwMode="auto">
                        <a:xfrm>
                          <a:off x="0" y="0"/>
                          <a:ext cx="63627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613E">
            <w:rPr>
              <w:noProof/>
            </w:rPr>
            <w:drawing>
              <wp:anchor distT="0" distB="0" distL="114300" distR="114300" simplePos="0" relativeHeight="251659264" behindDoc="0" locked="0" layoutInCell="1" allowOverlap="1" wp14:anchorId="42685539" wp14:editId="379A4E3D">
                <wp:simplePos x="0" y="0"/>
                <wp:positionH relativeFrom="column">
                  <wp:posOffset>654685</wp:posOffset>
                </wp:positionH>
                <wp:positionV relativeFrom="paragraph">
                  <wp:posOffset>-8255</wp:posOffset>
                </wp:positionV>
                <wp:extent cx="255905" cy="359410"/>
                <wp:effectExtent l="0" t="0" r="0" b="2540"/>
                <wp:wrapNone/>
                <wp:docPr id="7" name="Picture 8" descr="cms_logo-for_letterhea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ms_logo-for_letterhead_black"/>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55905"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66ECF5E" w14:textId="459E6622" w:rsidR="00E31F80" w:rsidRDefault="00E31F80" w:rsidP="00F9613E">
    <w:pPr>
      <w:pStyle w:val="Header"/>
      <w:ind w:firstLine="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ACC57" w14:textId="6E206123" w:rsidR="00421664" w:rsidRPr="009E2F56" w:rsidRDefault="00421664" w:rsidP="009E2F56">
    <w:pPr>
      <w:pStyle w:val="Heading1"/>
      <w:keepNext w:val="0"/>
      <w:pBdr>
        <w:bottom w:val="single" w:sz="4" w:space="1" w:color="auto"/>
      </w:pBdr>
      <w:spacing w:before="0"/>
      <w:rPr>
        <w:rFonts w:ascii="Arial" w:hAnsi="Arial" w:cs="Arial"/>
        <w:b/>
        <w:i/>
        <w:color w:val="auto"/>
        <w:sz w:val="18"/>
        <w:szCs w:val="18"/>
      </w:rPr>
    </w:pPr>
    <w:r>
      <w:rPr>
        <w:rFonts w:ascii="Arial" w:hAnsi="Arial" w:cs="Arial"/>
        <w:i/>
        <w:color w:val="auto"/>
        <w:sz w:val="18"/>
        <w:szCs w:val="18"/>
      </w:rPr>
      <w:t>CMS/Sharks/MOS4/Doc.10.6/Anexo 1</w:t>
    </w:r>
  </w:p>
  <w:p w14:paraId="5AEDF34E" w14:textId="77777777" w:rsidR="00421664" w:rsidRDefault="0042166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4E050" w14:textId="4387601E" w:rsidR="00E31F80" w:rsidRPr="009E2F56" w:rsidRDefault="00E31F80" w:rsidP="00D87D1E">
    <w:pPr>
      <w:pStyle w:val="Heading1"/>
      <w:keepNext w:val="0"/>
      <w:pBdr>
        <w:bottom w:val="single" w:sz="4" w:space="1" w:color="auto"/>
      </w:pBdr>
      <w:spacing w:before="0"/>
      <w:jc w:val="right"/>
      <w:rPr>
        <w:rFonts w:ascii="Arial" w:hAnsi="Arial" w:cs="Arial"/>
        <w:b/>
        <w:i/>
        <w:color w:val="auto"/>
        <w:sz w:val="18"/>
        <w:szCs w:val="18"/>
      </w:rPr>
    </w:pPr>
    <w:r>
      <w:rPr>
        <w:rFonts w:ascii="Arial" w:hAnsi="Arial" w:cs="Arial"/>
        <w:i/>
        <w:color w:val="auto"/>
        <w:sz w:val="18"/>
        <w:szCs w:val="18"/>
      </w:rPr>
      <w:t>CMS/Sharks/MOS4/Doc.10.6/Annex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C1090" w14:textId="78D918F9" w:rsidR="00E31F80" w:rsidRPr="009E2F56" w:rsidRDefault="00E31F80" w:rsidP="00421664">
    <w:pPr>
      <w:pStyle w:val="Heading1"/>
      <w:keepNext w:val="0"/>
      <w:pBdr>
        <w:bottom w:val="single" w:sz="4" w:space="1" w:color="auto"/>
      </w:pBdr>
      <w:spacing w:before="0"/>
      <w:jc w:val="right"/>
      <w:rPr>
        <w:rFonts w:ascii="Arial" w:hAnsi="Arial" w:cs="Arial"/>
        <w:b/>
        <w:i/>
        <w:color w:val="auto"/>
        <w:sz w:val="18"/>
        <w:szCs w:val="18"/>
      </w:rPr>
    </w:pPr>
    <w:r>
      <w:rPr>
        <w:rFonts w:ascii="Arial" w:hAnsi="Arial" w:cs="Arial"/>
        <w:i/>
        <w:color w:val="auto"/>
        <w:sz w:val="18"/>
        <w:szCs w:val="18"/>
      </w:rPr>
      <w:t>CMS/Sharks/MOS4/Doc.10.6/Anex</w:t>
    </w:r>
    <w:r w:rsidR="00421664">
      <w:rPr>
        <w:rFonts w:ascii="Arial" w:hAnsi="Arial" w:cs="Arial"/>
        <w:i/>
        <w:color w:val="auto"/>
        <w:sz w:val="18"/>
        <w:szCs w:val="18"/>
      </w:rPr>
      <w:t>o</w:t>
    </w:r>
    <w:r>
      <w:rPr>
        <w:rFonts w:ascii="Arial" w:hAnsi="Arial" w:cs="Arial"/>
        <w:i/>
        <w:color w:val="auto"/>
        <w:sz w:val="18"/>
        <w:szCs w:val="18"/>
      </w:rPr>
      <w:t xml:space="preserve"> 1</w:t>
    </w:r>
  </w:p>
  <w:p w14:paraId="01D734E3" w14:textId="004F1D84" w:rsidR="00E31F80" w:rsidRPr="00B67B59" w:rsidRDefault="00E31F80" w:rsidP="00B67B5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C348E" w14:textId="63B77BFF" w:rsidR="00E31F80" w:rsidRPr="009E2F56" w:rsidRDefault="00E31F80" w:rsidP="009E2F56">
    <w:pPr>
      <w:pStyle w:val="Heading1"/>
      <w:keepNext w:val="0"/>
      <w:pBdr>
        <w:bottom w:val="single" w:sz="4" w:space="1" w:color="auto"/>
      </w:pBdr>
      <w:spacing w:before="0"/>
      <w:rPr>
        <w:rFonts w:ascii="Arial" w:hAnsi="Arial" w:cs="Arial"/>
        <w:b/>
        <w:i/>
        <w:color w:val="auto"/>
        <w:sz w:val="18"/>
        <w:szCs w:val="18"/>
      </w:rPr>
    </w:pPr>
    <w:r>
      <w:rPr>
        <w:rFonts w:ascii="Arial" w:hAnsi="Arial" w:cs="Arial"/>
        <w:i/>
        <w:color w:val="auto"/>
        <w:sz w:val="18"/>
        <w:szCs w:val="18"/>
      </w:rPr>
      <w:t>CMS/Sharks/MOS4/Doc.10.6/Anex</w:t>
    </w:r>
    <w:r w:rsidR="00421664">
      <w:rPr>
        <w:rFonts w:ascii="Arial" w:hAnsi="Arial" w:cs="Arial"/>
        <w:i/>
        <w:color w:val="auto"/>
        <w:sz w:val="18"/>
        <w:szCs w:val="18"/>
      </w:rPr>
      <w:t>o</w:t>
    </w:r>
    <w:r>
      <w:rPr>
        <w:rFonts w:ascii="Arial" w:hAnsi="Arial" w:cs="Arial"/>
        <w:i/>
        <w:color w:val="auto"/>
        <w:sz w:val="18"/>
        <w:szCs w:val="18"/>
      </w:rPr>
      <w:t xml:space="preserve"> 1</w:t>
    </w:r>
  </w:p>
  <w:p w14:paraId="4078E6C8" w14:textId="77777777" w:rsidR="00E31F80" w:rsidRDefault="00E31F8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98394" w14:textId="0100A7D7" w:rsidR="00421664" w:rsidRPr="009E2F56" w:rsidRDefault="00421664" w:rsidP="00D87D1E">
    <w:pPr>
      <w:pStyle w:val="Heading1"/>
      <w:keepNext w:val="0"/>
      <w:pBdr>
        <w:bottom w:val="single" w:sz="4" w:space="1" w:color="auto"/>
      </w:pBdr>
      <w:spacing w:before="0"/>
      <w:jc w:val="right"/>
      <w:rPr>
        <w:rFonts w:ascii="Arial" w:hAnsi="Arial" w:cs="Arial"/>
        <w:b/>
        <w:i/>
        <w:color w:val="auto"/>
        <w:sz w:val="18"/>
        <w:szCs w:val="18"/>
      </w:rPr>
    </w:pPr>
    <w:r>
      <w:rPr>
        <w:rFonts w:ascii="Arial" w:hAnsi="Arial" w:cs="Arial"/>
        <w:i/>
        <w:color w:val="auto"/>
        <w:sz w:val="18"/>
        <w:szCs w:val="18"/>
      </w:rPr>
      <w:t>CMS/Sharks/MOS4/Doc.10.6/Anexo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47F25" w14:textId="77777777" w:rsidR="00421664" w:rsidRPr="009E2F56" w:rsidRDefault="00421664" w:rsidP="00D87D1E">
    <w:pPr>
      <w:pStyle w:val="Heading1"/>
      <w:keepNext w:val="0"/>
      <w:pBdr>
        <w:bottom w:val="single" w:sz="4" w:space="1" w:color="auto"/>
      </w:pBdr>
      <w:spacing w:before="0"/>
      <w:jc w:val="right"/>
      <w:rPr>
        <w:rFonts w:ascii="Arial" w:hAnsi="Arial" w:cs="Arial"/>
        <w:b/>
        <w:i/>
        <w:color w:val="auto"/>
        <w:sz w:val="18"/>
        <w:szCs w:val="18"/>
      </w:rPr>
    </w:pPr>
    <w:r>
      <w:rPr>
        <w:rFonts w:ascii="Arial" w:hAnsi="Arial" w:cs="Arial"/>
        <w:i/>
        <w:color w:val="auto"/>
        <w:sz w:val="18"/>
        <w:szCs w:val="18"/>
      </w:rPr>
      <w:t>CMS/Sharks/MOS4/Doc.10.6/Anexo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14C88"/>
    <w:multiLevelType w:val="hybridMultilevel"/>
    <w:tmpl w:val="6B7606DA"/>
    <w:styleLink w:val="ImportedStyle1"/>
    <w:lvl w:ilvl="0" w:tplc="49FA48B2">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5960199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5D80AF8">
      <w:start w:val="1"/>
      <w:numFmt w:val="lowerLetter"/>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002D29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EF08AD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47AB7E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C16882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CF440A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D84E28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67F723A"/>
    <w:multiLevelType w:val="multilevel"/>
    <w:tmpl w:val="E56E4FDC"/>
    <w:styleLink w:val="ImportedStyle7"/>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DFB75A8"/>
    <w:multiLevelType w:val="multilevel"/>
    <w:tmpl w:val="0FDA8AAA"/>
    <w:styleLink w:val="ImportedStyle12"/>
    <w:lvl w:ilvl="0">
      <w:start w:val="1"/>
      <w:numFmt w:val="decimal"/>
      <w:lvlText w:val="%1."/>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5E23C55"/>
    <w:multiLevelType w:val="hybridMultilevel"/>
    <w:tmpl w:val="54B2A74E"/>
    <w:lvl w:ilvl="0" w:tplc="FFFFFFFF">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13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A0AE2C2">
      <w:start w:val="1"/>
      <w:numFmt w:val="bullet"/>
      <w:lvlText w:val=""/>
      <w:lvlJc w:val="left"/>
      <w:pPr>
        <w:ind w:left="426" w:hanging="360"/>
      </w:pPr>
      <w:rPr>
        <w:rFonts w:ascii="Symbol" w:hAnsi="Symbol" w:hint="default"/>
      </w:rPr>
    </w:lvl>
    <w:lvl w:ilvl="3" w:tplc="FFFFFFFF">
      <w:start w:val="1"/>
      <w:numFmt w:val="bullet"/>
      <w:lvlText w:val="·"/>
      <w:lvlJc w:val="left"/>
      <w:pPr>
        <w:ind w:left="45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4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5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5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5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65F780E"/>
    <w:multiLevelType w:val="hybridMultilevel"/>
    <w:tmpl w:val="7BEA55F4"/>
    <w:lvl w:ilvl="0" w:tplc="DC344B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C03AC6"/>
    <w:multiLevelType w:val="hybridMultilevel"/>
    <w:tmpl w:val="D4984194"/>
    <w:lvl w:ilvl="0" w:tplc="FFFFFFFF">
      <w:start w:val="1"/>
      <w:numFmt w:val="lowerLetter"/>
      <w:lvlText w:val="%1)"/>
      <w:lvlJc w:val="left"/>
      <w:pPr>
        <w:ind w:left="720" w:hanging="360"/>
      </w:pPr>
    </w:lvl>
    <w:lvl w:ilvl="1" w:tplc="0409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CE6FB7"/>
    <w:multiLevelType w:val="hybridMultilevel"/>
    <w:tmpl w:val="623C1510"/>
    <w:lvl w:ilvl="0" w:tplc="5E1A7CFE">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C0363D1"/>
    <w:multiLevelType w:val="multilevel"/>
    <w:tmpl w:val="000AEFE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68A36DF"/>
    <w:multiLevelType w:val="hybridMultilevel"/>
    <w:tmpl w:val="AEE40C14"/>
    <w:styleLink w:val="ImportedStyle4"/>
    <w:lvl w:ilvl="0" w:tplc="ACFE0A9C">
      <w:start w:val="1"/>
      <w:numFmt w:val="lowerLetter"/>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1CE5D8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D706EA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394826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E6C375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5AE11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6A678F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4BA910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EC0055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B274005"/>
    <w:multiLevelType w:val="hybridMultilevel"/>
    <w:tmpl w:val="EE96ADD4"/>
    <w:lvl w:ilvl="0" w:tplc="FFFFFFFF">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13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A0AE2C2">
      <w:start w:val="1"/>
      <w:numFmt w:val="bullet"/>
      <w:lvlText w:val=""/>
      <w:lvlJc w:val="left"/>
      <w:pPr>
        <w:ind w:left="426" w:hanging="360"/>
      </w:pPr>
      <w:rPr>
        <w:rFonts w:ascii="Symbol" w:hAnsi="Symbol" w:hint="default"/>
      </w:rPr>
    </w:lvl>
    <w:lvl w:ilvl="3" w:tplc="FFFFFFFF">
      <w:start w:val="1"/>
      <w:numFmt w:val="bullet"/>
      <w:lvlText w:val="·"/>
      <w:lvlJc w:val="left"/>
      <w:pPr>
        <w:ind w:left="45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4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5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5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5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EA51FF7"/>
    <w:multiLevelType w:val="hybridMultilevel"/>
    <w:tmpl w:val="E790FD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B60882"/>
    <w:multiLevelType w:val="multilevel"/>
    <w:tmpl w:val="9486444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573478F"/>
    <w:multiLevelType w:val="multilevel"/>
    <w:tmpl w:val="E58CB1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C357889"/>
    <w:multiLevelType w:val="hybridMultilevel"/>
    <w:tmpl w:val="CD0A81EC"/>
    <w:styleLink w:val="ImportedStyle2"/>
    <w:lvl w:ilvl="0" w:tplc="ACD6196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4867B18">
      <w:start w:val="1"/>
      <w:numFmt w:val="lowerLetter"/>
      <w:lvlText w:val="(%2)"/>
      <w:lvlJc w:val="left"/>
      <w:pPr>
        <w:ind w:left="1440" w:hanging="4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E4E6DB4A">
      <w:start w:val="1"/>
      <w:numFmt w:val="lowerLetter"/>
      <w:lvlText w:val="(%3)"/>
      <w:lvlJc w:val="left"/>
      <w:pPr>
        <w:ind w:left="2160" w:hanging="4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2DA2ED7C">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714C464">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B1081F20">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F1C11D0">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002C1AC">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63AC8E2">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10070F2"/>
    <w:multiLevelType w:val="hybridMultilevel"/>
    <w:tmpl w:val="6B7606DA"/>
    <w:numStyleLink w:val="ImportedStyle1"/>
  </w:abstractNum>
  <w:abstractNum w:abstractNumId="15" w15:restartNumberingAfterBreak="0">
    <w:nsid w:val="43BD71E5"/>
    <w:multiLevelType w:val="multilevel"/>
    <w:tmpl w:val="2836284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0841ED0"/>
    <w:multiLevelType w:val="multilevel"/>
    <w:tmpl w:val="799859AC"/>
    <w:styleLink w:val="ImportedStyle8"/>
    <w:lvl w:ilvl="0">
      <w:start w:val="1"/>
      <w:numFmt w:val="decimal"/>
      <w:lvlText w:val="%1."/>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563B4D6C"/>
    <w:multiLevelType w:val="hybridMultilevel"/>
    <w:tmpl w:val="D6DAF640"/>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8" w15:restartNumberingAfterBreak="0">
    <w:nsid w:val="5BCE2E26"/>
    <w:multiLevelType w:val="hybridMultilevel"/>
    <w:tmpl w:val="8EE2D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171FBB"/>
    <w:multiLevelType w:val="hybridMultilevel"/>
    <w:tmpl w:val="DE7605D6"/>
    <w:styleLink w:val="ImportedStyle10"/>
    <w:lvl w:ilvl="0" w:tplc="1F3ED618">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1EB41A">
      <w:start w:val="1"/>
      <w:numFmt w:val="bullet"/>
      <w:lvlText w:val="•"/>
      <w:lvlJc w:val="left"/>
      <w:pPr>
        <w:ind w:left="13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DB087AC">
      <w:start w:val="1"/>
      <w:numFmt w:val="bullet"/>
      <w:lvlText w:val="·"/>
      <w:lvlJc w:val="left"/>
      <w:pPr>
        <w:ind w:left="4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30CC539E">
      <w:start w:val="1"/>
      <w:numFmt w:val="bullet"/>
      <w:lvlText w:val="·"/>
      <w:lvlJc w:val="left"/>
      <w:pPr>
        <w:ind w:left="45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A163792">
      <w:start w:val="1"/>
      <w:numFmt w:val="bullet"/>
      <w:lvlText w:val="·"/>
      <w:lvlJc w:val="left"/>
      <w:pPr>
        <w:ind w:left="4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3A94B89C">
      <w:start w:val="1"/>
      <w:numFmt w:val="bullet"/>
      <w:lvlText w:val="·"/>
      <w:lvlJc w:val="left"/>
      <w:pPr>
        <w:ind w:left="5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7222CA0">
      <w:start w:val="1"/>
      <w:numFmt w:val="bullet"/>
      <w:lvlText w:val="·"/>
      <w:lvlJc w:val="left"/>
      <w:pPr>
        <w:ind w:left="55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FE6E8F2">
      <w:start w:val="1"/>
      <w:numFmt w:val="bullet"/>
      <w:lvlText w:val="·"/>
      <w:lvlJc w:val="left"/>
      <w:pPr>
        <w:ind w:left="5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30E89BE0">
      <w:start w:val="1"/>
      <w:numFmt w:val="bullet"/>
      <w:lvlText w:val="·"/>
      <w:lvlJc w:val="left"/>
      <w:pPr>
        <w:ind w:left="6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64DA478B"/>
    <w:multiLevelType w:val="hybridMultilevel"/>
    <w:tmpl w:val="A296C9B4"/>
    <w:styleLink w:val="ImportedStyle3"/>
    <w:lvl w:ilvl="0" w:tplc="B89E3C08">
      <w:start w:val="1"/>
      <w:numFmt w:val="lowerLetter"/>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6A8F9C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4E5D4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C4CECC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B2CFEB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5BA386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61CCE5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5206D3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28E39F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65EC5E10"/>
    <w:multiLevelType w:val="hybridMultilevel"/>
    <w:tmpl w:val="58FC498A"/>
    <w:lvl w:ilvl="0" w:tplc="FFFFFFFF">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13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A0AE2C2">
      <w:start w:val="1"/>
      <w:numFmt w:val="bullet"/>
      <w:lvlText w:val=""/>
      <w:lvlJc w:val="left"/>
      <w:pPr>
        <w:ind w:left="426" w:hanging="360"/>
      </w:pPr>
      <w:rPr>
        <w:rFonts w:ascii="Symbol" w:hAnsi="Symbol" w:hint="default"/>
      </w:rPr>
    </w:lvl>
    <w:lvl w:ilvl="3" w:tplc="FFFFFFFF">
      <w:start w:val="1"/>
      <w:numFmt w:val="bullet"/>
      <w:lvlText w:val="·"/>
      <w:lvlJc w:val="left"/>
      <w:pPr>
        <w:ind w:left="45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4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5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5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5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673D5AA3"/>
    <w:multiLevelType w:val="hybridMultilevel"/>
    <w:tmpl w:val="E2B85D50"/>
    <w:styleLink w:val="ImportedStyle6"/>
    <w:lvl w:ilvl="0" w:tplc="5616F5D0">
      <w:start w:val="1"/>
      <w:numFmt w:val="lowerLetter"/>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4F0903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470BA8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89642A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4E0C7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E14005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71E172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E00F03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3445F8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6BAC7B29"/>
    <w:multiLevelType w:val="hybridMultilevel"/>
    <w:tmpl w:val="036A665C"/>
    <w:lvl w:ilvl="0" w:tplc="67327162">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9F03CD"/>
    <w:multiLevelType w:val="hybridMultilevel"/>
    <w:tmpl w:val="C5503BA6"/>
    <w:lvl w:ilvl="0" w:tplc="FFFFFFFF">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13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A0AE2C2">
      <w:start w:val="1"/>
      <w:numFmt w:val="bullet"/>
      <w:lvlText w:val=""/>
      <w:lvlJc w:val="left"/>
      <w:pPr>
        <w:ind w:left="426" w:hanging="360"/>
      </w:pPr>
      <w:rPr>
        <w:rFonts w:ascii="Symbol" w:hAnsi="Symbol" w:hint="default"/>
      </w:rPr>
    </w:lvl>
    <w:lvl w:ilvl="3" w:tplc="FFFFFFFF">
      <w:start w:val="1"/>
      <w:numFmt w:val="bullet"/>
      <w:lvlText w:val="·"/>
      <w:lvlJc w:val="left"/>
      <w:pPr>
        <w:ind w:left="45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4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5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5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5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74182097"/>
    <w:multiLevelType w:val="multilevel"/>
    <w:tmpl w:val="E45065BA"/>
    <w:styleLink w:val="ImportedStyle9"/>
    <w:lvl w:ilvl="0">
      <w:start w:val="1"/>
      <w:numFmt w:val="decimal"/>
      <w:lvlText w:val="%1."/>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7D075867"/>
    <w:multiLevelType w:val="multilevel"/>
    <w:tmpl w:val="831439FC"/>
    <w:styleLink w:val="ImportedStyle11"/>
    <w:lvl w:ilvl="0">
      <w:start w:val="1"/>
      <w:numFmt w:val="decimal"/>
      <w:lvlText w:val="%1."/>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7DD76439"/>
    <w:multiLevelType w:val="hybridMultilevel"/>
    <w:tmpl w:val="BCFC9364"/>
    <w:lvl w:ilvl="0" w:tplc="FFFFFFFF">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13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A0AE2C2">
      <w:start w:val="1"/>
      <w:numFmt w:val="bullet"/>
      <w:lvlText w:val=""/>
      <w:lvlJc w:val="left"/>
      <w:pPr>
        <w:ind w:left="426" w:hanging="360"/>
      </w:pPr>
      <w:rPr>
        <w:rFonts w:ascii="Symbol" w:hAnsi="Symbol" w:hint="default"/>
      </w:rPr>
    </w:lvl>
    <w:lvl w:ilvl="3" w:tplc="FFFFFFFF">
      <w:start w:val="1"/>
      <w:numFmt w:val="bullet"/>
      <w:lvlText w:val="·"/>
      <w:lvlJc w:val="left"/>
      <w:pPr>
        <w:ind w:left="45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4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5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5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5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7F5F2DB9"/>
    <w:multiLevelType w:val="hybridMultilevel"/>
    <w:tmpl w:val="7116F004"/>
    <w:lvl w:ilvl="0" w:tplc="FFFFFFFF">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13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A0AE2C2">
      <w:start w:val="1"/>
      <w:numFmt w:val="bullet"/>
      <w:lvlText w:val=""/>
      <w:lvlJc w:val="left"/>
      <w:pPr>
        <w:ind w:left="426" w:hanging="360"/>
      </w:pPr>
      <w:rPr>
        <w:rFonts w:ascii="Symbol" w:hAnsi="Symbol" w:hint="default"/>
      </w:rPr>
    </w:lvl>
    <w:lvl w:ilvl="3" w:tplc="FFFFFFFF">
      <w:start w:val="1"/>
      <w:numFmt w:val="bullet"/>
      <w:lvlText w:val="·"/>
      <w:lvlJc w:val="left"/>
      <w:pPr>
        <w:ind w:left="45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4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5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5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5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13"/>
  </w:num>
  <w:num w:numId="3">
    <w:abstractNumId w:val="20"/>
  </w:num>
  <w:num w:numId="4">
    <w:abstractNumId w:val="8"/>
  </w:num>
  <w:num w:numId="5">
    <w:abstractNumId w:val="22"/>
  </w:num>
  <w:num w:numId="6">
    <w:abstractNumId w:val="1"/>
  </w:num>
  <w:num w:numId="7">
    <w:abstractNumId w:val="16"/>
  </w:num>
  <w:num w:numId="8">
    <w:abstractNumId w:val="25"/>
  </w:num>
  <w:num w:numId="9">
    <w:abstractNumId w:val="19"/>
  </w:num>
  <w:num w:numId="10">
    <w:abstractNumId w:val="26"/>
  </w:num>
  <w:num w:numId="11">
    <w:abstractNumId w:val="2"/>
  </w:num>
  <w:num w:numId="12">
    <w:abstractNumId w:val="12"/>
  </w:num>
  <w:num w:numId="13">
    <w:abstractNumId w:val="14"/>
    <w:lvlOverride w:ilvl="0">
      <w:lvl w:ilvl="0" w:tplc="BCF6DB94">
        <w:start w:val="1"/>
        <w:numFmt w:val="decimal"/>
        <w:lvlText w:val="%1."/>
        <w:lvlJc w:val="left"/>
        <w:pPr>
          <w:ind w:left="720" w:hanging="720"/>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num>
  <w:num w:numId="14">
    <w:abstractNumId w:val="23"/>
  </w:num>
  <w:num w:numId="15">
    <w:abstractNumId w:val="17"/>
  </w:num>
  <w:num w:numId="16">
    <w:abstractNumId w:val="24"/>
  </w:num>
  <w:num w:numId="17">
    <w:abstractNumId w:val="28"/>
  </w:num>
  <w:num w:numId="18">
    <w:abstractNumId w:val="21"/>
  </w:num>
  <w:num w:numId="19">
    <w:abstractNumId w:val="9"/>
  </w:num>
  <w:num w:numId="20">
    <w:abstractNumId w:val="11"/>
  </w:num>
  <w:num w:numId="21">
    <w:abstractNumId w:val="27"/>
  </w:num>
  <w:num w:numId="22">
    <w:abstractNumId w:val="3"/>
  </w:num>
  <w:num w:numId="23">
    <w:abstractNumId w:val="7"/>
  </w:num>
  <w:num w:numId="24">
    <w:abstractNumId w:val="18"/>
  </w:num>
  <w:num w:numId="25">
    <w:abstractNumId w:val="5"/>
  </w:num>
  <w:num w:numId="26">
    <w:abstractNumId w:val="10"/>
  </w:num>
  <w:num w:numId="27">
    <w:abstractNumId w:val="6"/>
  </w:num>
  <w:num w:numId="28">
    <w:abstractNumId w:val="4"/>
  </w:num>
  <w:num w:numId="29">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QxMbO0MDE3sjQzNDVV0lEKTi0uzszPAykwrgUA3qU0tywAAAA="/>
  </w:docVars>
  <w:rsids>
    <w:rsidRoot w:val="00F9613E"/>
    <w:rsid w:val="00067523"/>
    <w:rsid w:val="00074250"/>
    <w:rsid w:val="00086B47"/>
    <w:rsid w:val="000A28F2"/>
    <w:rsid w:val="000B20EF"/>
    <w:rsid w:val="000E7FA2"/>
    <w:rsid w:val="001024A7"/>
    <w:rsid w:val="00126756"/>
    <w:rsid w:val="00163119"/>
    <w:rsid w:val="00163F6C"/>
    <w:rsid w:val="00176880"/>
    <w:rsid w:val="00180249"/>
    <w:rsid w:val="001A10EB"/>
    <w:rsid w:val="001A56EC"/>
    <w:rsid w:val="001B07F0"/>
    <w:rsid w:val="001E4552"/>
    <w:rsid w:val="00213804"/>
    <w:rsid w:val="0021465B"/>
    <w:rsid w:val="00242643"/>
    <w:rsid w:val="00243353"/>
    <w:rsid w:val="00247010"/>
    <w:rsid w:val="00253A0D"/>
    <w:rsid w:val="0026143E"/>
    <w:rsid w:val="0026456B"/>
    <w:rsid w:val="00293B53"/>
    <w:rsid w:val="002A4553"/>
    <w:rsid w:val="002B5D42"/>
    <w:rsid w:val="002C7D6A"/>
    <w:rsid w:val="002F1DD9"/>
    <w:rsid w:val="00327509"/>
    <w:rsid w:val="00345DA0"/>
    <w:rsid w:val="003F0802"/>
    <w:rsid w:val="00400C88"/>
    <w:rsid w:val="00403D1B"/>
    <w:rsid w:val="004065B9"/>
    <w:rsid w:val="00421664"/>
    <w:rsid w:val="0042186B"/>
    <w:rsid w:val="004710FD"/>
    <w:rsid w:val="00477456"/>
    <w:rsid w:val="00483A4B"/>
    <w:rsid w:val="00493367"/>
    <w:rsid w:val="004B7B9F"/>
    <w:rsid w:val="004D7892"/>
    <w:rsid w:val="004E5B85"/>
    <w:rsid w:val="00511401"/>
    <w:rsid w:val="0052680E"/>
    <w:rsid w:val="00587950"/>
    <w:rsid w:val="0059662B"/>
    <w:rsid w:val="005B2ED0"/>
    <w:rsid w:val="005B6EAC"/>
    <w:rsid w:val="005C26A6"/>
    <w:rsid w:val="00600AD3"/>
    <w:rsid w:val="00614070"/>
    <w:rsid w:val="00620032"/>
    <w:rsid w:val="0062549D"/>
    <w:rsid w:val="00626C8C"/>
    <w:rsid w:val="006621A1"/>
    <w:rsid w:val="00681C8A"/>
    <w:rsid w:val="006B5088"/>
    <w:rsid w:val="006C238F"/>
    <w:rsid w:val="0070753C"/>
    <w:rsid w:val="0071214C"/>
    <w:rsid w:val="0072192B"/>
    <w:rsid w:val="00725289"/>
    <w:rsid w:val="00744507"/>
    <w:rsid w:val="007B18D5"/>
    <w:rsid w:val="007B67AD"/>
    <w:rsid w:val="007C00FA"/>
    <w:rsid w:val="0085031C"/>
    <w:rsid w:val="00854DCD"/>
    <w:rsid w:val="00863F78"/>
    <w:rsid w:val="00892319"/>
    <w:rsid w:val="0089778D"/>
    <w:rsid w:val="008A1F4C"/>
    <w:rsid w:val="008D29FA"/>
    <w:rsid w:val="00926262"/>
    <w:rsid w:val="0094427B"/>
    <w:rsid w:val="009454AA"/>
    <w:rsid w:val="009720FB"/>
    <w:rsid w:val="009818C5"/>
    <w:rsid w:val="00987C56"/>
    <w:rsid w:val="00994B29"/>
    <w:rsid w:val="009B36B6"/>
    <w:rsid w:val="009E2F56"/>
    <w:rsid w:val="00A05F5E"/>
    <w:rsid w:val="00A14838"/>
    <w:rsid w:val="00A16CA1"/>
    <w:rsid w:val="00A32203"/>
    <w:rsid w:val="00A4291B"/>
    <w:rsid w:val="00A956D0"/>
    <w:rsid w:val="00AD76E3"/>
    <w:rsid w:val="00AF5831"/>
    <w:rsid w:val="00B0519A"/>
    <w:rsid w:val="00B165EE"/>
    <w:rsid w:val="00B62559"/>
    <w:rsid w:val="00B67B59"/>
    <w:rsid w:val="00B728E5"/>
    <w:rsid w:val="00B75D08"/>
    <w:rsid w:val="00B777F4"/>
    <w:rsid w:val="00B877A0"/>
    <w:rsid w:val="00B9065C"/>
    <w:rsid w:val="00BA531B"/>
    <w:rsid w:val="00BC73DD"/>
    <w:rsid w:val="00BD3A61"/>
    <w:rsid w:val="00BD5B19"/>
    <w:rsid w:val="00C2580F"/>
    <w:rsid w:val="00C26EE2"/>
    <w:rsid w:val="00C3403D"/>
    <w:rsid w:val="00C41228"/>
    <w:rsid w:val="00C45583"/>
    <w:rsid w:val="00C6410E"/>
    <w:rsid w:val="00C92166"/>
    <w:rsid w:val="00C9559B"/>
    <w:rsid w:val="00CD27EB"/>
    <w:rsid w:val="00CE36F4"/>
    <w:rsid w:val="00D15F5A"/>
    <w:rsid w:val="00D25B49"/>
    <w:rsid w:val="00D27274"/>
    <w:rsid w:val="00D77F4B"/>
    <w:rsid w:val="00D87D1E"/>
    <w:rsid w:val="00DA0714"/>
    <w:rsid w:val="00DA7CAF"/>
    <w:rsid w:val="00E137E4"/>
    <w:rsid w:val="00E14786"/>
    <w:rsid w:val="00E31697"/>
    <w:rsid w:val="00E31F80"/>
    <w:rsid w:val="00E36874"/>
    <w:rsid w:val="00E4397C"/>
    <w:rsid w:val="00E55CFE"/>
    <w:rsid w:val="00E655E6"/>
    <w:rsid w:val="00E90009"/>
    <w:rsid w:val="00EB3014"/>
    <w:rsid w:val="00EB77CE"/>
    <w:rsid w:val="00EF741D"/>
    <w:rsid w:val="00F31F83"/>
    <w:rsid w:val="00F5031F"/>
    <w:rsid w:val="00F5345D"/>
    <w:rsid w:val="00F72B70"/>
    <w:rsid w:val="00F9613E"/>
    <w:rsid w:val="00FA393C"/>
    <w:rsid w:val="00FA667F"/>
    <w:rsid w:val="00FE1475"/>
    <w:rsid w:val="00FE4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2E89415"/>
  <w15:chartTrackingRefBased/>
  <w15:docId w15:val="{3A64D408-B098-4674-A1E8-947EABFED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heme="minorHAnsi" w:hAnsi="Trebuchet MS" w:cs="Times New Roman"/>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MS normal text body"/>
    <w:qFormat/>
    <w:rsid w:val="00F9613E"/>
    <w:pPr>
      <w:widowControl w:val="0"/>
      <w:autoSpaceDE w:val="0"/>
      <w:autoSpaceDN w:val="0"/>
      <w:adjustRightInd w:val="0"/>
      <w:spacing w:after="0" w:line="240" w:lineRule="auto"/>
    </w:pPr>
    <w:rPr>
      <w:rFonts w:ascii="Arial" w:eastAsia="Times New Roman" w:hAnsi="Arial"/>
      <w:sz w:val="18"/>
      <w:szCs w:val="24"/>
    </w:rPr>
  </w:style>
  <w:style w:type="paragraph" w:styleId="Heading1">
    <w:name w:val="heading 1"/>
    <w:basedOn w:val="Normal"/>
    <w:next w:val="Normal"/>
    <w:link w:val="Heading1Char"/>
    <w:uiPriority w:val="9"/>
    <w:qFormat/>
    <w:rsid w:val="00F9613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F9613E"/>
    <w:pPr>
      <w:keepNext/>
      <w:pBdr>
        <w:top w:val="single" w:sz="6" w:space="0" w:color="FFFFFF"/>
        <w:left w:val="single" w:sz="6" w:space="0" w:color="FFFFFF"/>
        <w:bottom w:val="single" w:sz="6" w:space="0" w:color="FFFFFF"/>
        <w:right w:val="single" w:sz="6" w:space="0" w:color="FFFFFF"/>
      </w:pBdr>
      <w:outlineLvl w:val="1"/>
    </w:pPr>
    <w:rPr>
      <w:b/>
      <w:bCs/>
      <w:sz w:val="36"/>
    </w:rPr>
  </w:style>
  <w:style w:type="paragraph" w:styleId="Heading4">
    <w:name w:val="heading 4"/>
    <w:basedOn w:val="Normal"/>
    <w:next w:val="Normal"/>
    <w:link w:val="Heading4Char"/>
    <w:uiPriority w:val="9"/>
    <w:semiHidden/>
    <w:unhideWhenUsed/>
    <w:qFormat/>
    <w:rsid w:val="00F9613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9613E"/>
    <w:rPr>
      <w:rFonts w:ascii="Arial" w:eastAsia="Times New Roman" w:hAnsi="Arial"/>
      <w:b/>
      <w:bCs/>
      <w:sz w:val="36"/>
      <w:szCs w:val="24"/>
    </w:rPr>
  </w:style>
  <w:style w:type="paragraph" w:styleId="Header">
    <w:name w:val="header"/>
    <w:basedOn w:val="Normal"/>
    <w:link w:val="HeaderChar"/>
    <w:uiPriority w:val="99"/>
    <w:unhideWhenUsed/>
    <w:rsid w:val="00F9613E"/>
    <w:pPr>
      <w:tabs>
        <w:tab w:val="center" w:pos="4680"/>
        <w:tab w:val="right" w:pos="9360"/>
      </w:tabs>
    </w:pPr>
  </w:style>
  <w:style w:type="character" w:customStyle="1" w:styleId="HeaderChar">
    <w:name w:val="Header Char"/>
    <w:basedOn w:val="DefaultParagraphFont"/>
    <w:link w:val="Header"/>
    <w:uiPriority w:val="99"/>
    <w:rsid w:val="00F9613E"/>
    <w:rPr>
      <w:rFonts w:ascii="Arial" w:eastAsia="Times New Roman" w:hAnsi="Arial"/>
      <w:sz w:val="18"/>
      <w:szCs w:val="24"/>
    </w:rPr>
  </w:style>
  <w:style w:type="paragraph" w:styleId="Footer">
    <w:name w:val="footer"/>
    <w:basedOn w:val="Normal"/>
    <w:link w:val="FooterChar"/>
    <w:uiPriority w:val="99"/>
    <w:unhideWhenUsed/>
    <w:rsid w:val="00F9613E"/>
    <w:pPr>
      <w:tabs>
        <w:tab w:val="center" w:pos="4680"/>
        <w:tab w:val="right" w:pos="9360"/>
      </w:tabs>
    </w:pPr>
  </w:style>
  <w:style w:type="character" w:customStyle="1" w:styleId="FooterChar">
    <w:name w:val="Footer Char"/>
    <w:basedOn w:val="DefaultParagraphFont"/>
    <w:link w:val="Footer"/>
    <w:uiPriority w:val="99"/>
    <w:rsid w:val="00F9613E"/>
    <w:rPr>
      <w:rFonts w:ascii="Arial" w:eastAsia="Times New Roman" w:hAnsi="Arial"/>
      <w:sz w:val="18"/>
      <w:szCs w:val="24"/>
    </w:rPr>
  </w:style>
  <w:style w:type="character" w:customStyle="1" w:styleId="Heading4Char">
    <w:name w:val="Heading 4 Char"/>
    <w:basedOn w:val="DefaultParagraphFont"/>
    <w:link w:val="Heading4"/>
    <w:uiPriority w:val="9"/>
    <w:semiHidden/>
    <w:rsid w:val="00F9613E"/>
    <w:rPr>
      <w:rFonts w:asciiTheme="majorHAnsi" w:eastAsiaTheme="majorEastAsia" w:hAnsiTheme="majorHAnsi" w:cstheme="majorBidi"/>
      <w:i/>
      <w:iCs/>
      <w:color w:val="2F5496" w:themeColor="accent1" w:themeShade="BF"/>
      <w:sz w:val="18"/>
      <w:szCs w:val="24"/>
    </w:rPr>
  </w:style>
  <w:style w:type="character" w:styleId="Hyperlink">
    <w:name w:val="Hyperlink"/>
    <w:rsid w:val="00F9613E"/>
    <w:rPr>
      <w:rFonts w:cs="Times New Roman"/>
      <w:color w:val="0000FF"/>
      <w:u w:val="single"/>
    </w:rPr>
  </w:style>
  <w:style w:type="paragraph" w:styleId="ListParagraph">
    <w:name w:val="List Paragraph"/>
    <w:basedOn w:val="Normal"/>
    <w:link w:val="ListParagraphChar"/>
    <w:uiPriority w:val="34"/>
    <w:qFormat/>
    <w:rsid w:val="00F9613E"/>
    <w:pPr>
      <w:ind w:left="720"/>
      <w:contextualSpacing/>
    </w:pPr>
  </w:style>
  <w:style w:type="table" w:styleId="TableGrid">
    <w:name w:val="Table Grid"/>
    <w:basedOn w:val="TableNormal"/>
    <w:uiPriority w:val="39"/>
    <w:rsid w:val="00F9613E"/>
    <w:pPr>
      <w:spacing w:after="0" w:line="240" w:lineRule="auto"/>
    </w:pPr>
    <w:rPr>
      <w:rFonts w:ascii="Calibri" w:eastAsia="Times New Roman" w:hAnsi="Calibri"/>
      <w:sz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9613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F5031F"/>
    <w:rPr>
      <w:sz w:val="16"/>
      <w:szCs w:val="16"/>
    </w:rPr>
  </w:style>
  <w:style w:type="paragraph" w:styleId="CommentText">
    <w:name w:val="annotation text"/>
    <w:basedOn w:val="Normal"/>
    <w:link w:val="CommentTextChar"/>
    <w:uiPriority w:val="99"/>
    <w:unhideWhenUsed/>
    <w:rsid w:val="00F5031F"/>
    <w:rPr>
      <w:sz w:val="20"/>
      <w:szCs w:val="20"/>
    </w:rPr>
  </w:style>
  <w:style w:type="character" w:customStyle="1" w:styleId="CommentTextChar">
    <w:name w:val="Comment Text Char"/>
    <w:basedOn w:val="DefaultParagraphFont"/>
    <w:link w:val="CommentText"/>
    <w:uiPriority w:val="99"/>
    <w:rsid w:val="00F5031F"/>
    <w:rPr>
      <w:rFonts w:ascii="Arial" w:eastAsia="Times New Roman" w:hAnsi="Arial"/>
      <w:sz w:val="20"/>
      <w:szCs w:val="20"/>
    </w:rPr>
  </w:style>
  <w:style w:type="paragraph" w:styleId="CommentSubject">
    <w:name w:val="annotation subject"/>
    <w:basedOn w:val="CommentText"/>
    <w:next w:val="CommentText"/>
    <w:link w:val="CommentSubjectChar"/>
    <w:uiPriority w:val="99"/>
    <w:semiHidden/>
    <w:unhideWhenUsed/>
    <w:rsid w:val="00F5031F"/>
    <w:rPr>
      <w:b/>
      <w:bCs/>
    </w:rPr>
  </w:style>
  <w:style w:type="character" w:customStyle="1" w:styleId="CommentSubjectChar">
    <w:name w:val="Comment Subject Char"/>
    <w:basedOn w:val="CommentTextChar"/>
    <w:link w:val="CommentSubject"/>
    <w:uiPriority w:val="99"/>
    <w:semiHidden/>
    <w:rsid w:val="00F5031F"/>
    <w:rPr>
      <w:rFonts w:ascii="Arial" w:eastAsia="Times New Roman" w:hAnsi="Arial"/>
      <w:b/>
      <w:bCs/>
      <w:sz w:val="20"/>
      <w:szCs w:val="20"/>
    </w:rPr>
  </w:style>
  <w:style w:type="paragraph" w:styleId="BalloonText">
    <w:name w:val="Balloon Text"/>
    <w:basedOn w:val="Normal"/>
    <w:link w:val="BalloonTextChar"/>
    <w:uiPriority w:val="99"/>
    <w:semiHidden/>
    <w:unhideWhenUsed/>
    <w:rsid w:val="00F5031F"/>
    <w:rPr>
      <w:rFonts w:ascii="Segoe UI" w:hAnsi="Segoe UI" w:cs="Segoe UI"/>
      <w:szCs w:val="18"/>
    </w:rPr>
  </w:style>
  <w:style w:type="character" w:customStyle="1" w:styleId="BalloonTextChar">
    <w:name w:val="Balloon Text Char"/>
    <w:basedOn w:val="DefaultParagraphFont"/>
    <w:link w:val="BalloonText"/>
    <w:uiPriority w:val="99"/>
    <w:semiHidden/>
    <w:rsid w:val="00F5031F"/>
    <w:rPr>
      <w:rFonts w:ascii="Segoe UI" w:eastAsia="Times New Roman" w:hAnsi="Segoe UI" w:cs="Segoe UI"/>
      <w:sz w:val="18"/>
      <w:szCs w:val="18"/>
    </w:rPr>
  </w:style>
  <w:style w:type="table" w:styleId="GridTable1Light">
    <w:name w:val="Grid Table 1 Light"/>
    <w:basedOn w:val="TableNormal"/>
    <w:uiPriority w:val="46"/>
    <w:rsid w:val="007B67A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tion1">
    <w:name w:val="Mention1"/>
    <w:basedOn w:val="DefaultParagraphFont"/>
    <w:uiPriority w:val="99"/>
    <w:semiHidden/>
    <w:unhideWhenUsed/>
    <w:rsid w:val="000E7FA2"/>
    <w:rPr>
      <w:color w:val="2B579A"/>
      <w:shd w:val="clear" w:color="auto" w:fill="E6E6E6"/>
    </w:rPr>
  </w:style>
  <w:style w:type="character" w:customStyle="1" w:styleId="UnresolvedMention1">
    <w:name w:val="Unresolved Mention1"/>
    <w:basedOn w:val="DefaultParagraphFont"/>
    <w:uiPriority w:val="99"/>
    <w:semiHidden/>
    <w:unhideWhenUsed/>
    <w:rsid w:val="001A10EB"/>
    <w:rPr>
      <w:color w:val="808080"/>
      <w:shd w:val="clear" w:color="auto" w:fill="E6E6E6"/>
    </w:rPr>
  </w:style>
  <w:style w:type="paragraph" w:customStyle="1" w:styleId="HeaderFooter">
    <w:name w:val="Header &amp; Footer"/>
    <w:rsid w:val="00C92166"/>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n-GB" w:eastAsia="en-GB"/>
      <w14:textOutline w14:w="0" w14:cap="flat" w14:cmpd="sng" w14:algn="ctr">
        <w14:noFill/>
        <w14:prstDash w14:val="solid"/>
        <w14:bevel/>
      </w14:textOutline>
    </w:rPr>
  </w:style>
  <w:style w:type="paragraph" w:customStyle="1" w:styleId="Body">
    <w:name w:val="Body"/>
    <w:rsid w:val="00C92166"/>
    <w:pPr>
      <w:pBdr>
        <w:top w:val="nil"/>
        <w:left w:val="nil"/>
        <w:bottom w:val="nil"/>
        <w:right w:val="nil"/>
        <w:between w:val="nil"/>
        <w:bar w:val="nil"/>
      </w:pBdr>
      <w:spacing w:line="360" w:lineRule="auto"/>
    </w:pPr>
    <w:rPr>
      <w:rFonts w:ascii="Times New Roman" w:eastAsia="Arial Unicode MS" w:hAnsi="Times New Roman" w:cs="Arial Unicode MS"/>
      <w:color w:val="000000"/>
      <w:sz w:val="24"/>
      <w:szCs w:val="24"/>
      <w:u w:color="000000"/>
      <w:bdr w:val="nil"/>
      <w:lang w:val="en-GB" w:eastAsia="en-GB"/>
      <w14:textOutline w14:w="0" w14:cap="flat" w14:cmpd="sng" w14:algn="ctr">
        <w14:noFill/>
        <w14:prstDash w14:val="solid"/>
        <w14:bevel/>
      </w14:textOutline>
    </w:rPr>
  </w:style>
  <w:style w:type="numbering" w:customStyle="1" w:styleId="ImportedStyle1">
    <w:name w:val="Imported Style 1"/>
    <w:rsid w:val="00C92166"/>
    <w:pPr>
      <w:numPr>
        <w:numId w:val="1"/>
      </w:numPr>
    </w:pPr>
  </w:style>
  <w:style w:type="numbering" w:customStyle="1" w:styleId="ImportedStyle2">
    <w:name w:val="Imported Style 2"/>
    <w:rsid w:val="00C92166"/>
    <w:pPr>
      <w:numPr>
        <w:numId w:val="2"/>
      </w:numPr>
    </w:pPr>
  </w:style>
  <w:style w:type="paragraph" w:styleId="FootnoteText">
    <w:name w:val="footnote text"/>
    <w:link w:val="FootnoteTextChar"/>
    <w:rsid w:val="00C92166"/>
    <w:pPr>
      <w:pBdr>
        <w:top w:val="nil"/>
        <w:left w:val="nil"/>
        <w:bottom w:val="nil"/>
        <w:right w:val="nil"/>
        <w:between w:val="nil"/>
        <w:bar w:val="nil"/>
      </w:pBdr>
      <w:spacing w:after="0" w:line="240" w:lineRule="auto"/>
    </w:pPr>
    <w:rPr>
      <w:rFonts w:ascii="Times New Roman" w:eastAsia="Times New Roman" w:hAnsi="Times New Roman"/>
      <w:color w:val="000000"/>
      <w:sz w:val="20"/>
      <w:szCs w:val="20"/>
      <w:u w:color="000000"/>
      <w:bdr w:val="nil"/>
      <w:lang w:eastAsia="en-GB"/>
    </w:rPr>
  </w:style>
  <w:style w:type="character" w:customStyle="1" w:styleId="FootnoteTextChar">
    <w:name w:val="Footnote Text Char"/>
    <w:basedOn w:val="DefaultParagraphFont"/>
    <w:link w:val="FootnoteText"/>
    <w:rsid w:val="00C92166"/>
    <w:rPr>
      <w:rFonts w:ascii="Times New Roman" w:eastAsia="Times New Roman" w:hAnsi="Times New Roman"/>
      <w:color w:val="000000"/>
      <w:sz w:val="20"/>
      <w:szCs w:val="20"/>
      <w:u w:color="000000"/>
      <w:bdr w:val="nil"/>
      <w:lang w:eastAsia="en-GB"/>
    </w:rPr>
  </w:style>
  <w:style w:type="paragraph" w:customStyle="1" w:styleId="Default">
    <w:name w:val="Default"/>
    <w:rsid w:val="00C92166"/>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numbering" w:customStyle="1" w:styleId="ImportedStyle3">
    <w:name w:val="Imported Style 3"/>
    <w:rsid w:val="00C92166"/>
    <w:pPr>
      <w:numPr>
        <w:numId w:val="3"/>
      </w:numPr>
    </w:pPr>
  </w:style>
  <w:style w:type="numbering" w:customStyle="1" w:styleId="ImportedStyle4">
    <w:name w:val="Imported Style 4"/>
    <w:rsid w:val="00C92166"/>
    <w:pPr>
      <w:numPr>
        <w:numId w:val="4"/>
      </w:numPr>
    </w:pPr>
  </w:style>
  <w:style w:type="numbering" w:customStyle="1" w:styleId="ImportedStyle6">
    <w:name w:val="Imported Style 6"/>
    <w:rsid w:val="00C92166"/>
    <w:pPr>
      <w:numPr>
        <w:numId w:val="5"/>
      </w:numPr>
    </w:pPr>
  </w:style>
  <w:style w:type="numbering" w:customStyle="1" w:styleId="ImportedStyle7">
    <w:name w:val="Imported Style 7"/>
    <w:rsid w:val="00C92166"/>
    <w:pPr>
      <w:numPr>
        <w:numId w:val="6"/>
      </w:numPr>
    </w:pPr>
  </w:style>
  <w:style w:type="paragraph" w:styleId="Caption">
    <w:name w:val="caption"/>
    <w:next w:val="Body"/>
    <w:rsid w:val="00C92166"/>
    <w:pPr>
      <w:pBdr>
        <w:top w:val="nil"/>
        <w:left w:val="nil"/>
        <w:bottom w:val="nil"/>
        <w:right w:val="nil"/>
        <w:between w:val="nil"/>
        <w:bar w:val="nil"/>
      </w:pBdr>
      <w:spacing w:after="0" w:line="240" w:lineRule="auto"/>
    </w:pPr>
    <w:rPr>
      <w:rFonts w:ascii="Times New Roman" w:eastAsia="Arial Unicode MS" w:hAnsi="Times New Roman" w:cs="Arial Unicode MS"/>
      <w:i/>
      <w:iCs/>
      <w:color w:val="44546A"/>
      <w:sz w:val="18"/>
      <w:szCs w:val="18"/>
      <w:u w:color="44546A"/>
      <w:bdr w:val="nil"/>
      <w:lang w:eastAsia="en-GB"/>
      <w14:textOutline w14:w="0" w14:cap="flat" w14:cmpd="sng" w14:algn="ctr">
        <w14:noFill/>
        <w14:prstDash w14:val="solid"/>
        <w14:bevel/>
      </w14:textOutline>
    </w:rPr>
  </w:style>
  <w:style w:type="numbering" w:customStyle="1" w:styleId="ImportedStyle8">
    <w:name w:val="Imported Style 8"/>
    <w:rsid w:val="00C92166"/>
    <w:pPr>
      <w:numPr>
        <w:numId w:val="7"/>
      </w:numPr>
    </w:pPr>
  </w:style>
  <w:style w:type="numbering" w:customStyle="1" w:styleId="ImportedStyle9">
    <w:name w:val="Imported Style 9"/>
    <w:rsid w:val="00C92166"/>
    <w:pPr>
      <w:numPr>
        <w:numId w:val="8"/>
      </w:numPr>
    </w:pPr>
  </w:style>
  <w:style w:type="numbering" w:customStyle="1" w:styleId="ImportedStyle10">
    <w:name w:val="Imported Style 10"/>
    <w:rsid w:val="00C92166"/>
    <w:pPr>
      <w:numPr>
        <w:numId w:val="9"/>
      </w:numPr>
    </w:pPr>
  </w:style>
  <w:style w:type="numbering" w:customStyle="1" w:styleId="ImportedStyle11">
    <w:name w:val="Imported Style 11"/>
    <w:rsid w:val="00C92166"/>
    <w:pPr>
      <w:numPr>
        <w:numId w:val="10"/>
      </w:numPr>
    </w:pPr>
  </w:style>
  <w:style w:type="numbering" w:customStyle="1" w:styleId="ImportedStyle12">
    <w:name w:val="Imported Style 12"/>
    <w:rsid w:val="00C92166"/>
    <w:pPr>
      <w:numPr>
        <w:numId w:val="11"/>
      </w:numPr>
    </w:pPr>
  </w:style>
  <w:style w:type="paragraph" w:styleId="Revision">
    <w:name w:val="Revision"/>
    <w:hidden/>
    <w:uiPriority w:val="99"/>
    <w:semiHidden/>
    <w:rsid w:val="00C92166"/>
    <w:pPr>
      <w:spacing w:after="0" w:line="240" w:lineRule="auto"/>
    </w:pPr>
    <w:rPr>
      <w:rFonts w:ascii="Times New Roman" w:eastAsia="Arial Unicode MS" w:hAnsi="Times New Roman"/>
      <w:sz w:val="24"/>
      <w:szCs w:val="24"/>
      <w:bdr w:val="nil"/>
    </w:rPr>
  </w:style>
  <w:style w:type="character" w:styleId="FootnoteReference">
    <w:name w:val="footnote reference"/>
    <w:basedOn w:val="DefaultParagraphFont"/>
    <w:uiPriority w:val="99"/>
    <w:semiHidden/>
    <w:unhideWhenUsed/>
    <w:rsid w:val="0072192B"/>
    <w:rPr>
      <w:vertAlign w:val="superscript"/>
    </w:rPr>
  </w:style>
  <w:style w:type="character" w:customStyle="1" w:styleId="cf01">
    <w:name w:val="cf01"/>
    <w:basedOn w:val="DefaultParagraphFont"/>
    <w:rsid w:val="00B67B59"/>
    <w:rPr>
      <w:rFonts w:ascii="Segoe UI" w:hAnsi="Segoe UI" w:cs="Segoe UI" w:hint="default"/>
      <w:sz w:val="18"/>
      <w:szCs w:val="18"/>
    </w:rPr>
  </w:style>
  <w:style w:type="character" w:customStyle="1" w:styleId="ListParagraphChar">
    <w:name w:val="List Paragraph Char"/>
    <w:basedOn w:val="DefaultParagraphFont"/>
    <w:link w:val="ListParagraph"/>
    <w:uiPriority w:val="34"/>
    <w:rsid w:val="00B67B59"/>
    <w:rPr>
      <w:rFonts w:ascii="Arial" w:eastAsia="Times New Roman" w:hAnsi="Arial"/>
      <w:sz w:val="18"/>
      <w:szCs w:val="24"/>
    </w:rPr>
  </w:style>
  <w:style w:type="paragraph" w:customStyle="1" w:styleId="Style1">
    <w:name w:val="Style1"/>
    <w:basedOn w:val="ListParagraph"/>
    <w:link w:val="Style1Char"/>
    <w:qFormat/>
    <w:rsid w:val="00B67B59"/>
    <w:pPr>
      <w:widowControl/>
      <w:pBdr>
        <w:top w:val="nil"/>
        <w:left w:val="nil"/>
        <w:bottom w:val="nil"/>
        <w:right w:val="nil"/>
        <w:between w:val="nil"/>
        <w:bar w:val="nil"/>
      </w:pBdr>
      <w:autoSpaceDE/>
      <w:autoSpaceDN/>
      <w:adjustRightInd/>
      <w:spacing w:after="160" w:line="276" w:lineRule="auto"/>
      <w:ind w:left="360" w:hanging="360"/>
      <w:contextualSpacing w:val="0"/>
      <w:jc w:val="both"/>
      <w:outlineLvl w:val="1"/>
    </w:pPr>
    <w:rPr>
      <w:rFonts w:cs="Arial"/>
      <w:b/>
      <w:bCs/>
      <w:sz w:val="22"/>
      <w:u w:val="single"/>
    </w:rPr>
  </w:style>
  <w:style w:type="character" w:customStyle="1" w:styleId="Style1Char">
    <w:name w:val="Style1 Char"/>
    <w:basedOn w:val="ListParagraphChar"/>
    <w:link w:val="Style1"/>
    <w:rsid w:val="00B67B59"/>
    <w:rPr>
      <w:rFonts w:ascii="Arial" w:eastAsia="Times New Roman" w:hAnsi="Arial" w:cs="Arial"/>
      <w:b/>
      <w:bCs/>
      <w:sz w:val="22"/>
      <w:szCs w:val="24"/>
      <w:u w:val="single"/>
    </w:rPr>
  </w:style>
  <w:style w:type="table" w:customStyle="1" w:styleId="PlainTable21">
    <w:name w:val="Plain Table 21"/>
    <w:basedOn w:val="TableNormal"/>
    <w:next w:val="PlainTable2"/>
    <w:uiPriority w:val="42"/>
    <w:rsid w:val="00A32203"/>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A3220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9B36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ms.int/sharks/en/document/capacity-building-programme" TargetMode="External"/><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footer" Target="footer5.xml"/><Relationship Id="rId21" Type="http://schemas.openxmlformats.org/officeDocument/2006/relationships/hyperlink" Target="https://github" TargetMode="External"/><Relationship Id="rId34" Type="http://schemas.openxmlformats.org/officeDocument/2006/relationships/hyperlink" Target="https://github.com/mpozo-montoro/MOS4-Doc.10.5.1" TargetMode="External"/><Relationship Id="rId42" Type="http://schemas.openxmlformats.org/officeDocument/2006/relationships/image" Target="media/image6.jpeg"/><Relationship Id="rId47" Type="http://schemas.openxmlformats.org/officeDocument/2006/relationships/image" Target="media/image8.jpeg"/><Relationship Id="rId50" Type="http://schemas.openxmlformats.org/officeDocument/2006/relationships/header" Target="header14.xml"/><Relationship Id="rId55" Type="http://schemas.openxmlformats.org/officeDocument/2006/relationships/header" Target="head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github.com/mpozo-montoro/MOS4-Doc.10.5.1" TargetMode="External"/><Relationship Id="rId11" Type="http://schemas.openxmlformats.org/officeDocument/2006/relationships/hyperlink" Target="https://www.cms.int/sharks/en/document/programme-work-2019-2021" TargetMode="External"/><Relationship Id="rId24" Type="http://schemas.openxmlformats.org/officeDocument/2006/relationships/header" Target="header5.xml"/><Relationship Id="rId32" Type="http://schemas.openxmlformats.org/officeDocument/2006/relationships/image" Target="media/image5.svg"/><Relationship Id="rId37" Type="http://schemas.openxmlformats.org/officeDocument/2006/relationships/header" Target="header9.xml"/><Relationship Id="rId40" Type="http://schemas.openxmlformats.org/officeDocument/2006/relationships/hyperlink" Target="https://github.com/mpozo-montoro/MOS4-Doc.10.5.1" TargetMode="External"/><Relationship Id="rId45" Type="http://schemas.openxmlformats.org/officeDocument/2006/relationships/image" Target="media/image7.jpeg"/><Relationship Id="rId53" Type="http://schemas.openxmlformats.org/officeDocument/2006/relationships/header" Target="header16.xml"/><Relationship Id="rId5"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rive.google.com/drive/folders/1Hae1uOx-3kSru6_vrHqsT6bJxf8Un4uj?usp=sharing" TargetMode="External"/><Relationship Id="rId22" Type="http://schemas.openxmlformats.org/officeDocument/2006/relationships/hyperlink" Target="https://www.cms.int/sharks/en/document/fisheries-induced-mortality-sharks-and-rays" TargetMode="External"/><Relationship Id="rId27" Type="http://schemas.openxmlformats.org/officeDocument/2006/relationships/header" Target="header7.xml"/><Relationship Id="rId30" Type="http://schemas.openxmlformats.org/officeDocument/2006/relationships/hyperlink" Target="https://github.com/mpozo-montoro/MOS4-Doc.10.5.1" TargetMode="External"/><Relationship Id="rId35" Type="http://schemas.openxmlformats.org/officeDocument/2006/relationships/hyperlink" Target="https://github.com/mpozo-montoro/MOS4-Doc.10.5.1" TargetMode="External"/><Relationship Id="rId43" Type="http://schemas.openxmlformats.org/officeDocument/2006/relationships/hyperlink" Target="https://www.fao.org/fishery/en/collection/asfis/en" TargetMode="External"/><Relationship Id="rId48" Type="http://schemas.openxmlformats.org/officeDocument/2006/relationships/header" Target="header12.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15.xml"/><Relationship Id="rId3" Type="http://schemas.openxmlformats.org/officeDocument/2006/relationships/styles" Target="styles.xml"/><Relationship Id="rId12" Type="http://schemas.openxmlformats.org/officeDocument/2006/relationships/hyperlink" Target="https://www.cms.int/sharks/en/document/terms-reference-intersessional-working-group-conservation-measures" TargetMode="Externa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yperlink" Target="https://www.cms.int/sharks/en/document/options-regional-prioritisation-annex-1-listed-sharks-and-rays" TargetMode="External"/><Relationship Id="rId38" Type="http://schemas.openxmlformats.org/officeDocument/2006/relationships/header" Target="header10.xml"/><Relationship Id="rId46" Type="http://schemas.openxmlformats.org/officeDocument/2006/relationships/header" Target="header11.xml"/><Relationship Id="rId20" Type="http://schemas.openxmlformats.org/officeDocument/2006/relationships/footer" Target="footer3.xml"/><Relationship Id="rId41" Type="http://schemas.openxmlformats.org/officeDocument/2006/relationships/hyperlink" Target="https://github.com/mpozo-montoro/MOS4-Doc.10.5.1" TargetMode="External"/><Relationship Id="rId54" Type="http://schemas.openxmlformats.org/officeDocument/2006/relationships/hyperlink" Target="https://www.cms.int/sharks/en/document/recommendations-signatories-improve-reporting-landings-data-species-listed-annex-1-shark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eader" Target="header8.xml"/><Relationship Id="rId36" Type="http://schemas.openxmlformats.org/officeDocument/2006/relationships/hyperlink" Target="https://github.com/mpozo-montoro/MOS4-Doc.10.5.1" TargetMode="External"/><Relationship Id="rId49" Type="http://schemas.openxmlformats.org/officeDocument/2006/relationships/header" Target="header13.xml"/><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4.png"/><Relationship Id="rId44" Type="http://schemas.openxmlformats.org/officeDocument/2006/relationships/hyperlink" Target="https://github.com/mpozo-montoro/MOS4-Doc.10.5.1" TargetMode="External"/><Relationship Id="rId52" Type="http://schemas.openxmlformats.org/officeDocument/2006/relationships/hyperlink" Target="https://www.cms.int/sharks/en/document/recommendations-signatories-improve-reporting-landings-data-species-listed-annex-1-shark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fao.org/cwp-on-fishery-statistics/handbook/capture-fisheries-statistics/catch-and-landing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E89EE-DFDC-41BF-93D3-3C2F4CF1C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26</Pages>
  <Words>20080</Words>
  <Characters>114462</Characters>
  <Application>Microsoft Office Word</Application>
  <DocSecurity>0</DocSecurity>
  <Lines>953</Lines>
  <Paragraphs>268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Pauly</dc:creator>
  <cp:keywords/>
  <dc:description/>
  <cp:lastModifiedBy>Ximena Victoria Cancino Ordenes</cp:lastModifiedBy>
  <cp:revision>4</cp:revision>
  <cp:lastPrinted>2017-10-04T16:50:00Z</cp:lastPrinted>
  <dcterms:created xsi:type="dcterms:W3CDTF">2023-01-10T12:59:00Z</dcterms:created>
  <dcterms:modified xsi:type="dcterms:W3CDTF">2023-01-10T13:50:00Z</dcterms:modified>
</cp:coreProperties>
</file>