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F87AF3" w14:paraId="0268078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5886BB8" w14:textId="77777777" w:rsidR="00002A97" w:rsidRPr="00F87AF3"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F87AF3">
              <w:rPr>
                <w:rFonts w:eastAsia="Times New Roman" w:cs="Arial"/>
                <w:noProof/>
                <w:szCs w:val="24"/>
                <w:lang w:val="es-ES"/>
              </w:rPr>
              <w:drawing>
                <wp:inline distT="0" distB="0" distL="0" distR="0" wp14:anchorId="46188F58" wp14:editId="374005CD">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D994A69" w14:textId="77777777" w:rsidR="00002A97" w:rsidRPr="00F87AF3"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0CC86C73" w14:textId="77777777" w:rsidR="00002A97" w:rsidRPr="00F87AF3"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F87AF3">
              <w:rPr>
                <w:rFonts w:eastAsia="Times New Roman" w:cs="Arial"/>
                <w:b/>
                <w:bCs/>
                <w:sz w:val="32"/>
                <w:szCs w:val="24"/>
                <w:lang w:val="es-ES" w:eastAsia="es-ES"/>
              </w:rPr>
              <w:t>CONVENCIÓN SOBRE</w:t>
            </w:r>
          </w:p>
          <w:p w14:paraId="7FF52422" w14:textId="77777777" w:rsidR="00002A97" w:rsidRPr="00F87AF3"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F87AF3">
              <w:rPr>
                <w:rFonts w:eastAsia="Times New Roman" w:cs="Arial"/>
                <w:b/>
                <w:bCs/>
                <w:sz w:val="32"/>
                <w:szCs w:val="24"/>
                <w:lang w:val="es-ES" w:eastAsia="es-ES"/>
              </w:rPr>
              <w:t>LAS ESPECIES</w:t>
            </w:r>
          </w:p>
          <w:p w14:paraId="7A781A91" w14:textId="77777777" w:rsidR="00002A97" w:rsidRPr="00F87AF3"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F87AF3">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6CA0345E" w14:textId="19ED5DD5" w:rsidR="00002A97" w:rsidRPr="003E161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3E1611">
              <w:rPr>
                <w:rFonts w:eastAsia="Times New Roman" w:cs="Arial"/>
                <w:szCs w:val="24"/>
                <w:lang w:val="es-ES" w:eastAsia="es-ES"/>
              </w:rPr>
              <w:t>UNEP/CMS/COP13/Doc.</w:t>
            </w:r>
            <w:r w:rsidR="00F04234" w:rsidRPr="003E1611">
              <w:rPr>
                <w:rFonts w:eastAsia="Times New Roman" w:cs="Arial"/>
                <w:szCs w:val="24"/>
                <w:lang w:val="es-ES" w:eastAsia="es-ES"/>
              </w:rPr>
              <w:t>2</w:t>
            </w:r>
            <w:r w:rsidR="003F60E3" w:rsidRPr="003E1611">
              <w:rPr>
                <w:rFonts w:eastAsia="Times New Roman" w:cs="Arial"/>
                <w:szCs w:val="24"/>
                <w:lang w:val="es-ES" w:eastAsia="es-ES"/>
              </w:rPr>
              <w:t>6.4.11</w:t>
            </w:r>
          </w:p>
          <w:p w14:paraId="5905F88D" w14:textId="5397CC5F" w:rsidR="00002A97" w:rsidRPr="003E1611" w:rsidRDefault="001202CE"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3E1611">
              <w:rPr>
                <w:rFonts w:eastAsia="Times New Roman" w:cs="Arial"/>
                <w:szCs w:val="24"/>
                <w:lang w:val="es-ES" w:eastAsia="es-ES"/>
              </w:rPr>
              <w:t>20</w:t>
            </w:r>
            <w:r w:rsidR="00F04234" w:rsidRPr="003E1611">
              <w:rPr>
                <w:rFonts w:eastAsia="Times New Roman" w:cs="Arial"/>
                <w:szCs w:val="24"/>
                <w:lang w:val="es-ES" w:eastAsia="es-ES"/>
              </w:rPr>
              <w:t xml:space="preserve"> de </w:t>
            </w:r>
            <w:r w:rsidR="00F87AF3" w:rsidRPr="003E1611">
              <w:rPr>
                <w:rFonts w:eastAsia="Times New Roman" w:cs="Arial"/>
                <w:szCs w:val="24"/>
                <w:lang w:val="es-ES" w:eastAsia="es-ES"/>
              </w:rPr>
              <w:t>diciembre</w:t>
            </w:r>
            <w:r w:rsidR="00EF1D13" w:rsidRPr="003E1611">
              <w:rPr>
                <w:rFonts w:eastAsia="Times New Roman" w:cs="Arial"/>
                <w:szCs w:val="24"/>
                <w:lang w:val="es-ES" w:eastAsia="es-ES"/>
              </w:rPr>
              <w:t xml:space="preserve"> </w:t>
            </w:r>
            <w:r w:rsidR="00002A97" w:rsidRPr="003E1611">
              <w:rPr>
                <w:rFonts w:eastAsia="Times New Roman" w:cs="Arial"/>
                <w:szCs w:val="24"/>
                <w:lang w:val="es-ES" w:eastAsia="es-ES"/>
              </w:rPr>
              <w:t>2019</w:t>
            </w:r>
          </w:p>
          <w:p w14:paraId="551D238C" w14:textId="77777777" w:rsidR="00002A97" w:rsidRPr="00F87AF3" w:rsidRDefault="00002A97" w:rsidP="00166A9C">
            <w:pPr>
              <w:widowControl w:val="0"/>
              <w:suppressAutoHyphens/>
              <w:autoSpaceDE w:val="0"/>
              <w:autoSpaceDN w:val="0"/>
              <w:spacing w:after="120" w:line="240" w:lineRule="auto"/>
              <w:textAlignment w:val="baseline"/>
              <w:rPr>
                <w:rFonts w:eastAsia="Times New Roman" w:cs="Arial"/>
                <w:szCs w:val="24"/>
                <w:lang w:val="es-ES" w:eastAsia="es-ES"/>
              </w:rPr>
            </w:pPr>
            <w:r w:rsidRPr="00F87AF3">
              <w:rPr>
                <w:rFonts w:eastAsia="Times New Roman" w:cs="Arial"/>
                <w:szCs w:val="24"/>
                <w:lang w:val="es-ES" w:eastAsia="es-ES"/>
              </w:rPr>
              <w:t>Español</w:t>
            </w:r>
          </w:p>
          <w:p w14:paraId="59E98208" w14:textId="77777777" w:rsidR="00002A97" w:rsidRPr="00F87AF3"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F87AF3">
              <w:rPr>
                <w:rFonts w:eastAsia="Times New Roman" w:cs="Arial"/>
                <w:szCs w:val="24"/>
                <w:lang w:val="es-ES" w:eastAsia="es-ES"/>
              </w:rPr>
              <w:t xml:space="preserve">Original: </w:t>
            </w:r>
            <w:proofErr w:type="gramStart"/>
            <w:r w:rsidRPr="00F87AF3">
              <w:rPr>
                <w:rFonts w:eastAsia="Times New Roman" w:cs="Arial"/>
                <w:szCs w:val="24"/>
                <w:lang w:val="es-ES" w:eastAsia="es-ES"/>
              </w:rPr>
              <w:t>Inglés</w:t>
            </w:r>
            <w:proofErr w:type="gramEnd"/>
          </w:p>
          <w:p w14:paraId="6E2E5461"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6BF563F0" w14:textId="77777777" w:rsidR="00002A97" w:rsidRPr="00F87AF3"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4007DA3D" w14:textId="77777777" w:rsidR="00002A97" w:rsidRPr="00F87AF3"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F87AF3">
        <w:rPr>
          <w:rFonts w:eastAsia="Times New Roman" w:cs="Arial"/>
          <w:szCs w:val="24"/>
          <w:lang w:val="es-ES" w:eastAsia="es-ES"/>
        </w:rPr>
        <w:t>13ª REUNIÓN DE LA CONFERENCIA DE LAS PARTES</w:t>
      </w:r>
    </w:p>
    <w:p w14:paraId="084C1DDF" w14:textId="77777777" w:rsidR="00002A97" w:rsidRPr="00F87AF3"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F87AF3">
        <w:rPr>
          <w:rFonts w:eastAsia="Times New Roman" w:cs="Arial"/>
          <w:bCs/>
          <w:szCs w:val="24"/>
          <w:lang w:val="es-ES" w:eastAsia="es-ES"/>
        </w:rPr>
        <w:t>Gand</w:t>
      </w:r>
      <w:r w:rsidR="00BF7838" w:rsidRPr="00F87AF3">
        <w:rPr>
          <w:rFonts w:eastAsia="Times New Roman" w:cs="Arial"/>
          <w:bCs/>
          <w:szCs w:val="24"/>
          <w:lang w:val="es-ES" w:eastAsia="es-ES"/>
        </w:rPr>
        <w:t>h</w:t>
      </w:r>
      <w:r w:rsidRPr="00F87AF3">
        <w:rPr>
          <w:rFonts w:eastAsia="Times New Roman" w:cs="Arial"/>
          <w:bCs/>
          <w:szCs w:val="24"/>
          <w:lang w:val="es-ES" w:eastAsia="es-ES"/>
        </w:rPr>
        <w:t>inagar. India, 17 – 22 de febrero 2020</w:t>
      </w:r>
    </w:p>
    <w:p w14:paraId="6B22A0F7" w14:textId="6CE7F7E1" w:rsidR="00002A97" w:rsidRPr="00F87AF3"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F87AF3">
        <w:rPr>
          <w:rFonts w:eastAsia="Times New Roman" w:cs="Arial"/>
          <w:szCs w:val="24"/>
          <w:lang w:val="es-ES" w:eastAsia="es-ES"/>
        </w:rPr>
        <w:t xml:space="preserve">Punto </w:t>
      </w:r>
      <w:r w:rsidR="00F04234" w:rsidRPr="00F87AF3">
        <w:rPr>
          <w:rFonts w:eastAsia="Times New Roman" w:cs="Arial"/>
          <w:szCs w:val="24"/>
          <w:lang w:val="es-ES" w:eastAsia="es-ES"/>
        </w:rPr>
        <w:t>2</w:t>
      </w:r>
      <w:r w:rsidR="003F60E3" w:rsidRPr="00F87AF3">
        <w:rPr>
          <w:rFonts w:eastAsia="Times New Roman" w:cs="Arial"/>
          <w:szCs w:val="24"/>
          <w:lang w:val="es-ES" w:eastAsia="es-ES"/>
        </w:rPr>
        <w:t>6</w:t>
      </w:r>
      <w:r w:rsidR="00F04234" w:rsidRPr="00F87AF3">
        <w:rPr>
          <w:rFonts w:eastAsia="Times New Roman" w:cs="Arial"/>
          <w:szCs w:val="24"/>
          <w:lang w:val="es-ES" w:eastAsia="es-ES"/>
        </w:rPr>
        <w:t>.</w:t>
      </w:r>
      <w:r w:rsidR="003F60E3" w:rsidRPr="00F87AF3">
        <w:rPr>
          <w:rFonts w:eastAsia="Times New Roman" w:cs="Arial"/>
          <w:szCs w:val="24"/>
          <w:lang w:val="es-ES" w:eastAsia="es-ES"/>
        </w:rPr>
        <w:t>4</w:t>
      </w:r>
      <w:r w:rsidRPr="00F87AF3">
        <w:rPr>
          <w:rFonts w:eastAsia="Times New Roman" w:cs="Arial"/>
          <w:szCs w:val="24"/>
          <w:lang w:val="es-ES" w:eastAsia="es-ES"/>
        </w:rPr>
        <w:t xml:space="preserve"> del orden del día</w:t>
      </w:r>
    </w:p>
    <w:p w14:paraId="2A862356" w14:textId="77777777" w:rsidR="00002A97" w:rsidRPr="00F87AF3"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77065A9A" w14:textId="77777777" w:rsidR="00AC09AE" w:rsidRPr="00F87AF3"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11657CAC" w14:textId="77777777" w:rsidR="001202CE" w:rsidRPr="00F87AF3" w:rsidRDefault="001202CE" w:rsidP="003E1611">
      <w:pPr>
        <w:widowControl w:val="0"/>
        <w:suppressAutoHyphens/>
        <w:autoSpaceDE w:val="0"/>
        <w:autoSpaceDN w:val="0"/>
        <w:spacing w:after="120" w:line="240" w:lineRule="auto"/>
        <w:jc w:val="center"/>
        <w:textAlignment w:val="baseline"/>
        <w:rPr>
          <w:rFonts w:eastAsia="Times New Roman" w:cs="Arial"/>
          <w:b/>
          <w:bCs/>
          <w:lang w:val="es-ES"/>
        </w:rPr>
      </w:pPr>
      <w:r w:rsidRPr="00F87AF3">
        <w:rPr>
          <w:rFonts w:eastAsia="Times New Roman" w:cs="Arial"/>
          <w:b/>
          <w:bCs/>
          <w:lang w:val="es-ES"/>
        </w:rPr>
        <w:t>DESARROLLO DE INFRAESTRUCTURAS Y ESPECIES MIGRATORIAS</w:t>
      </w:r>
    </w:p>
    <w:p w14:paraId="1CBF8FB0" w14:textId="2113D880" w:rsidR="00002A97" w:rsidRPr="00F87AF3" w:rsidRDefault="003F60E3" w:rsidP="003F60E3">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F87AF3">
        <w:rPr>
          <w:rFonts w:eastAsia="Times New Roman" w:cs="Arial"/>
          <w:i/>
          <w:szCs w:val="24"/>
          <w:lang w:val="es-ES" w:eastAsia="es-ES"/>
        </w:rPr>
        <w:t xml:space="preserve"> </w:t>
      </w:r>
      <w:r w:rsidR="00E77A9F" w:rsidRPr="00F87AF3">
        <w:rPr>
          <w:rFonts w:eastAsia="Times New Roman" w:cs="Arial"/>
          <w:i/>
          <w:szCs w:val="24"/>
          <w:lang w:val="es-ES" w:eastAsia="es-ES"/>
        </w:rPr>
        <w:t xml:space="preserve">(Preparado por </w:t>
      </w:r>
      <w:r w:rsidRPr="00F87AF3">
        <w:rPr>
          <w:rFonts w:eastAsia="Times New Roman" w:cs="Arial"/>
          <w:i/>
          <w:szCs w:val="24"/>
          <w:lang w:val="es-ES" w:eastAsia="es-ES"/>
        </w:rPr>
        <w:t>la Secretaría</w:t>
      </w:r>
      <w:r w:rsidR="00E77A9F" w:rsidRPr="00F87AF3">
        <w:rPr>
          <w:rFonts w:eastAsia="Times New Roman" w:cs="Arial"/>
          <w:i/>
          <w:szCs w:val="24"/>
          <w:lang w:val="es-ES" w:eastAsia="es-ES"/>
        </w:rPr>
        <w:t>)</w:t>
      </w:r>
      <w:r w:rsidR="00002A97" w:rsidRPr="00F87AF3">
        <w:rPr>
          <w:rFonts w:eastAsia="Times New Roman" w:cs="Arial"/>
          <w:i/>
          <w:szCs w:val="24"/>
          <w:lang w:val="es-ES" w:eastAsia="es-ES"/>
        </w:rPr>
        <w:t xml:space="preserve"> </w:t>
      </w:r>
    </w:p>
    <w:p w14:paraId="7BF822CF" w14:textId="77777777" w:rsidR="00002A97" w:rsidRPr="00F87AF3"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14:paraId="795C5129" w14:textId="77777777" w:rsidR="00002A97" w:rsidRPr="00F87AF3"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65A29CBC" w14:textId="77777777" w:rsidR="00002A97" w:rsidRPr="00F87AF3" w:rsidRDefault="00F04234"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F87AF3">
        <w:rPr>
          <w:rFonts w:eastAsia="Times New Roman" w:cs="Arial"/>
          <w:noProof/>
          <w:lang w:val="es-ES"/>
        </w:rPr>
        <mc:AlternateContent>
          <mc:Choice Requires="wps">
            <w:drawing>
              <wp:anchor distT="0" distB="0" distL="114300" distR="114300" simplePos="0" relativeHeight="251659264" behindDoc="0" locked="0" layoutInCell="1" allowOverlap="1" wp14:anchorId="2E2B535A" wp14:editId="0845994A">
                <wp:simplePos x="0" y="0"/>
                <wp:positionH relativeFrom="column">
                  <wp:posOffset>719604</wp:posOffset>
                </wp:positionH>
                <wp:positionV relativeFrom="paragraph">
                  <wp:posOffset>149375</wp:posOffset>
                </wp:positionV>
                <wp:extent cx="4591050" cy="1186774"/>
                <wp:effectExtent l="0" t="0" r="19050" b="7620"/>
                <wp:wrapNone/>
                <wp:docPr id="5" name="Text Box 4"/>
                <wp:cNvGraphicFramePr/>
                <a:graphic xmlns:a="http://schemas.openxmlformats.org/drawingml/2006/main">
                  <a:graphicData uri="http://schemas.microsoft.com/office/word/2010/wordprocessingShape">
                    <wps:wsp>
                      <wps:cNvSpPr txBox="1"/>
                      <wps:spPr>
                        <a:xfrm>
                          <a:off x="0" y="0"/>
                          <a:ext cx="4591050" cy="1186774"/>
                        </a:xfrm>
                        <a:prstGeom prst="rect">
                          <a:avLst/>
                        </a:prstGeom>
                        <a:solidFill>
                          <a:srgbClr val="FFFFFF"/>
                        </a:solidFill>
                        <a:ln w="3172">
                          <a:solidFill>
                            <a:srgbClr val="000000"/>
                          </a:solidFill>
                          <a:prstDash val="solid"/>
                        </a:ln>
                      </wps:spPr>
                      <wps:txbx>
                        <w:txbxContent>
                          <w:p w14:paraId="6C7BA1B6" w14:textId="77777777" w:rsidR="00002A97" w:rsidRDefault="00002A97" w:rsidP="00F04234">
                            <w:pPr>
                              <w:spacing w:after="0" w:line="240" w:lineRule="auto"/>
                              <w:rPr>
                                <w:rFonts w:cs="Arial"/>
                                <w:lang w:val="es-ES"/>
                              </w:rPr>
                            </w:pPr>
                            <w:r>
                              <w:rPr>
                                <w:rFonts w:cs="Arial"/>
                                <w:lang w:val="es-ES"/>
                              </w:rPr>
                              <w:t>Resumen:</w:t>
                            </w:r>
                          </w:p>
                          <w:p w14:paraId="5DF7BB13" w14:textId="77777777" w:rsidR="00002A97" w:rsidRDefault="00002A97" w:rsidP="00F04234">
                            <w:pPr>
                              <w:spacing w:after="0" w:line="240" w:lineRule="auto"/>
                              <w:rPr>
                                <w:rFonts w:cs="Arial"/>
                                <w:lang w:val="es-ES"/>
                              </w:rPr>
                            </w:pPr>
                          </w:p>
                          <w:p w14:paraId="007B3A2A" w14:textId="03CF7440" w:rsidR="00F04234" w:rsidRPr="006F22B0" w:rsidRDefault="003F60E3" w:rsidP="003F60E3">
                            <w:pPr>
                              <w:spacing w:after="0" w:line="240" w:lineRule="auto"/>
                              <w:jc w:val="both"/>
                              <w:rPr>
                                <w:lang w:val="es-ES"/>
                              </w:rPr>
                            </w:pPr>
                            <w:r w:rsidRPr="003F60E3">
                              <w:rPr>
                                <w:rFonts w:cs="Arial"/>
                                <w:lang w:val="es-ES"/>
                              </w:rPr>
                              <w:t xml:space="preserve">Este documento informa a cerca de progreso de la puesta en marcha de la Resolución 7.2 (Rev.COP12) Evaluación de los impactos y las especies migratorias y propone la adopción de las decisiones que figuran en el </w:t>
                            </w:r>
                            <w:r w:rsidR="003E1611">
                              <w:rPr>
                                <w:rFonts w:cs="Arial"/>
                                <w:lang w:val="es-ES"/>
                              </w:rPr>
                              <w:t>A</w:t>
                            </w:r>
                            <w:r w:rsidRPr="003F60E3">
                              <w:rPr>
                                <w:rFonts w:cs="Arial"/>
                                <w:lang w:val="es-ES"/>
                              </w:rPr>
                              <w:t>nexo</w:t>
                            </w:r>
                            <w:r w:rsidR="003E1611">
                              <w:rPr>
                                <w:rFonts w:cs="Arial"/>
                                <w:lang w:val="es-ES"/>
                              </w:rPr>
                              <w:t xml:space="preserve"> a este documento</w:t>
                            </w:r>
                            <w:r w:rsidRPr="003F60E3">
                              <w:rPr>
                                <w:rFonts w:cs="Arial"/>
                                <w:lang w:val="es-E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E2B535A" id="_x0000_t202" coordsize="21600,21600" o:spt="202" path="m,l,21600r21600,l21600,xe">
                <v:stroke joinstyle="miter"/>
                <v:path gradientshapeok="t" o:connecttype="rect"/>
              </v:shapetype>
              <v:shape id="Text Box 4" o:spid="_x0000_s1026" type="#_x0000_t202" style="position:absolute;margin-left:56.65pt;margin-top:11.75pt;width:361.5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" strokeweight=".08811mm">
                <v:textbox>
                  <w:txbxContent>
                    <w:p w14:paraId="6C7BA1B6" w14:textId="77777777" w:rsidR="00002A97" w:rsidRDefault="00002A97" w:rsidP="00F04234">
                      <w:pPr>
                        <w:spacing w:after="0" w:line="240" w:lineRule="auto"/>
                        <w:rPr>
                          <w:rFonts w:cs="Arial"/>
                          <w:lang w:val="es-ES"/>
                        </w:rPr>
                      </w:pPr>
                      <w:r>
                        <w:rPr>
                          <w:rFonts w:cs="Arial"/>
                          <w:lang w:val="es-ES"/>
                        </w:rPr>
                        <w:t>Resumen:</w:t>
                      </w:r>
                    </w:p>
                    <w:p w14:paraId="5DF7BB13" w14:textId="77777777" w:rsidR="00002A97" w:rsidRDefault="00002A97" w:rsidP="00F04234">
                      <w:pPr>
                        <w:spacing w:after="0" w:line="240" w:lineRule="auto"/>
                        <w:rPr>
                          <w:rFonts w:cs="Arial"/>
                          <w:lang w:val="es-ES"/>
                        </w:rPr>
                      </w:pPr>
                    </w:p>
                    <w:p w14:paraId="007B3A2A" w14:textId="03CF7440" w:rsidR="00F04234" w:rsidRPr="006F22B0" w:rsidRDefault="003F60E3" w:rsidP="003F60E3">
                      <w:pPr>
                        <w:spacing w:after="0" w:line="240" w:lineRule="auto"/>
                        <w:jc w:val="both"/>
                        <w:rPr>
                          <w:lang w:val="es-ES"/>
                        </w:rPr>
                      </w:pPr>
                      <w:r w:rsidRPr="003F60E3">
                        <w:rPr>
                          <w:rFonts w:cs="Arial"/>
                          <w:lang w:val="es-ES"/>
                        </w:rPr>
                        <w:t xml:space="preserve">Este documento informa a cerca de progreso de la puesta en marcha de la Resolución 7.2 (Rev.COP12) Evaluación de los impactos y las especies migratorias y propone la adopción de las decisiones que figuran en el </w:t>
                      </w:r>
                      <w:r w:rsidR="003E1611">
                        <w:rPr>
                          <w:rFonts w:cs="Arial"/>
                          <w:lang w:val="es-ES"/>
                        </w:rPr>
                        <w:t>A</w:t>
                      </w:r>
                      <w:r w:rsidRPr="003F60E3">
                        <w:rPr>
                          <w:rFonts w:cs="Arial"/>
                          <w:lang w:val="es-ES"/>
                        </w:rPr>
                        <w:t>nexo</w:t>
                      </w:r>
                      <w:r w:rsidR="003E1611">
                        <w:rPr>
                          <w:rFonts w:cs="Arial"/>
                          <w:lang w:val="es-ES"/>
                        </w:rPr>
                        <w:t xml:space="preserve"> a este documento</w:t>
                      </w:r>
                      <w:r w:rsidRPr="003F60E3">
                        <w:rPr>
                          <w:rFonts w:cs="Arial"/>
                          <w:lang w:val="es-ES"/>
                        </w:rPr>
                        <w:t>.</w:t>
                      </w:r>
                    </w:p>
                  </w:txbxContent>
                </v:textbox>
              </v:shape>
            </w:pict>
          </mc:Fallback>
        </mc:AlternateContent>
      </w:r>
    </w:p>
    <w:p w14:paraId="2A63C877"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10E53D9"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DB384C6"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AF96AB5"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D7F863C"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04D7588"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6A28BB2"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4D5E25D"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C59D431"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2E1D70"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D2C3006"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3B23F5"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EDF364E"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335967"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0F9A30D"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F11360"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8101B3"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A2AEFDE"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C40E832"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118AA1F"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A4326B9"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D3181A3"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F4742EC"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DF498E"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0157CC3"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603D2D"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E17B640"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EB772FE"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EC34787"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49BC3EF"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6B88304"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F86E61B"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5364F62"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F903792" w14:textId="77777777" w:rsidR="00002A97" w:rsidRPr="00F87AF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AB0B520" w14:textId="77777777" w:rsidR="00E81B4A" w:rsidRPr="00F87AF3"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18218BB5" w14:textId="77777777" w:rsidR="00E81B4A" w:rsidRPr="00F87AF3"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59F954A0" w14:textId="77777777" w:rsidR="00E81B4A" w:rsidRPr="00F87AF3"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4D306EF7" w14:textId="77777777" w:rsidR="00E81B4A" w:rsidRPr="00F87AF3"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000C536E" w14:textId="77777777" w:rsidR="003E1611" w:rsidRDefault="003E1611" w:rsidP="003D66BE">
      <w:pPr>
        <w:widowControl w:val="0"/>
        <w:suppressAutoHyphens/>
        <w:autoSpaceDE w:val="0"/>
        <w:autoSpaceDN w:val="0"/>
        <w:spacing w:after="0" w:line="240" w:lineRule="auto"/>
        <w:jc w:val="center"/>
        <w:textAlignment w:val="baseline"/>
        <w:rPr>
          <w:rFonts w:eastAsia="Times New Roman" w:cs="Arial"/>
          <w:b/>
          <w:bCs/>
          <w:lang w:val="es-ES"/>
        </w:rPr>
      </w:pPr>
    </w:p>
    <w:p w14:paraId="25F119AD" w14:textId="04A66F66" w:rsidR="00F04234" w:rsidRPr="00F87AF3" w:rsidRDefault="003D66BE" w:rsidP="003D66BE">
      <w:pPr>
        <w:widowControl w:val="0"/>
        <w:suppressAutoHyphens/>
        <w:autoSpaceDE w:val="0"/>
        <w:autoSpaceDN w:val="0"/>
        <w:spacing w:after="0" w:line="240" w:lineRule="auto"/>
        <w:jc w:val="center"/>
        <w:textAlignment w:val="baseline"/>
        <w:rPr>
          <w:rFonts w:eastAsia="Times New Roman" w:cs="Arial"/>
          <w:b/>
          <w:shd w:val="clear" w:color="auto" w:fill="FFFF00"/>
          <w:lang w:val="es-ES" w:eastAsia="es-ES"/>
        </w:rPr>
      </w:pPr>
      <w:r w:rsidRPr="00F87AF3">
        <w:rPr>
          <w:rFonts w:eastAsia="Times New Roman" w:cs="Arial"/>
          <w:b/>
          <w:bCs/>
          <w:lang w:val="es-ES"/>
        </w:rPr>
        <w:lastRenderedPageBreak/>
        <w:t>DESARROLLO DE INFRAESTRUCTURAS Y ESPECIES MIGRATORIAS</w:t>
      </w:r>
    </w:p>
    <w:p w14:paraId="2D72C6A2" w14:textId="77777777" w:rsidR="00551BC0" w:rsidRPr="00F87AF3" w:rsidRDefault="00551BC0" w:rsidP="00F04234">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14:paraId="78F25B53" w14:textId="77777777" w:rsidR="003E1611" w:rsidRDefault="003E1611" w:rsidP="00F04234">
      <w:pPr>
        <w:spacing w:after="0"/>
        <w:jc w:val="both"/>
        <w:rPr>
          <w:rFonts w:cs="Arial"/>
          <w:u w:val="single"/>
          <w:lang w:val="es-ES"/>
        </w:rPr>
      </w:pPr>
    </w:p>
    <w:p w14:paraId="273B04F4" w14:textId="0A40F48C" w:rsidR="00F04234" w:rsidRPr="00F87AF3" w:rsidRDefault="00F04234" w:rsidP="00F04234">
      <w:pPr>
        <w:spacing w:after="0"/>
        <w:jc w:val="both"/>
        <w:rPr>
          <w:rFonts w:cs="Arial"/>
          <w:u w:val="single"/>
          <w:lang w:val="es-ES"/>
        </w:rPr>
      </w:pPr>
      <w:r w:rsidRPr="00F87AF3">
        <w:rPr>
          <w:rFonts w:cs="Arial"/>
          <w:u w:val="single"/>
          <w:lang w:val="es-ES"/>
        </w:rPr>
        <w:t>Antecedentes</w:t>
      </w:r>
    </w:p>
    <w:p w14:paraId="1E39BECA" w14:textId="77777777" w:rsidR="00F04234" w:rsidRPr="00F87AF3" w:rsidRDefault="00F04234" w:rsidP="00F04234">
      <w:pPr>
        <w:adjustRightInd w:val="0"/>
        <w:spacing w:after="0"/>
        <w:ind w:left="360"/>
        <w:contextualSpacing/>
        <w:jc w:val="both"/>
        <w:rPr>
          <w:rFonts w:cs="Arial"/>
          <w:lang w:val="es-ES"/>
        </w:rPr>
      </w:pPr>
    </w:p>
    <w:p w14:paraId="78F112B2" w14:textId="1327B38F" w:rsidR="00F04234" w:rsidRPr="00F87AF3" w:rsidRDefault="00BB2D9A" w:rsidP="00C61C51">
      <w:pPr>
        <w:pStyle w:val="Firstnumbering1"/>
        <w:ind w:left="567" w:hanging="567"/>
      </w:pPr>
      <w:r w:rsidRPr="00F87AF3">
        <w:t xml:space="preserve">En la 12ª reunión de la Conferencia de las Partes de la Convención </w:t>
      </w:r>
      <w:r w:rsidR="0060754A" w:rsidRPr="0060754A">
        <w:t xml:space="preserve">sobre la </w:t>
      </w:r>
      <w:r w:rsidR="003E1611">
        <w:t>C</w:t>
      </w:r>
      <w:r w:rsidR="0060754A" w:rsidRPr="0060754A">
        <w:t xml:space="preserve">onservación de las </w:t>
      </w:r>
      <w:r w:rsidR="003E1611">
        <w:t>E</w:t>
      </w:r>
      <w:r w:rsidR="0060754A" w:rsidRPr="0060754A">
        <w:t xml:space="preserve">species </w:t>
      </w:r>
      <w:r w:rsidR="003E1611">
        <w:t>M</w:t>
      </w:r>
      <w:r w:rsidR="0060754A" w:rsidRPr="0060754A">
        <w:t xml:space="preserve">igratorias de </w:t>
      </w:r>
      <w:r w:rsidR="003E1611">
        <w:t>A</w:t>
      </w:r>
      <w:r w:rsidR="0060754A" w:rsidRPr="0060754A">
        <w:t xml:space="preserve">nimales </w:t>
      </w:r>
      <w:r w:rsidR="003E1611">
        <w:t>S</w:t>
      </w:r>
      <w:r w:rsidR="0060754A" w:rsidRPr="0060754A">
        <w:t>ilvestres</w:t>
      </w:r>
      <w:r w:rsidRPr="00F87AF3">
        <w:t xml:space="preserve"> (CMS COP12, Manila, 2017), las Partes enmendaron la Resolución 7.2 (Rev.COP12) </w:t>
      </w:r>
      <w:r w:rsidRPr="0002519F">
        <w:rPr>
          <w:i/>
          <w:iCs/>
        </w:rPr>
        <w:t>Evaluación de</w:t>
      </w:r>
      <w:r w:rsidR="00C61C51">
        <w:rPr>
          <w:i/>
          <w:iCs/>
        </w:rPr>
        <w:t xml:space="preserve"> </w:t>
      </w:r>
      <w:r w:rsidRPr="0002519F">
        <w:rPr>
          <w:i/>
          <w:iCs/>
        </w:rPr>
        <w:t>l</w:t>
      </w:r>
      <w:r w:rsidR="00C61C51">
        <w:rPr>
          <w:i/>
          <w:iCs/>
        </w:rPr>
        <w:t>os</w:t>
      </w:r>
      <w:r w:rsidRPr="0002519F">
        <w:rPr>
          <w:i/>
          <w:iCs/>
        </w:rPr>
        <w:t xml:space="preserve"> </w:t>
      </w:r>
      <w:r w:rsidR="00C61C51">
        <w:rPr>
          <w:i/>
          <w:iCs/>
        </w:rPr>
        <w:t>efectos</w:t>
      </w:r>
      <w:r w:rsidRPr="0002519F">
        <w:rPr>
          <w:i/>
          <w:iCs/>
        </w:rPr>
        <w:t xml:space="preserve"> y especies migratorias</w:t>
      </w:r>
      <w:r w:rsidRPr="00F87AF3">
        <w:t>. Los párrafos operativos de la Resolución establecen que</w:t>
      </w:r>
      <w:r w:rsidR="0060754A">
        <w:t xml:space="preserve"> </w:t>
      </w:r>
      <w:r w:rsidR="0060754A" w:rsidRPr="0060754A">
        <w:t>la Conferencia de las Partes</w:t>
      </w:r>
      <w:r w:rsidRPr="00F87AF3">
        <w:t>:</w:t>
      </w:r>
    </w:p>
    <w:p w14:paraId="72F07F2D" w14:textId="745B19E0" w:rsidR="00BB2D9A" w:rsidRPr="00F87AF3" w:rsidRDefault="00BB2D9A" w:rsidP="00C61C51">
      <w:pPr>
        <w:pStyle w:val="Firstnumbering1"/>
        <w:numPr>
          <w:ilvl w:val="0"/>
          <w:numId w:val="0"/>
        </w:numPr>
        <w:ind w:left="567"/>
      </w:pPr>
    </w:p>
    <w:p w14:paraId="2C925E06" w14:textId="00B0B9A6" w:rsidR="00BB2D9A" w:rsidRPr="00F87AF3" w:rsidRDefault="00BB2D9A" w:rsidP="00C61C51">
      <w:pPr>
        <w:pStyle w:val="ListParagraph"/>
        <w:widowControl w:val="0"/>
        <w:numPr>
          <w:ilvl w:val="0"/>
          <w:numId w:val="17"/>
        </w:numPr>
        <w:tabs>
          <w:tab w:val="clear" w:pos="720"/>
        </w:tabs>
        <w:autoSpaceDE w:val="0"/>
        <w:autoSpaceDN w:val="0"/>
        <w:adjustRightInd w:val="0"/>
        <w:spacing w:after="0" w:line="240" w:lineRule="auto"/>
        <w:ind w:left="1080"/>
        <w:jc w:val="both"/>
        <w:rPr>
          <w:rFonts w:eastAsiaTheme="minorEastAsia" w:cs="Arial"/>
          <w:i/>
          <w:sz w:val="20"/>
          <w:lang w:val="es-ES"/>
        </w:rPr>
      </w:pPr>
      <w:r w:rsidRPr="00F87AF3">
        <w:rPr>
          <w:rFonts w:eastAsiaTheme="minorEastAsia" w:cs="Arial"/>
          <w:i/>
          <w:sz w:val="20"/>
          <w:lang w:val="es-ES"/>
        </w:rPr>
        <w:t xml:space="preserve">Subraya la importancia de realizar evaluaciones de los efectos sobre el medio ambiente y evaluaciones </w:t>
      </w:r>
      <w:proofErr w:type="spellStart"/>
      <w:r w:rsidRPr="00F87AF3">
        <w:rPr>
          <w:rFonts w:eastAsiaTheme="minorEastAsia" w:cs="Arial"/>
          <w:i/>
          <w:sz w:val="20"/>
          <w:lang w:val="es-ES"/>
        </w:rPr>
        <w:t>estratégicas</w:t>
      </w:r>
      <w:proofErr w:type="spellEnd"/>
      <w:r w:rsidRPr="00F87AF3">
        <w:rPr>
          <w:rFonts w:eastAsiaTheme="minorEastAsia" w:cs="Arial"/>
          <w:i/>
          <w:sz w:val="20"/>
          <w:lang w:val="es-ES"/>
        </w:rPr>
        <w:t xml:space="preserve"> del medio ambiente de buena calidad, como instrumentos para la </w:t>
      </w:r>
      <w:proofErr w:type="spellStart"/>
      <w:r w:rsidRPr="00F87AF3">
        <w:rPr>
          <w:rFonts w:eastAsiaTheme="minorEastAsia" w:cs="Arial"/>
          <w:i/>
          <w:sz w:val="20"/>
          <w:lang w:val="es-ES"/>
        </w:rPr>
        <w:t>aplicación</w:t>
      </w:r>
      <w:proofErr w:type="spellEnd"/>
      <w:r w:rsidRPr="00F87AF3">
        <w:rPr>
          <w:rFonts w:eastAsiaTheme="minorEastAsia" w:cs="Arial"/>
          <w:i/>
          <w:sz w:val="20"/>
          <w:lang w:val="es-ES"/>
        </w:rPr>
        <w:t xml:space="preserve"> del </w:t>
      </w:r>
      <w:proofErr w:type="spellStart"/>
      <w:r w:rsidRPr="00F87AF3">
        <w:rPr>
          <w:rFonts w:eastAsiaTheme="minorEastAsia" w:cs="Arial"/>
          <w:i/>
          <w:sz w:val="20"/>
          <w:lang w:val="es-ES"/>
        </w:rPr>
        <w:t>párrafo</w:t>
      </w:r>
      <w:proofErr w:type="spellEnd"/>
      <w:r w:rsidRPr="00F87AF3">
        <w:rPr>
          <w:rFonts w:eastAsiaTheme="minorEastAsia" w:cs="Arial"/>
          <w:i/>
          <w:sz w:val="20"/>
          <w:lang w:val="es-ES"/>
        </w:rPr>
        <w:t xml:space="preserve"> 2 del </w:t>
      </w:r>
      <w:proofErr w:type="spellStart"/>
      <w:r w:rsidRPr="00F87AF3">
        <w:rPr>
          <w:rFonts w:eastAsiaTheme="minorEastAsia" w:cs="Arial"/>
          <w:i/>
          <w:sz w:val="20"/>
          <w:lang w:val="es-ES"/>
        </w:rPr>
        <w:t>artículo</w:t>
      </w:r>
      <w:proofErr w:type="spellEnd"/>
      <w:r w:rsidRPr="00F87AF3">
        <w:rPr>
          <w:rFonts w:eastAsiaTheme="minorEastAsia" w:cs="Arial"/>
          <w:i/>
          <w:sz w:val="20"/>
          <w:lang w:val="es-ES"/>
        </w:rPr>
        <w:t xml:space="preserve"> II de la </w:t>
      </w:r>
      <w:proofErr w:type="spellStart"/>
      <w:r w:rsidRPr="00F87AF3">
        <w:rPr>
          <w:rFonts w:eastAsiaTheme="minorEastAsia" w:cs="Arial"/>
          <w:i/>
          <w:sz w:val="20"/>
          <w:lang w:val="es-ES"/>
        </w:rPr>
        <w:t>Convención</w:t>
      </w:r>
      <w:proofErr w:type="spellEnd"/>
      <w:r w:rsidRPr="00F87AF3">
        <w:rPr>
          <w:rFonts w:eastAsiaTheme="minorEastAsia" w:cs="Arial"/>
          <w:i/>
          <w:sz w:val="20"/>
          <w:lang w:val="es-ES"/>
        </w:rPr>
        <w:t xml:space="preserve">, sobre </w:t>
      </w:r>
      <w:proofErr w:type="spellStart"/>
      <w:r w:rsidRPr="00F87AF3">
        <w:rPr>
          <w:rFonts w:eastAsiaTheme="minorEastAsia" w:cs="Arial"/>
          <w:i/>
          <w:sz w:val="20"/>
          <w:lang w:val="es-ES"/>
        </w:rPr>
        <w:t>cómo</w:t>
      </w:r>
      <w:proofErr w:type="spellEnd"/>
      <w:r w:rsidRPr="00F87AF3">
        <w:rPr>
          <w:rFonts w:eastAsiaTheme="minorEastAsia" w:cs="Arial"/>
          <w:i/>
          <w:sz w:val="20"/>
          <w:lang w:val="es-ES"/>
        </w:rPr>
        <w:t xml:space="preserve"> evitar que las especies migratorias se vean amenazadas y del </w:t>
      </w:r>
      <w:proofErr w:type="spellStart"/>
      <w:r w:rsidRPr="00F87AF3">
        <w:rPr>
          <w:rFonts w:eastAsiaTheme="minorEastAsia" w:cs="Arial"/>
          <w:i/>
          <w:sz w:val="20"/>
          <w:lang w:val="es-ES"/>
        </w:rPr>
        <w:t>párrafo</w:t>
      </w:r>
      <w:proofErr w:type="spellEnd"/>
      <w:r w:rsidRPr="00F87AF3">
        <w:rPr>
          <w:rFonts w:eastAsiaTheme="minorEastAsia" w:cs="Arial"/>
          <w:i/>
          <w:sz w:val="20"/>
          <w:lang w:val="es-ES"/>
        </w:rPr>
        <w:t xml:space="preserve"> 4 del </w:t>
      </w:r>
      <w:proofErr w:type="spellStart"/>
      <w:r w:rsidRPr="00F87AF3">
        <w:rPr>
          <w:rFonts w:eastAsiaTheme="minorEastAsia" w:cs="Arial"/>
          <w:i/>
          <w:sz w:val="20"/>
          <w:lang w:val="es-ES"/>
        </w:rPr>
        <w:t>artículo</w:t>
      </w:r>
      <w:proofErr w:type="spellEnd"/>
      <w:r w:rsidRPr="00F87AF3">
        <w:rPr>
          <w:rFonts w:eastAsiaTheme="minorEastAsia" w:cs="Arial"/>
          <w:i/>
          <w:sz w:val="20"/>
          <w:lang w:val="es-ES"/>
        </w:rPr>
        <w:t xml:space="preserve"> III de la </w:t>
      </w:r>
      <w:proofErr w:type="spellStart"/>
      <w:r w:rsidRPr="00F87AF3">
        <w:rPr>
          <w:rFonts w:eastAsiaTheme="minorEastAsia" w:cs="Arial"/>
          <w:i/>
          <w:sz w:val="20"/>
          <w:lang w:val="es-ES"/>
        </w:rPr>
        <w:t>Convención</w:t>
      </w:r>
      <w:proofErr w:type="spellEnd"/>
      <w:r w:rsidRPr="00F87AF3">
        <w:rPr>
          <w:rFonts w:eastAsiaTheme="minorEastAsia" w:cs="Arial"/>
          <w:i/>
          <w:sz w:val="20"/>
          <w:lang w:val="es-ES"/>
        </w:rPr>
        <w:t xml:space="preserve">, sobre </w:t>
      </w:r>
      <w:proofErr w:type="spellStart"/>
      <w:r w:rsidRPr="00F87AF3">
        <w:rPr>
          <w:rFonts w:eastAsiaTheme="minorEastAsia" w:cs="Arial"/>
          <w:i/>
          <w:sz w:val="20"/>
          <w:lang w:val="es-ES"/>
        </w:rPr>
        <w:t>protección</w:t>
      </w:r>
      <w:proofErr w:type="spellEnd"/>
      <w:r w:rsidRPr="00F87AF3">
        <w:rPr>
          <w:rFonts w:eastAsiaTheme="minorEastAsia" w:cs="Arial"/>
          <w:i/>
          <w:sz w:val="20"/>
          <w:lang w:val="es-ES"/>
        </w:rPr>
        <w:t xml:space="preserve"> de las especies incluidas en el </w:t>
      </w:r>
      <w:proofErr w:type="spellStart"/>
      <w:r w:rsidRPr="00F87AF3">
        <w:rPr>
          <w:rFonts w:eastAsiaTheme="minorEastAsia" w:cs="Arial"/>
          <w:i/>
          <w:sz w:val="20"/>
          <w:lang w:val="es-ES"/>
        </w:rPr>
        <w:t>Apéndice</w:t>
      </w:r>
      <w:proofErr w:type="spellEnd"/>
      <w:r w:rsidRPr="00F87AF3">
        <w:rPr>
          <w:rFonts w:eastAsiaTheme="minorEastAsia" w:cs="Arial"/>
          <w:i/>
          <w:sz w:val="20"/>
          <w:lang w:val="es-ES"/>
        </w:rPr>
        <w:t xml:space="preserve"> I, y como elementos importantes que deben incluirse en los ACUERDOS que se concluyan en </w:t>
      </w:r>
      <w:proofErr w:type="spellStart"/>
      <w:r w:rsidRPr="00F87AF3">
        <w:rPr>
          <w:rFonts w:eastAsiaTheme="minorEastAsia" w:cs="Arial"/>
          <w:i/>
          <w:sz w:val="20"/>
          <w:lang w:val="es-ES"/>
        </w:rPr>
        <w:t>relación</w:t>
      </w:r>
      <w:proofErr w:type="spellEnd"/>
      <w:r w:rsidRPr="00F87AF3">
        <w:rPr>
          <w:rFonts w:eastAsiaTheme="minorEastAsia" w:cs="Arial"/>
          <w:i/>
          <w:sz w:val="20"/>
          <w:lang w:val="es-ES"/>
        </w:rPr>
        <w:t xml:space="preserve"> con el </w:t>
      </w:r>
      <w:proofErr w:type="spellStart"/>
      <w:r w:rsidRPr="00F87AF3">
        <w:rPr>
          <w:rFonts w:eastAsiaTheme="minorEastAsia" w:cs="Arial"/>
          <w:i/>
          <w:sz w:val="20"/>
          <w:lang w:val="es-ES"/>
        </w:rPr>
        <w:t>párrafo</w:t>
      </w:r>
      <w:proofErr w:type="spellEnd"/>
      <w:r w:rsidRPr="00F87AF3">
        <w:rPr>
          <w:rFonts w:eastAsiaTheme="minorEastAsia" w:cs="Arial"/>
          <w:i/>
          <w:sz w:val="20"/>
          <w:lang w:val="es-ES"/>
        </w:rPr>
        <w:t xml:space="preserve"> 3 del </w:t>
      </w:r>
      <w:proofErr w:type="spellStart"/>
      <w:r w:rsidRPr="00F87AF3">
        <w:rPr>
          <w:rFonts w:eastAsiaTheme="minorEastAsia" w:cs="Arial"/>
          <w:i/>
          <w:sz w:val="20"/>
          <w:lang w:val="es-ES"/>
        </w:rPr>
        <w:t>artículo</w:t>
      </w:r>
      <w:proofErr w:type="spellEnd"/>
      <w:r w:rsidRPr="00F87AF3">
        <w:rPr>
          <w:rFonts w:eastAsiaTheme="minorEastAsia" w:cs="Arial"/>
          <w:i/>
          <w:sz w:val="20"/>
          <w:lang w:val="es-ES"/>
        </w:rPr>
        <w:t xml:space="preserve"> IV de la </w:t>
      </w:r>
      <w:proofErr w:type="spellStart"/>
      <w:r w:rsidRPr="00F87AF3">
        <w:rPr>
          <w:rFonts w:eastAsiaTheme="minorEastAsia" w:cs="Arial"/>
          <w:i/>
          <w:sz w:val="20"/>
          <w:lang w:val="es-ES"/>
        </w:rPr>
        <w:t>Convención</w:t>
      </w:r>
      <w:proofErr w:type="spellEnd"/>
      <w:r w:rsidRPr="00F87AF3">
        <w:rPr>
          <w:rFonts w:eastAsiaTheme="minorEastAsia" w:cs="Arial"/>
          <w:i/>
          <w:sz w:val="20"/>
          <w:lang w:val="es-ES"/>
        </w:rPr>
        <w:t xml:space="preserve"> sobre las especies que figuran en las listas del </w:t>
      </w:r>
      <w:proofErr w:type="spellStart"/>
      <w:r w:rsidRPr="00F87AF3">
        <w:rPr>
          <w:rFonts w:eastAsiaTheme="minorEastAsia" w:cs="Arial"/>
          <w:i/>
          <w:sz w:val="20"/>
          <w:lang w:val="es-ES"/>
        </w:rPr>
        <w:t>Apéndice</w:t>
      </w:r>
      <w:proofErr w:type="spellEnd"/>
      <w:r w:rsidRPr="00F87AF3">
        <w:rPr>
          <w:rFonts w:eastAsiaTheme="minorEastAsia" w:cs="Arial"/>
          <w:i/>
          <w:sz w:val="20"/>
          <w:lang w:val="es-ES"/>
        </w:rPr>
        <w:t xml:space="preserve"> II y en los Acuerdos que se concierten en </w:t>
      </w:r>
      <w:proofErr w:type="spellStart"/>
      <w:r w:rsidRPr="00F87AF3">
        <w:rPr>
          <w:rFonts w:eastAsiaTheme="minorEastAsia" w:cs="Arial"/>
          <w:i/>
          <w:sz w:val="20"/>
          <w:lang w:val="es-ES"/>
        </w:rPr>
        <w:t>relación</w:t>
      </w:r>
      <w:proofErr w:type="spellEnd"/>
      <w:r w:rsidRPr="00F87AF3">
        <w:rPr>
          <w:rFonts w:eastAsiaTheme="minorEastAsia" w:cs="Arial"/>
          <w:i/>
          <w:sz w:val="20"/>
          <w:lang w:val="es-ES"/>
        </w:rPr>
        <w:t xml:space="preserve"> con el </w:t>
      </w:r>
      <w:proofErr w:type="spellStart"/>
      <w:r w:rsidRPr="00F87AF3">
        <w:rPr>
          <w:rFonts w:eastAsiaTheme="minorEastAsia" w:cs="Arial"/>
          <w:i/>
          <w:sz w:val="20"/>
          <w:lang w:val="es-ES"/>
        </w:rPr>
        <w:t>párrafo</w:t>
      </w:r>
      <w:proofErr w:type="spellEnd"/>
      <w:r w:rsidRPr="00F87AF3">
        <w:rPr>
          <w:rFonts w:eastAsiaTheme="minorEastAsia" w:cs="Arial"/>
          <w:i/>
          <w:sz w:val="20"/>
          <w:lang w:val="es-ES"/>
        </w:rPr>
        <w:t xml:space="preserve"> 4 del </w:t>
      </w:r>
      <w:proofErr w:type="spellStart"/>
      <w:r w:rsidRPr="00F87AF3">
        <w:rPr>
          <w:rFonts w:eastAsiaTheme="minorEastAsia" w:cs="Arial"/>
          <w:i/>
          <w:sz w:val="20"/>
          <w:lang w:val="es-ES"/>
        </w:rPr>
        <w:t>artículo</w:t>
      </w:r>
      <w:proofErr w:type="spellEnd"/>
      <w:r w:rsidRPr="00F87AF3">
        <w:rPr>
          <w:rFonts w:eastAsiaTheme="minorEastAsia" w:cs="Arial"/>
          <w:i/>
          <w:sz w:val="20"/>
          <w:lang w:val="es-ES"/>
        </w:rPr>
        <w:t xml:space="preserve"> IV de la </w:t>
      </w:r>
      <w:proofErr w:type="spellStart"/>
      <w:r w:rsidRPr="00F87AF3">
        <w:rPr>
          <w:rFonts w:eastAsiaTheme="minorEastAsia" w:cs="Arial"/>
          <w:i/>
          <w:sz w:val="20"/>
          <w:lang w:val="es-ES"/>
        </w:rPr>
        <w:t>Convención</w:t>
      </w:r>
      <w:proofErr w:type="spellEnd"/>
      <w:r w:rsidRPr="00F87AF3">
        <w:rPr>
          <w:rFonts w:eastAsiaTheme="minorEastAsia" w:cs="Arial"/>
          <w:i/>
          <w:sz w:val="20"/>
          <w:lang w:val="es-ES"/>
        </w:rPr>
        <w:t xml:space="preserve"> respecto de las especies del </w:t>
      </w:r>
      <w:proofErr w:type="spellStart"/>
      <w:r w:rsidRPr="00F87AF3">
        <w:rPr>
          <w:rFonts w:eastAsiaTheme="minorEastAsia" w:cs="Arial"/>
          <w:i/>
          <w:sz w:val="20"/>
          <w:lang w:val="es-ES"/>
        </w:rPr>
        <w:t>Apéndice</w:t>
      </w:r>
      <w:proofErr w:type="spellEnd"/>
      <w:r w:rsidRPr="00F87AF3">
        <w:rPr>
          <w:rFonts w:eastAsiaTheme="minorEastAsia" w:cs="Arial"/>
          <w:i/>
          <w:sz w:val="20"/>
          <w:lang w:val="es-ES"/>
        </w:rPr>
        <w:t xml:space="preserve"> II y de otras; </w:t>
      </w:r>
    </w:p>
    <w:p w14:paraId="16CECEB4" w14:textId="77777777" w:rsidR="00BB2D9A" w:rsidRPr="00F87AF3" w:rsidRDefault="00BB2D9A" w:rsidP="00C61C51">
      <w:pPr>
        <w:pStyle w:val="ListParagraph"/>
        <w:widowControl w:val="0"/>
        <w:autoSpaceDE w:val="0"/>
        <w:autoSpaceDN w:val="0"/>
        <w:adjustRightInd w:val="0"/>
        <w:spacing w:after="0" w:line="240" w:lineRule="auto"/>
        <w:ind w:left="1080"/>
        <w:jc w:val="both"/>
        <w:rPr>
          <w:rFonts w:eastAsiaTheme="minorEastAsia" w:cs="Arial"/>
          <w:i/>
          <w:sz w:val="20"/>
          <w:lang w:val="es-ES"/>
        </w:rPr>
      </w:pPr>
    </w:p>
    <w:p w14:paraId="062DD2D7" w14:textId="16DC881E" w:rsidR="00BB2D9A" w:rsidRPr="00F87AF3" w:rsidRDefault="00BB2D9A" w:rsidP="00C61C51">
      <w:pPr>
        <w:pStyle w:val="ListParagraph"/>
        <w:widowControl w:val="0"/>
        <w:numPr>
          <w:ilvl w:val="0"/>
          <w:numId w:val="17"/>
        </w:numPr>
        <w:tabs>
          <w:tab w:val="clear" w:pos="720"/>
        </w:tabs>
        <w:autoSpaceDE w:val="0"/>
        <w:autoSpaceDN w:val="0"/>
        <w:adjustRightInd w:val="0"/>
        <w:spacing w:after="0" w:line="240" w:lineRule="auto"/>
        <w:ind w:left="1080"/>
        <w:jc w:val="both"/>
        <w:rPr>
          <w:rFonts w:eastAsiaTheme="minorEastAsia" w:cs="Arial"/>
          <w:i/>
          <w:sz w:val="20"/>
          <w:lang w:val="es-ES"/>
        </w:rPr>
      </w:pPr>
      <w:r w:rsidRPr="00F87AF3">
        <w:rPr>
          <w:rFonts w:eastAsiaTheme="minorEastAsia" w:cs="Arial"/>
          <w:i/>
          <w:sz w:val="20"/>
          <w:lang w:val="es-ES"/>
        </w:rPr>
        <w:t xml:space="preserve">Insta a las Partes a que incluyan en las antedichas evaluaciones, siempre que sea pertinente, una </w:t>
      </w:r>
      <w:proofErr w:type="spellStart"/>
      <w:r w:rsidRPr="00F87AF3">
        <w:rPr>
          <w:rFonts w:eastAsiaTheme="minorEastAsia" w:cs="Arial"/>
          <w:i/>
          <w:sz w:val="20"/>
          <w:lang w:val="es-ES"/>
        </w:rPr>
        <w:t>consideración</w:t>
      </w:r>
      <w:proofErr w:type="spellEnd"/>
      <w:r w:rsidRPr="00F87AF3">
        <w:rPr>
          <w:rFonts w:eastAsiaTheme="minorEastAsia" w:cs="Arial"/>
          <w:i/>
          <w:sz w:val="20"/>
          <w:lang w:val="es-ES"/>
        </w:rPr>
        <w:t xml:space="preserve"> tan completa como sea posible de los efectos que abarque los </w:t>
      </w:r>
      <w:proofErr w:type="spellStart"/>
      <w:r w:rsidRPr="00F87AF3">
        <w:rPr>
          <w:rFonts w:eastAsiaTheme="minorEastAsia" w:cs="Arial"/>
          <w:i/>
          <w:sz w:val="20"/>
          <w:lang w:val="es-ES"/>
        </w:rPr>
        <w:t>obstáculos</w:t>
      </w:r>
      <w:proofErr w:type="spellEnd"/>
      <w:r w:rsidRPr="00F87AF3">
        <w:rPr>
          <w:rFonts w:eastAsiaTheme="minorEastAsia" w:cs="Arial"/>
          <w:i/>
          <w:sz w:val="20"/>
          <w:lang w:val="es-ES"/>
        </w:rPr>
        <w:t xml:space="preserve"> a la </w:t>
      </w:r>
      <w:proofErr w:type="spellStart"/>
      <w:r w:rsidRPr="00F87AF3">
        <w:rPr>
          <w:rFonts w:eastAsiaTheme="minorEastAsia" w:cs="Arial"/>
          <w:i/>
          <w:sz w:val="20"/>
          <w:lang w:val="es-ES"/>
        </w:rPr>
        <w:t>migración</w:t>
      </w:r>
      <w:proofErr w:type="spellEnd"/>
      <w:r w:rsidRPr="00F87AF3">
        <w:rPr>
          <w:rFonts w:eastAsiaTheme="minorEastAsia" w:cs="Arial"/>
          <w:i/>
          <w:sz w:val="20"/>
          <w:lang w:val="es-ES"/>
        </w:rPr>
        <w:t xml:space="preserve">, en </w:t>
      </w:r>
      <w:proofErr w:type="spellStart"/>
      <w:r w:rsidRPr="00F87AF3">
        <w:rPr>
          <w:rFonts w:eastAsiaTheme="minorEastAsia" w:cs="Arial"/>
          <w:i/>
          <w:sz w:val="20"/>
          <w:lang w:val="es-ES"/>
        </w:rPr>
        <w:t>aplicación</w:t>
      </w:r>
      <w:proofErr w:type="spellEnd"/>
      <w:r w:rsidRPr="00F87AF3">
        <w:rPr>
          <w:rFonts w:eastAsiaTheme="minorEastAsia" w:cs="Arial"/>
          <w:i/>
          <w:sz w:val="20"/>
          <w:lang w:val="es-ES"/>
        </w:rPr>
        <w:t xml:space="preserve"> del apartado b) del </w:t>
      </w:r>
      <w:proofErr w:type="spellStart"/>
      <w:r w:rsidRPr="00F87AF3">
        <w:rPr>
          <w:rFonts w:eastAsiaTheme="minorEastAsia" w:cs="Arial"/>
          <w:i/>
          <w:sz w:val="20"/>
          <w:lang w:val="es-ES"/>
        </w:rPr>
        <w:t>párrafo</w:t>
      </w:r>
      <w:proofErr w:type="spellEnd"/>
      <w:r w:rsidRPr="00F87AF3">
        <w:rPr>
          <w:rFonts w:eastAsiaTheme="minorEastAsia" w:cs="Arial"/>
          <w:i/>
          <w:sz w:val="20"/>
          <w:lang w:val="es-ES"/>
        </w:rPr>
        <w:t xml:space="preserve"> 4 del </w:t>
      </w:r>
      <w:proofErr w:type="spellStart"/>
      <w:r w:rsidRPr="00F87AF3">
        <w:rPr>
          <w:rFonts w:eastAsiaTheme="minorEastAsia" w:cs="Arial"/>
          <w:i/>
          <w:sz w:val="20"/>
          <w:lang w:val="es-ES"/>
        </w:rPr>
        <w:t>artículo</w:t>
      </w:r>
      <w:proofErr w:type="spellEnd"/>
      <w:r w:rsidRPr="00F87AF3">
        <w:rPr>
          <w:rFonts w:eastAsiaTheme="minorEastAsia" w:cs="Arial"/>
          <w:i/>
          <w:sz w:val="20"/>
          <w:lang w:val="es-ES"/>
        </w:rPr>
        <w:t xml:space="preserve"> III de la </w:t>
      </w:r>
      <w:proofErr w:type="spellStart"/>
      <w:r w:rsidRPr="00F87AF3">
        <w:rPr>
          <w:rFonts w:eastAsiaTheme="minorEastAsia" w:cs="Arial"/>
          <w:i/>
          <w:sz w:val="20"/>
          <w:lang w:val="es-ES"/>
        </w:rPr>
        <w:t>Convención</w:t>
      </w:r>
      <w:proofErr w:type="spellEnd"/>
      <w:r w:rsidRPr="00F87AF3">
        <w:rPr>
          <w:rFonts w:eastAsiaTheme="minorEastAsia" w:cs="Arial"/>
          <w:i/>
          <w:sz w:val="20"/>
          <w:lang w:val="es-ES"/>
        </w:rPr>
        <w:t xml:space="preserve">, de los efectos transfronterizos de las especies migratorias y de los efectos en los comportamientos migratorios o en las </w:t>
      </w:r>
      <w:proofErr w:type="spellStart"/>
      <w:r w:rsidRPr="00F87AF3">
        <w:rPr>
          <w:rFonts w:eastAsiaTheme="minorEastAsia" w:cs="Arial"/>
          <w:i/>
          <w:sz w:val="20"/>
          <w:lang w:val="es-ES"/>
        </w:rPr>
        <w:t>áreas</w:t>
      </w:r>
      <w:proofErr w:type="spellEnd"/>
      <w:r w:rsidRPr="00F87AF3">
        <w:rPr>
          <w:rFonts w:eastAsiaTheme="minorEastAsia" w:cs="Arial"/>
          <w:i/>
          <w:sz w:val="20"/>
          <w:lang w:val="es-ES"/>
        </w:rPr>
        <w:t xml:space="preserve"> de </w:t>
      </w:r>
      <w:proofErr w:type="spellStart"/>
      <w:r w:rsidRPr="00F87AF3">
        <w:rPr>
          <w:rFonts w:eastAsiaTheme="minorEastAsia" w:cs="Arial"/>
          <w:i/>
          <w:sz w:val="20"/>
          <w:lang w:val="es-ES"/>
        </w:rPr>
        <w:t>distribución</w:t>
      </w:r>
      <w:proofErr w:type="spellEnd"/>
      <w:r w:rsidRPr="00F87AF3">
        <w:rPr>
          <w:rFonts w:eastAsiaTheme="minorEastAsia" w:cs="Arial"/>
          <w:i/>
          <w:sz w:val="20"/>
          <w:lang w:val="es-ES"/>
        </w:rPr>
        <w:t xml:space="preserve"> de las especies migratorias; </w:t>
      </w:r>
    </w:p>
    <w:p w14:paraId="255E92C5" w14:textId="77777777" w:rsidR="00BB2D9A" w:rsidRPr="00F87AF3" w:rsidRDefault="00BB2D9A" w:rsidP="00C61C51">
      <w:pPr>
        <w:widowControl w:val="0"/>
        <w:autoSpaceDE w:val="0"/>
        <w:autoSpaceDN w:val="0"/>
        <w:adjustRightInd w:val="0"/>
        <w:spacing w:after="0" w:line="240" w:lineRule="auto"/>
        <w:ind w:left="153"/>
        <w:jc w:val="both"/>
        <w:rPr>
          <w:rFonts w:eastAsiaTheme="minorEastAsia" w:cs="Arial"/>
          <w:i/>
          <w:sz w:val="20"/>
          <w:lang w:val="es-ES"/>
        </w:rPr>
      </w:pPr>
    </w:p>
    <w:p w14:paraId="26FE4099" w14:textId="75A660D1" w:rsidR="00BB2D9A" w:rsidRPr="00F87AF3" w:rsidRDefault="00BB2D9A" w:rsidP="00C61C51">
      <w:pPr>
        <w:pStyle w:val="ListParagraph"/>
        <w:widowControl w:val="0"/>
        <w:numPr>
          <w:ilvl w:val="0"/>
          <w:numId w:val="17"/>
        </w:numPr>
        <w:tabs>
          <w:tab w:val="clear" w:pos="720"/>
        </w:tabs>
        <w:autoSpaceDE w:val="0"/>
        <w:autoSpaceDN w:val="0"/>
        <w:adjustRightInd w:val="0"/>
        <w:spacing w:after="0" w:line="240" w:lineRule="auto"/>
        <w:ind w:left="1080"/>
        <w:jc w:val="both"/>
        <w:rPr>
          <w:rFonts w:eastAsiaTheme="minorEastAsia" w:cs="Arial"/>
          <w:i/>
          <w:sz w:val="20"/>
          <w:lang w:val="es-ES"/>
        </w:rPr>
      </w:pPr>
      <w:r w:rsidRPr="00F87AF3">
        <w:rPr>
          <w:rFonts w:eastAsiaTheme="minorEastAsia" w:cs="Arial"/>
          <w:i/>
          <w:sz w:val="20"/>
          <w:lang w:val="es-ES"/>
        </w:rPr>
        <w:t xml:space="preserve">Insta </w:t>
      </w:r>
      <w:proofErr w:type="spellStart"/>
      <w:r w:rsidRPr="00F87AF3">
        <w:rPr>
          <w:rFonts w:eastAsiaTheme="minorEastAsia" w:cs="Arial"/>
          <w:i/>
          <w:sz w:val="20"/>
          <w:lang w:val="es-ES"/>
        </w:rPr>
        <w:t>además</w:t>
      </w:r>
      <w:proofErr w:type="spellEnd"/>
      <w:r w:rsidRPr="00F87AF3">
        <w:rPr>
          <w:rFonts w:eastAsiaTheme="minorEastAsia" w:cs="Arial"/>
          <w:i/>
          <w:sz w:val="20"/>
          <w:lang w:val="es-ES"/>
        </w:rPr>
        <w:t xml:space="preserve"> a las Partes a que utilicen, </w:t>
      </w:r>
      <w:proofErr w:type="spellStart"/>
      <w:r w:rsidRPr="00F87AF3">
        <w:rPr>
          <w:rFonts w:eastAsiaTheme="minorEastAsia" w:cs="Arial"/>
          <w:i/>
          <w:sz w:val="20"/>
          <w:lang w:val="es-ES"/>
        </w:rPr>
        <w:t>según</w:t>
      </w:r>
      <w:proofErr w:type="spellEnd"/>
      <w:r w:rsidRPr="00F87AF3">
        <w:rPr>
          <w:rFonts w:eastAsiaTheme="minorEastAsia" w:cs="Arial"/>
          <w:i/>
          <w:sz w:val="20"/>
          <w:lang w:val="es-ES"/>
        </w:rPr>
        <w:t xml:space="preserve"> proceda, la </w:t>
      </w:r>
      <w:proofErr w:type="spellStart"/>
      <w:r w:rsidRPr="00F87AF3">
        <w:rPr>
          <w:rFonts w:eastAsiaTheme="minorEastAsia" w:cs="Arial"/>
          <w:i/>
          <w:sz w:val="20"/>
          <w:lang w:val="es-ES"/>
        </w:rPr>
        <w:t>Evaluación</w:t>
      </w:r>
      <w:proofErr w:type="spellEnd"/>
      <w:r w:rsidRPr="00F87AF3">
        <w:rPr>
          <w:rFonts w:eastAsiaTheme="minorEastAsia" w:cs="Arial"/>
          <w:i/>
          <w:sz w:val="20"/>
          <w:lang w:val="es-ES"/>
        </w:rPr>
        <w:t xml:space="preserve"> de Impacto: Directrices Voluntarias sobre la </w:t>
      </w:r>
      <w:proofErr w:type="spellStart"/>
      <w:r w:rsidRPr="00F87AF3">
        <w:rPr>
          <w:rFonts w:eastAsiaTheme="minorEastAsia" w:cs="Arial"/>
          <w:i/>
          <w:sz w:val="20"/>
          <w:lang w:val="es-ES"/>
        </w:rPr>
        <w:t>Evaluación</w:t>
      </w:r>
      <w:proofErr w:type="spellEnd"/>
      <w:r w:rsidRPr="00F87AF3">
        <w:rPr>
          <w:rFonts w:eastAsiaTheme="minorEastAsia" w:cs="Arial"/>
          <w:i/>
          <w:sz w:val="20"/>
          <w:lang w:val="es-ES"/>
        </w:rPr>
        <w:t xml:space="preserve"> del Impacto que incluya la Diversidad </w:t>
      </w:r>
      <w:proofErr w:type="spellStart"/>
      <w:r w:rsidRPr="00F87AF3">
        <w:rPr>
          <w:rFonts w:eastAsiaTheme="minorEastAsia" w:cs="Arial"/>
          <w:i/>
          <w:sz w:val="20"/>
          <w:lang w:val="es-ES"/>
        </w:rPr>
        <w:t>Biológica</w:t>
      </w:r>
      <w:proofErr w:type="spellEnd"/>
      <w:r w:rsidRPr="00F87AF3">
        <w:rPr>
          <w:rFonts w:eastAsiaTheme="minorEastAsia" w:cs="Arial"/>
          <w:i/>
          <w:sz w:val="20"/>
          <w:lang w:val="es-ES"/>
        </w:rPr>
        <w:t xml:space="preserve"> respaldada por la </w:t>
      </w:r>
      <w:proofErr w:type="spellStart"/>
      <w:r w:rsidRPr="00F87AF3">
        <w:rPr>
          <w:rFonts w:eastAsiaTheme="minorEastAsia" w:cs="Arial"/>
          <w:i/>
          <w:sz w:val="20"/>
          <w:lang w:val="es-ES"/>
        </w:rPr>
        <w:t>Decisión</w:t>
      </w:r>
      <w:proofErr w:type="spellEnd"/>
      <w:r w:rsidRPr="00F87AF3">
        <w:rPr>
          <w:rFonts w:eastAsiaTheme="minorEastAsia" w:cs="Arial"/>
          <w:i/>
          <w:sz w:val="20"/>
          <w:lang w:val="es-ES"/>
        </w:rPr>
        <w:t xml:space="preserve"> VIII/8 de la COP8 de la CDB; </w:t>
      </w:r>
    </w:p>
    <w:p w14:paraId="0ADD2372" w14:textId="77777777" w:rsidR="00BB2D9A" w:rsidRPr="00F87AF3" w:rsidRDefault="00BB2D9A" w:rsidP="00C61C51">
      <w:pPr>
        <w:widowControl w:val="0"/>
        <w:autoSpaceDE w:val="0"/>
        <w:autoSpaceDN w:val="0"/>
        <w:adjustRightInd w:val="0"/>
        <w:spacing w:after="0" w:line="240" w:lineRule="auto"/>
        <w:ind w:left="153"/>
        <w:jc w:val="both"/>
        <w:rPr>
          <w:rFonts w:eastAsiaTheme="minorEastAsia" w:cs="Arial"/>
          <w:i/>
          <w:sz w:val="20"/>
          <w:lang w:val="es-ES"/>
        </w:rPr>
      </w:pPr>
    </w:p>
    <w:p w14:paraId="0300F3CB" w14:textId="6DCAE3A6" w:rsidR="00BB2D9A" w:rsidRPr="00F87AF3" w:rsidRDefault="00BB2D9A" w:rsidP="00C61C51">
      <w:pPr>
        <w:pStyle w:val="ListParagraph"/>
        <w:widowControl w:val="0"/>
        <w:numPr>
          <w:ilvl w:val="0"/>
          <w:numId w:val="17"/>
        </w:numPr>
        <w:tabs>
          <w:tab w:val="clear" w:pos="720"/>
        </w:tabs>
        <w:autoSpaceDE w:val="0"/>
        <w:autoSpaceDN w:val="0"/>
        <w:adjustRightInd w:val="0"/>
        <w:spacing w:after="0" w:line="240" w:lineRule="auto"/>
        <w:ind w:left="1080"/>
        <w:jc w:val="both"/>
        <w:rPr>
          <w:rFonts w:eastAsiaTheme="minorEastAsia" w:cs="Arial"/>
          <w:i/>
          <w:sz w:val="20"/>
          <w:lang w:val="es-ES"/>
        </w:rPr>
      </w:pPr>
      <w:r w:rsidRPr="00F87AF3">
        <w:rPr>
          <w:rFonts w:eastAsiaTheme="minorEastAsia" w:cs="Arial"/>
          <w:i/>
          <w:sz w:val="20"/>
          <w:lang w:val="es-ES"/>
        </w:rPr>
        <w:t xml:space="preserve">Pide </w:t>
      </w:r>
      <w:proofErr w:type="spellStart"/>
      <w:r w:rsidRPr="00F87AF3">
        <w:rPr>
          <w:rFonts w:eastAsiaTheme="minorEastAsia" w:cs="Arial"/>
          <w:i/>
          <w:sz w:val="20"/>
          <w:lang w:val="es-ES"/>
        </w:rPr>
        <w:t>además</w:t>
      </w:r>
      <w:proofErr w:type="spellEnd"/>
      <w:r w:rsidRPr="00F87AF3">
        <w:rPr>
          <w:rFonts w:eastAsiaTheme="minorEastAsia" w:cs="Arial"/>
          <w:i/>
          <w:sz w:val="20"/>
          <w:lang w:val="es-ES"/>
        </w:rPr>
        <w:t xml:space="preserve"> a la </w:t>
      </w:r>
      <w:proofErr w:type="spellStart"/>
      <w:r w:rsidRPr="00F87AF3">
        <w:rPr>
          <w:rFonts w:eastAsiaTheme="minorEastAsia" w:cs="Arial"/>
          <w:i/>
          <w:sz w:val="20"/>
          <w:lang w:val="es-ES"/>
        </w:rPr>
        <w:t>Secretaría</w:t>
      </w:r>
      <w:proofErr w:type="spellEnd"/>
      <w:r w:rsidRPr="00F87AF3">
        <w:rPr>
          <w:rFonts w:eastAsiaTheme="minorEastAsia" w:cs="Arial"/>
          <w:i/>
          <w:sz w:val="20"/>
          <w:lang w:val="es-ES"/>
        </w:rPr>
        <w:t xml:space="preserve"> que mantenga sus contactos con las </w:t>
      </w:r>
      <w:proofErr w:type="spellStart"/>
      <w:r w:rsidRPr="00F87AF3">
        <w:rPr>
          <w:rFonts w:eastAsiaTheme="minorEastAsia" w:cs="Arial"/>
          <w:i/>
          <w:sz w:val="20"/>
          <w:lang w:val="es-ES"/>
        </w:rPr>
        <w:t>Secretarías</w:t>
      </w:r>
      <w:proofErr w:type="spellEnd"/>
      <w:r w:rsidRPr="00F87AF3">
        <w:rPr>
          <w:rFonts w:eastAsiaTheme="minorEastAsia" w:cs="Arial"/>
          <w:i/>
          <w:sz w:val="20"/>
          <w:lang w:val="es-ES"/>
        </w:rPr>
        <w:t xml:space="preserve"> de otros acuerdos multilaterales sobre el medio ambiente, para evaluar con ellas las posibles consecuencias de las decisiones de las Conferencias de las Partes de esos acuerdos sobre la </w:t>
      </w:r>
      <w:proofErr w:type="spellStart"/>
      <w:r w:rsidRPr="00F87AF3">
        <w:rPr>
          <w:rFonts w:eastAsiaTheme="minorEastAsia" w:cs="Arial"/>
          <w:i/>
          <w:sz w:val="20"/>
          <w:lang w:val="es-ES"/>
        </w:rPr>
        <w:t>conservación</w:t>
      </w:r>
      <w:proofErr w:type="spellEnd"/>
      <w:r w:rsidRPr="00F87AF3">
        <w:rPr>
          <w:rFonts w:eastAsiaTheme="minorEastAsia" w:cs="Arial"/>
          <w:i/>
          <w:sz w:val="20"/>
          <w:lang w:val="es-ES"/>
        </w:rPr>
        <w:t xml:space="preserve"> de las especies migratorias; y </w:t>
      </w:r>
    </w:p>
    <w:p w14:paraId="1B8C5663" w14:textId="77777777" w:rsidR="00BB2D9A" w:rsidRPr="00F87AF3" w:rsidRDefault="00BB2D9A" w:rsidP="00C61C51">
      <w:pPr>
        <w:widowControl w:val="0"/>
        <w:autoSpaceDE w:val="0"/>
        <w:autoSpaceDN w:val="0"/>
        <w:adjustRightInd w:val="0"/>
        <w:spacing w:after="0" w:line="240" w:lineRule="auto"/>
        <w:ind w:left="153"/>
        <w:jc w:val="both"/>
        <w:rPr>
          <w:rFonts w:eastAsiaTheme="minorEastAsia" w:cs="Arial"/>
          <w:i/>
          <w:sz w:val="20"/>
          <w:lang w:val="es-ES"/>
        </w:rPr>
      </w:pPr>
    </w:p>
    <w:p w14:paraId="56956DCA" w14:textId="77777777" w:rsidR="00BB2D9A" w:rsidRPr="00F87AF3" w:rsidRDefault="00BB2D9A" w:rsidP="00C61C51">
      <w:pPr>
        <w:pStyle w:val="ListParagraph"/>
        <w:widowControl w:val="0"/>
        <w:numPr>
          <w:ilvl w:val="0"/>
          <w:numId w:val="17"/>
        </w:numPr>
        <w:tabs>
          <w:tab w:val="clear" w:pos="720"/>
        </w:tabs>
        <w:autoSpaceDE w:val="0"/>
        <w:autoSpaceDN w:val="0"/>
        <w:adjustRightInd w:val="0"/>
        <w:spacing w:after="0" w:line="240" w:lineRule="auto"/>
        <w:ind w:left="1080"/>
        <w:jc w:val="both"/>
        <w:rPr>
          <w:rFonts w:eastAsiaTheme="minorEastAsia" w:cs="Arial"/>
          <w:i/>
          <w:sz w:val="20"/>
          <w:lang w:val="es-ES"/>
        </w:rPr>
      </w:pPr>
      <w:r w:rsidRPr="00F87AF3">
        <w:rPr>
          <w:rFonts w:eastAsiaTheme="minorEastAsia" w:cs="Arial"/>
          <w:i/>
          <w:sz w:val="20"/>
          <w:lang w:val="es-ES"/>
        </w:rPr>
        <w:t xml:space="preserve">Alienta a las Partes a que establezcan contactos con los enlaces nacionales correspondientes de las redes de la International Association </w:t>
      </w:r>
      <w:proofErr w:type="spellStart"/>
      <w:r w:rsidRPr="00F87AF3">
        <w:rPr>
          <w:rFonts w:eastAsiaTheme="minorEastAsia" w:cs="Arial"/>
          <w:i/>
          <w:sz w:val="20"/>
          <w:lang w:val="es-ES"/>
        </w:rPr>
        <w:t>for</w:t>
      </w:r>
      <w:proofErr w:type="spellEnd"/>
      <w:r w:rsidRPr="00F87AF3">
        <w:rPr>
          <w:rFonts w:eastAsiaTheme="minorEastAsia" w:cs="Arial"/>
          <w:i/>
          <w:sz w:val="20"/>
          <w:lang w:val="es-ES"/>
        </w:rPr>
        <w:t xml:space="preserve"> </w:t>
      </w:r>
      <w:proofErr w:type="spellStart"/>
      <w:r w:rsidRPr="00F87AF3">
        <w:rPr>
          <w:rFonts w:eastAsiaTheme="minorEastAsia" w:cs="Arial"/>
          <w:i/>
          <w:sz w:val="20"/>
          <w:lang w:val="es-ES"/>
        </w:rPr>
        <w:t>Impact</w:t>
      </w:r>
      <w:proofErr w:type="spellEnd"/>
      <w:r w:rsidRPr="00F87AF3">
        <w:rPr>
          <w:rFonts w:eastAsiaTheme="minorEastAsia" w:cs="Arial"/>
          <w:i/>
          <w:sz w:val="20"/>
          <w:lang w:val="es-ES"/>
        </w:rPr>
        <w:t xml:space="preserve"> </w:t>
      </w:r>
      <w:proofErr w:type="spellStart"/>
      <w:r w:rsidRPr="00F87AF3">
        <w:rPr>
          <w:rFonts w:eastAsiaTheme="minorEastAsia" w:cs="Arial"/>
          <w:i/>
          <w:sz w:val="20"/>
          <w:lang w:val="es-ES"/>
        </w:rPr>
        <w:t>Assessment</w:t>
      </w:r>
      <w:proofErr w:type="spellEnd"/>
      <w:r w:rsidRPr="00F87AF3">
        <w:rPr>
          <w:rFonts w:eastAsiaTheme="minorEastAsia" w:cs="Arial"/>
          <w:i/>
          <w:sz w:val="20"/>
          <w:lang w:val="es-ES"/>
        </w:rPr>
        <w:t xml:space="preserve"> con miras a determinar fuentes de conocimientos especializados y asesoramiento que presten asistencia en la </w:t>
      </w:r>
      <w:proofErr w:type="spellStart"/>
      <w:r w:rsidRPr="00F87AF3">
        <w:rPr>
          <w:rFonts w:eastAsiaTheme="minorEastAsia" w:cs="Arial"/>
          <w:i/>
          <w:sz w:val="20"/>
          <w:lang w:val="es-ES"/>
        </w:rPr>
        <w:t>evaluación</w:t>
      </w:r>
      <w:proofErr w:type="spellEnd"/>
      <w:r w:rsidRPr="00F87AF3">
        <w:rPr>
          <w:rFonts w:eastAsiaTheme="minorEastAsia" w:cs="Arial"/>
          <w:i/>
          <w:sz w:val="20"/>
          <w:lang w:val="es-ES"/>
        </w:rPr>
        <w:t xml:space="preserve"> de los efectos en las especies migratorias como parte de los procedimientos de </w:t>
      </w:r>
      <w:proofErr w:type="spellStart"/>
      <w:r w:rsidRPr="00F87AF3">
        <w:rPr>
          <w:rFonts w:eastAsiaTheme="minorEastAsia" w:cs="Arial"/>
          <w:i/>
          <w:sz w:val="20"/>
          <w:lang w:val="es-ES"/>
        </w:rPr>
        <w:t>evaluación</w:t>
      </w:r>
      <w:proofErr w:type="spellEnd"/>
      <w:r w:rsidRPr="00F87AF3">
        <w:rPr>
          <w:rFonts w:eastAsiaTheme="minorEastAsia" w:cs="Arial"/>
          <w:i/>
          <w:sz w:val="20"/>
          <w:lang w:val="es-ES"/>
        </w:rPr>
        <w:t xml:space="preserve"> de los efectos en general. </w:t>
      </w:r>
    </w:p>
    <w:p w14:paraId="65FCA7B3" w14:textId="77777777" w:rsidR="00BB2D9A" w:rsidRPr="00F87AF3" w:rsidRDefault="00BB2D9A" w:rsidP="00C61C51">
      <w:pPr>
        <w:pStyle w:val="Firstnumbering1"/>
        <w:numPr>
          <w:ilvl w:val="0"/>
          <w:numId w:val="0"/>
        </w:numPr>
        <w:ind w:left="567"/>
      </w:pPr>
    </w:p>
    <w:p w14:paraId="14469F54" w14:textId="3D5D3F2E" w:rsidR="00BB2D9A" w:rsidRPr="00F87AF3" w:rsidRDefault="006A7F5E" w:rsidP="00C61C51">
      <w:pPr>
        <w:pStyle w:val="Firstnumbering1"/>
        <w:numPr>
          <w:ilvl w:val="0"/>
          <w:numId w:val="0"/>
        </w:numPr>
        <w:ind w:left="567" w:hanging="567"/>
        <w:rPr>
          <w:u w:val="single"/>
        </w:rPr>
      </w:pPr>
      <w:r w:rsidRPr="00F87AF3">
        <w:rPr>
          <w:u w:val="single"/>
        </w:rPr>
        <w:t>Actividades para aplicar la Resolución 7.2 (Rev.COP12)</w:t>
      </w:r>
    </w:p>
    <w:p w14:paraId="3D4D9004" w14:textId="639ACE28" w:rsidR="006A7F5E" w:rsidRPr="00F87AF3" w:rsidRDefault="006A7F5E" w:rsidP="00C61C51">
      <w:pPr>
        <w:pStyle w:val="Firstnumbering1"/>
        <w:numPr>
          <w:ilvl w:val="0"/>
          <w:numId w:val="0"/>
        </w:numPr>
        <w:ind w:left="567" w:hanging="567"/>
        <w:rPr>
          <w:u w:val="single"/>
        </w:rPr>
      </w:pPr>
    </w:p>
    <w:p w14:paraId="44E3B32A" w14:textId="09D01178" w:rsidR="006A7F5E" w:rsidRPr="00F87AF3" w:rsidRDefault="006A7F5E" w:rsidP="00C61C51">
      <w:pPr>
        <w:pStyle w:val="Firstnumbering1"/>
        <w:numPr>
          <w:ilvl w:val="0"/>
          <w:numId w:val="0"/>
        </w:numPr>
        <w:ind w:left="567" w:hanging="567"/>
        <w:rPr>
          <w:i/>
          <w:iCs/>
        </w:rPr>
      </w:pPr>
      <w:r w:rsidRPr="00F87AF3">
        <w:rPr>
          <w:i/>
          <w:iCs/>
        </w:rPr>
        <w:t>Directrices elaboradas en el marco de la CMS</w:t>
      </w:r>
    </w:p>
    <w:p w14:paraId="22D502CD" w14:textId="76DFFC2A" w:rsidR="00F04234" w:rsidRPr="00F87AF3" w:rsidRDefault="00F04234" w:rsidP="00C61C51">
      <w:pPr>
        <w:spacing w:after="0" w:line="240" w:lineRule="auto"/>
        <w:rPr>
          <w:lang w:val="es-ES"/>
        </w:rPr>
      </w:pPr>
    </w:p>
    <w:p w14:paraId="49E9FEDE" w14:textId="571B2613" w:rsidR="006A7F5E" w:rsidRPr="00F87AF3" w:rsidRDefault="006A7F5E" w:rsidP="00C61C51">
      <w:pPr>
        <w:pStyle w:val="Firstnumbering1"/>
        <w:ind w:left="567" w:hanging="567"/>
      </w:pPr>
      <w:r w:rsidRPr="00F87AF3">
        <w:t>Desde la adopción de la Resolución 7.2 en 2002, la Secretaría de la CMS ha asistido a las Partes en la aplicación de la Resolución de diversas maneras. Bajo el Grupo Operativo de múltiples partes interesadas sobre la conciliación de determinados desarrollos del sector energético con la conservación de las especies migratorias (Grupo Operativo sobre la energía) establecido por la Resolución 11.27 (Rev.COP12)</w:t>
      </w:r>
      <w:r w:rsidR="0060754A">
        <w:t xml:space="preserve"> </w:t>
      </w:r>
      <w:r w:rsidR="0060754A" w:rsidRPr="0060754A">
        <w:rPr>
          <w:i/>
          <w:iCs/>
        </w:rPr>
        <w:t>Energía Renovable y Especies Migratorias</w:t>
      </w:r>
      <w:r w:rsidRPr="00F87AF3">
        <w:t xml:space="preserve">, se ha promovido la aplicación de directrices tales como las </w:t>
      </w:r>
      <w:r w:rsidRPr="0060754A">
        <w:rPr>
          <w:i/>
          <w:iCs/>
        </w:rPr>
        <w:t>Directrices sobre cómo evitar o mitigar el impacto de las redes eléctricas sobre las aves migratorias en la región de África y Eurasia</w:t>
      </w:r>
      <w:r w:rsidRPr="00F87AF3">
        <w:t xml:space="preserve">. El Grupo Operativo </w:t>
      </w:r>
      <w:r w:rsidR="0060754A">
        <w:t xml:space="preserve">sobre la energía </w:t>
      </w:r>
      <w:r w:rsidRPr="00F87AF3">
        <w:t>tiene una composición abierta y está compuesto por gobiernos, las secretarías de los acuerdos ambientales multilaterales, la industria energética, instituciones académicas, organizaciones no gubernamentales</w:t>
      </w:r>
      <w:r w:rsidR="0060754A">
        <w:t xml:space="preserve"> </w:t>
      </w:r>
      <w:r w:rsidRPr="00F87AF3">
        <w:t>y otros interesados</w:t>
      </w:r>
      <w:r w:rsidR="009F45DD" w:rsidRPr="00F87AF3">
        <w:rPr>
          <w:rStyle w:val="FootnoteReference"/>
          <w:vertAlign w:val="superscript"/>
        </w:rPr>
        <w:footnoteReference w:id="1"/>
      </w:r>
      <w:r w:rsidRPr="00F87AF3">
        <w:t xml:space="preserve">. </w:t>
      </w:r>
    </w:p>
    <w:p w14:paraId="4F9CD13A" w14:textId="602E01C4" w:rsidR="003043A4" w:rsidRDefault="003043A4">
      <w:pPr>
        <w:rPr>
          <w:rFonts w:eastAsia="Times New Roman" w:cs="Arial"/>
          <w:lang w:val="es-ES" w:eastAsia="es-ES"/>
        </w:rPr>
      </w:pPr>
      <w:r>
        <w:rPr>
          <w:rFonts w:eastAsia="Times New Roman" w:cs="Arial"/>
          <w:lang w:val="es-ES" w:eastAsia="es-ES"/>
        </w:rPr>
        <w:br w:type="page"/>
      </w:r>
    </w:p>
    <w:p w14:paraId="1DB80C1D" w14:textId="597F577B" w:rsidR="009F45DD" w:rsidRPr="00F87AF3" w:rsidRDefault="009F45DD" w:rsidP="00C61C51">
      <w:pPr>
        <w:pStyle w:val="Firstnumbering1"/>
        <w:ind w:left="567" w:hanging="567"/>
      </w:pPr>
      <w:r w:rsidRPr="00F87AF3">
        <w:lastRenderedPageBreak/>
        <w:t xml:space="preserve">Las Partes adoptaron la Resolución 12.14 </w:t>
      </w:r>
      <w:r w:rsidRPr="00C61C51">
        <w:rPr>
          <w:i/>
        </w:rPr>
        <w:t>Impactos adversos del ruido antropogénico sobre los cetáceos y otras especies migratorias</w:t>
      </w:r>
      <w:r w:rsidRPr="00F87AF3">
        <w:t xml:space="preserve"> y aprobaron las </w:t>
      </w:r>
      <w:r w:rsidRPr="00DF783E">
        <w:rPr>
          <w:i/>
          <w:iCs/>
        </w:rPr>
        <w:t>Directrices de la Familia CMS sobre las Evaluaciones de Impacto Ambiental para las actividades generadoras de ruido marino</w:t>
      </w:r>
      <w:r w:rsidRPr="00F87AF3">
        <w:t>. Las Directrices abordan las EIA para el sonar de alta potencia militar y civil, el tráfico de embarcaciones, los estudios sísmicos, las obras de construcción, las plataformas en alta mar, la reproducción y los experimentos de exposición al sonido, los dispositivos acústicos de disuasión (</w:t>
      </w:r>
      <w:proofErr w:type="spellStart"/>
      <w:r w:rsidRPr="00F87AF3">
        <w:t>pingers</w:t>
      </w:r>
      <w:proofErr w:type="spellEnd"/>
      <w:r w:rsidRPr="00F87AF3">
        <w:t>) y otras actividades de generación de ruido. También se ha preparado información adicional de apoyo técnico</w:t>
      </w:r>
      <w:r w:rsidRPr="00F87AF3">
        <w:rPr>
          <w:rStyle w:val="FootnoteReference"/>
          <w:vertAlign w:val="superscript"/>
        </w:rPr>
        <w:footnoteReference w:id="2"/>
      </w:r>
      <w:r w:rsidRPr="00F87AF3">
        <w:rPr>
          <w:vertAlign w:val="superscript"/>
        </w:rPr>
        <w:t>,</w:t>
      </w:r>
      <w:r w:rsidRPr="00F87AF3">
        <w:rPr>
          <w:rStyle w:val="FootnoteReference"/>
          <w:vertAlign w:val="superscript"/>
        </w:rPr>
        <w:footnoteReference w:id="3"/>
      </w:r>
      <w:r w:rsidRPr="00F87AF3">
        <w:t xml:space="preserve">.  </w:t>
      </w:r>
    </w:p>
    <w:p w14:paraId="054BF044" w14:textId="77777777" w:rsidR="009F45DD" w:rsidRPr="00F87AF3" w:rsidRDefault="009F45DD" w:rsidP="00C61C51">
      <w:pPr>
        <w:pStyle w:val="Firstnumbering1"/>
        <w:numPr>
          <w:ilvl w:val="0"/>
          <w:numId w:val="0"/>
        </w:numPr>
      </w:pPr>
    </w:p>
    <w:p w14:paraId="1678E418" w14:textId="2662FDD4" w:rsidR="009F45DD" w:rsidRPr="00F87AF3" w:rsidRDefault="009F45DD" w:rsidP="00C61C51">
      <w:pPr>
        <w:pStyle w:val="Firstnumbering1"/>
        <w:ind w:left="567" w:hanging="567"/>
      </w:pPr>
      <w:r w:rsidRPr="00F87AF3">
        <w:t xml:space="preserve">Para el desarrollo de la infraestructura lineal, incluyendo carreteras, cercas, canales, ferrocarriles y oleoductos, las </w:t>
      </w:r>
      <w:r w:rsidRPr="00DF783E">
        <w:rPr>
          <w:i/>
          <w:iCs/>
        </w:rPr>
        <w:t>Directrices para abordar el impacto de la infraestructura lineal en los grandes mamíferos migratorios de Asia Central</w:t>
      </w:r>
      <w:r w:rsidRPr="00F87AF3">
        <w:t xml:space="preserve"> y el Atlas de la infraestructura lineal y la migración de los mamíferos de Asia Central se han desarrollado en el marco de la Iniciativa para los Mamíferos de Asia Central (CAMI). Si bien las directrices establecen principios generales para abordar el impacto de la infraestructura lineal, el alcance geográfico previsto se limita a la región de Asia Central. En el caso de los antílopes saiga, el informe Saiga </w:t>
      </w:r>
      <w:proofErr w:type="spellStart"/>
      <w:r w:rsidRPr="00F87AF3">
        <w:t>Crossing</w:t>
      </w:r>
      <w:proofErr w:type="spellEnd"/>
      <w:r w:rsidRPr="00F87AF3">
        <w:t xml:space="preserve"> </w:t>
      </w:r>
      <w:proofErr w:type="spellStart"/>
      <w:r w:rsidRPr="00F87AF3">
        <w:t>Options</w:t>
      </w:r>
      <w:proofErr w:type="spellEnd"/>
      <w:r w:rsidRPr="00F87AF3">
        <w:t xml:space="preserve"> se desarrolló para proporcionar orientación sobre las opciones de mitigación para un muro fronterizo dentro del área de distribución de la especie entre Kazajstán y Uzbekistán. </w:t>
      </w:r>
    </w:p>
    <w:p w14:paraId="117EBA98" w14:textId="77777777" w:rsidR="009F45DD" w:rsidRPr="00F87AF3" w:rsidRDefault="009F45DD" w:rsidP="00C61C51">
      <w:pPr>
        <w:pStyle w:val="ListParagraph"/>
        <w:spacing w:after="0" w:line="240" w:lineRule="auto"/>
        <w:rPr>
          <w:lang w:val="es-ES"/>
        </w:rPr>
      </w:pPr>
    </w:p>
    <w:p w14:paraId="3EB06E28" w14:textId="6961D83D" w:rsidR="009F45DD" w:rsidRPr="00F87AF3" w:rsidRDefault="009F45DD" w:rsidP="00C61C51">
      <w:pPr>
        <w:pStyle w:val="Firstnumbering1"/>
        <w:ind w:left="567" w:hanging="567"/>
      </w:pPr>
      <w:r w:rsidRPr="00F87AF3">
        <w:t>Hasta ahora, gran parte de la labor en el marco de la CMS se ha concentrado en proporcionar orientación técnica sobre proyectos que afectan principalmente a las especies aviares o acuáticas. Las directrices, el atlas y los informes preparados en el marco de la CAMI sobre el desarrollo de la infraestructura lineal han sido el único material de orientación producido en el marco de la CMS en relación con los proyectos de desarrollo que afectan a las especies migratorias terrestres. Para otras regiones y especies terrestres incluidas en la lista de la CMS que no están incluidas en la CAMI, no se han producido materiales de orientación sobre este tema bajo la CMS.</w:t>
      </w:r>
    </w:p>
    <w:p w14:paraId="36D32BE2" w14:textId="5EB29363" w:rsidR="009F45DD" w:rsidRPr="00F87AF3" w:rsidRDefault="009F45DD" w:rsidP="00C61C51">
      <w:pPr>
        <w:pStyle w:val="Firstnumbering1"/>
        <w:numPr>
          <w:ilvl w:val="0"/>
          <w:numId w:val="0"/>
        </w:numPr>
      </w:pPr>
    </w:p>
    <w:p w14:paraId="03CD2AE3" w14:textId="421B7E90" w:rsidR="00072A0D" w:rsidRDefault="00072A0D" w:rsidP="00C61C51">
      <w:pPr>
        <w:pStyle w:val="Firstnumbering1"/>
        <w:numPr>
          <w:ilvl w:val="0"/>
          <w:numId w:val="0"/>
        </w:numPr>
        <w:rPr>
          <w:i/>
          <w:iCs/>
        </w:rPr>
      </w:pPr>
      <w:r w:rsidRPr="00F87AF3">
        <w:rPr>
          <w:i/>
          <w:iCs/>
        </w:rPr>
        <w:t>Medidas nacionales</w:t>
      </w:r>
    </w:p>
    <w:p w14:paraId="33D32791" w14:textId="77777777" w:rsidR="00965F00" w:rsidRPr="00F87AF3" w:rsidRDefault="00965F00" w:rsidP="00C61C51">
      <w:pPr>
        <w:pStyle w:val="Firstnumbering1"/>
        <w:numPr>
          <w:ilvl w:val="0"/>
          <w:numId w:val="0"/>
        </w:numPr>
        <w:rPr>
          <w:i/>
          <w:iCs/>
        </w:rPr>
      </w:pPr>
    </w:p>
    <w:p w14:paraId="400E41B9" w14:textId="7A459C3A" w:rsidR="00965F00" w:rsidRDefault="00965F00" w:rsidP="00C61C51">
      <w:pPr>
        <w:pStyle w:val="Firstnumbering1"/>
        <w:ind w:left="567" w:hanging="567"/>
      </w:pPr>
      <w:r w:rsidRPr="00965F00">
        <w:t>Una reciente evaluación mundial de la legislación sobre EIA</w:t>
      </w:r>
      <w:r w:rsidRPr="002A3C18">
        <w:rPr>
          <w:vertAlign w:val="superscript"/>
        </w:rPr>
        <w:footnoteReference w:id="4"/>
      </w:r>
      <w:r w:rsidRPr="002A3C18">
        <w:rPr>
          <w:vertAlign w:val="superscript"/>
        </w:rPr>
        <w:t xml:space="preserve"> </w:t>
      </w:r>
      <w:r w:rsidRPr="00965F00">
        <w:t xml:space="preserve"> mostró que la mayoría de los países han hecho de la realización de EIA un requisito legal y un número creciente de países han hecho también de las EAE un requisito legal. </w:t>
      </w:r>
      <w:r w:rsidRPr="00F87AF3">
        <w:t xml:space="preserve">Empero, el nivel de consideración de las especies migratorias en los procesos nacionales de EIA y </w:t>
      </w:r>
      <w:r>
        <w:t>E</w:t>
      </w:r>
      <w:r w:rsidRPr="00F87AF3">
        <w:t>A</w:t>
      </w:r>
      <w:r>
        <w:t>E</w:t>
      </w:r>
      <w:r w:rsidRPr="00F87AF3">
        <w:t xml:space="preserve"> no ha sido bien examinado. En el marco de CAMI se llevó a cabo un análisis de la legislación nacional de los ocho países</w:t>
      </w:r>
      <w:r w:rsidRPr="004266CB">
        <w:footnoteReference w:id="5"/>
      </w:r>
      <w:r w:rsidRPr="00F87AF3">
        <w:t xml:space="preserve"> de Asia Central. El mismo mostró que existen pocas referencias directas a la infraestructura lineal, a las especies migratorias o a los impactos transfronterizos, que afectan a múltiples países, en la legislación nacional. Sólo la legislación de Kazajstán requiere explícitamente la consideración de las especies migratorias durante la construcción de la infraestructura lineal. La mitad de los países requirió la evaluación de los impactos transfronterizos. Una orientación adicional sobre la legislación nacional, tal como a través del Programa de Legislación Naciona</w:t>
      </w:r>
      <w:r w:rsidRPr="00C61C51">
        <w:rPr>
          <w:sz w:val="16"/>
          <w:szCs w:val="16"/>
          <w:vertAlign w:val="superscript"/>
        </w:rPr>
        <w:t>l</w:t>
      </w:r>
      <w:r w:rsidRPr="00C61C51">
        <w:rPr>
          <w:sz w:val="16"/>
          <w:szCs w:val="16"/>
          <w:vertAlign w:val="superscript"/>
        </w:rPr>
        <w:footnoteReference w:id="6"/>
      </w:r>
      <w:r w:rsidRPr="00C61C51">
        <w:rPr>
          <w:sz w:val="16"/>
          <w:szCs w:val="16"/>
          <w:vertAlign w:val="superscript"/>
        </w:rPr>
        <w:t>,</w:t>
      </w:r>
      <w:r w:rsidRPr="00F87AF3">
        <w:t xml:space="preserve"> podría ser útil para resolver estas lagunas en la legislación nacional.</w:t>
      </w:r>
    </w:p>
    <w:p w14:paraId="26B2F3C6" w14:textId="77777777" w:rsidR="00B86332" w:rsidRPr="00F87AF3" w:rsidRDefault="00B86332" w:rsidP="00C61C51">
      <w:pPr>
        <w:pStyle w:val="Firstnumbering1"/>
        <w:numPr>
          <w:ilvl w:val="0"/>
          <w:numId w:val="0"/>
        </w:numPr>
        <w:ind w:left="720"/>
      </w:pPr>
    </w:p>
    <w:p w14:paraId="65F3AF21" w14:textId="7CDCABEF" w:rsidR="00B86332" w:rsidRPr="00F87AF3" w:rsidRDefault="00B86332" w:rsidP="00C61C51">
      <w:pPr>
        <w:pStyle w:val="Firstnumbering1"/>
        <w:ind w:left="567" w:hanging="567"/>
      </w:pPr>
      <w:r w:rsidRPr="00F87AF3">
        <w:t>Los informes nacionales presentados por las Partes a la COP13 no proporcionan suficientes detalles sobre las medidas específicas que las Partes han adoptado hasta la fecha para aplicar el párrafo 2 de la Resolución 7.2 (Rev.COP12)</w:t>
      </w:r>
      <w:r w:rsidR="002A3C18">
        <w:t xml:space="preserve"> </w:t>
      </w:r>
      <w:r w:rsidR="002A3C18" w:rsidRPr="002A3C18">
        <w:t>que insta a las Partes a considerar los impactos sobre las especies migratorias en los procesos EIA y EA</w:t>
      </w:r>
      <w:r w:rsidR="00A71ED2">
        <w:t>E</w:t>
      </w:r>
      <w:r w:rsidRPr="00F87AF3">
        <w:t>. Se requiere un mayor análisis para determinar los retos que enfrentan las Partes para identificar, prevenir y mitigar el impacto del desarrollo de la infraestructura lineal sobre las especies migratorias y sus hábitats como parte de los procesos EIA y EA</w:t>
      </w:r>
      <w:r w:rsidR="00F87AF3">
        <w:t>E</w:t>
      </w:r>
      <w:r w:rsidRPr="00F87AF3">
        <w:t>. Sobre la base del análisis, podrían identificarse áreas para el desarrollo de la capacidad.</w:t>
      </w:r>
    </w:p>
    <w:p w14:paraId="4C3A50CA" w14:textId="18677787" w:rsidR="00B86332" w:rsidRPr="00F87AF3" w:rsidRDefault="00B86332" w:rsidP="00C61C51">
      <w:pPr>
        <w:spacing w:after="0" w:line="240" w:lineRule="auto"/>
        <w:ind w:left="360"/>
        <w:rPr>
          <w:lang w:val="es-ES"/>
        </w:rPr>
      </w:pPr>
    </w:p>
    <w:p w14:paraId="54612506" w14:textId="133F2709" w:rsidR="009F7E6D" w:rsidRPr="00F87AF3" w:rsidRDefault="009F7E6D" w:rsidP="00C61C51">
      <w:pPr>
        <w:pStyle w:val="Firstnumbering1"/>
        <w:numPr>
          <w:ilvl w:val="0"/>
          <w:numId w:val="0"/>
        </w:numPr>
        <w:rPr>
          <w:u w:val="single"/>
        </w:rPr>
      </w:pPr>
      <w:r w:rsidRPr="00F87AF3">
        <w:rPr>
          <w:u w:val="single"/>
        </w:rPr>
        <w:t>Cooperación con otros acuerdos multilaterales sobre el medio ambiente</w:t>
      </w:r>
    </w:p>
    <w:p w14:paraId="78C93D23" w14:textId="77777777" w:rsidR="009F7E6D" w:rsidRPr="00F87AF3" w:rsidRDefault="009F7E6D" w:rsidP="00C61C51">
      <w:pPr>
        <w:pStyle w:val="Firstnumbering1"/>
        <w:numPr>
          <w:ilvl w:val="0"/>
          <w:numId w:val="0"/>
        </w:numPr>
        <w:rPr>
          <w:u w:val="single"/>
        </w:rPr>
      </w:pPr>
    </w:p>
    <w:p w14:paraId="38345F57" w14:textId="12B4BF0A" w:rsidR="00B86332" w:rsidRPr="00F87AF3" w:rsidRDefault="00B86332" w:rsidP="00C61C51">
      <w:pPr>
        <w:pStyle w:val="Firstnumbering1"/>
        <w:ind w:left="567" w:hanging="567"/>
      </w:pPr>
      <w:r w:rsidRPr="00F87AF3">
        <w:t>De conformidad con el párrafo 4 de la Resolución 7.2 (Rev. COP12), la Secretaría siguió de cerca la evolución del Convenio sobre la Diversidad Biológica (CDB). En 2017, la Secretaría del CDB llevó a cabo un estudio independiente sobre la aplicación de las evaluaciones de impacto que incluyen la diversidad biológica, en particular la aplicación de las Directrices Voluntarias sobre la Evaluación del Impacto que incluya la Diversidad Biológica, a la que también se hace referencia en el párrafo 3 de la Resolución 7.2 (Rev.COP12) de la CMS.  El estudio concluyó que se debe prestar más atención a las evaluaciones de impacto en el examen de la incorporación sectorial e intersectorial de la diversidad biológica</w:t>
      </w:r>
      <w:r w:rsidR="009F7E6D" w:rsidRPr="00F87AF3">
        <w:rPr>
          <w:rStyle w:val="FootnoteReference"/>
          <w:vertAlign w:val="superscript"/>
        </w:rPr>
        <w:footnoteReference w:id="7"/>
      </w:r>
      <w:r w:rsidRPr="00F87AF3">
        <w:t>.</w:t>
      </w:r>
    </w:p>
    <w:p w14:paraId="0F54FFC1" w14:textId="77777777" w:rsidR="009F7E6D" w:rsidRPr="00F87AF3" w:rsidRDefault="009F7E6D" w:rsidP="00C61C51">
      <w:pPr>
        <w:pStyle w:val="ListParagraph"/>
        <w:spacing w:after="0" w:line="240" w:lineRule="auto"/>
        <w:rPr>
          <w:lang w:val="es-ES"/>
        </w:rPr>
      </w:pPr>
    </w:p>
    <w:p w14:paraId="76E020BE" w14:textId="6C5E4AC8" w:rsidR="009F7E6D" w:rsidRPr="00F87AF3" w:rsidRDefault="009F7E6D" w:rsidP="00C61C51">
      <w:pPr>
        <w:pStyle w:val="Firstnumbering1"/>
        <w:ind w:left="567" w:hanging="567"/>
      </w:pPr>
      <w:r w:rsidRPr="00F87AF3">
        <w:t>Posteriormente, las Partes en el CDB adoptaron la Decisión 14/3, Incorporación de la diversidad biológica en los sectores de la energía y la minería, la infraestructura, la manufactura y el procesamiento (COP14 del CDB, Sharm El-</w:t>
      </w:r>
      <w:proofErr w:type="spellStart"/>
      <w:r w:rsidRPr="00F87AF3">
        <w:t>Sheikh</w:t>
      </w:r>
      <w:proofErr w:type="spellEnd"/>
      <w:r w:rsidRPr="00F87AF3">
        <w:t>, 2018). La Decisión incluía disposiciones relacionadas con el uso de las EAE y las EIA</w:t>
      </w:r>
      <w:r w:rsidRPr="00F87AF3">
        <w:rPr>
          <w:rStyle w:val="FootnoteReference"/>
          <w:vertAlign w:val="superscript"/>
        </w:rPr>
        <w:footnoteReference w:id="8"/>
      </w:r>
      <w:r w:rsidRPr="00F87AF3">
        <w:t>. Para la incorporación de la diversidad biológica en el sector de la infraestructura, la aplicación de las acciones identificadas en las EIA y los planes de gestión ambiental asociados se ha identificado como uno de los principales desafíos</w:t>
      </w:r>
      <w:r w:rsidRPr="00F87AF3">
        <w:rPr>
          <w:rStyle w:val="FootnoteReference"/>
          <w:vertAlign w:val="superscript"/>
        </w:rPr>
        <w:footnoteReference w:id="9"/>
      </w:r>
      <w:r w:rsidRPr="00F87AF3">
        <w:t xml:space="preserve">.  </w:t>
      </w:r>
    </w:p>
    <w:p w14:paraId="4106EEE4" w14:textId="77777777" w:rsidR="00B86332" w:rsidRPr="00F87AF3" w:rsidRDefault="00B86332" w:rsidP="00C61C51">
      <w:pPr>
        <w:pStyle w:val="ListParagraph"/>
        <w:spacing w:after="0" w:line="240" w:lineRule="auto"/>
        <w:rPr>
          <w:lang w:val="es-ES"/>
        </w:rPr>
      </w:pPr>
    </w:p>
    <w:p w14:paraId="5C00D060" w14:textId="3991D8AC" w:rsidR="00B86332" w:rsidRPr="00F87AF3" w:rsidRDefault="009F7E6D" w:rsidP="00C61C51">
      <w:pPr>
        <w:pStyle w:val="Firstnumbering1"/>
        <w:numPr>
          <w:ilvl w:val="0"/>
          <w:numId w:val="0"/>
        </w:numPr>
        <w:rPr>
          <w:u w:val="single"/>
        </w:rPr>
      </w:pPr>
      <w:r w:rsidRPr="00F87AF3">
        <w:rPr>
          <w:u w:val="single"/>
        </w:rPr>
        <w:t>Reglas y normas de los prestamistas</w:t>
      </w:r>
    </w:p>
    <w:p w14:paraId="05A6D477" w14:textId="6E520859" w:rsidR="00B86332" w:rsidRPr="00F87AF3" w:rsidRDefault="00B86332" w:rsidP="00C61C51">
      <w:pPr>
        <w:pStyle w:val="Firstnumbering1"/>
        <w:numPr>
          <w:ilvl w:val="0"/>
          <w:numId w:val="0"/>
        </w:numPr>
        <w:rPr>
          <w:u w:val="single"/>
        </w:rPr>
      </w:pPr>
    </w:p>
    <w:p w14:paraId="5C172D13" w14:textId="58088725" w:rsidR="009F7E6D" w:rsidRPr="00F87AF3" w:rsidRDefault="009F7E6D" w:rsidP="00C61C51">
      <w:pPr>
        <w:pStyle w:val="Firstnumbering1"/>
        <w:ind w:left="567" w:hanging="567"/>
      </w:pPr>
      <w:r w:rsidRPr="00F87AF3">
        <w:t>Las instituciones financieras desempeñan un papel crucial en la adopción de buenas prácticas de evaluación del impacto ambiental y social. Por ejemplo, bajo la Norma de Desempeño 6 de la Cooperación Financiera Internacional (</w:t>
      </w:r>
      <w:r w:rsidR="006C281D" w:rsidRPr="00F87AF3">
        <w:t>IFC</w:t>
      </w:r>
      <w:r w:rsidRPr="00F87AF3">
        <w:t xml:space="preserve">) sobre la conservación de la diversidad biológica y la gestión sostenible de los recursos naturales vivos, los hábitats críticos se determinan sobre la base de cinco criterios, incluido uno específico para las especies migratorias o </w:t>
      </w:r>
      <w:proofErr w:type="spellStart"/>
      <w:r w:rsidRPr="00F87AF3">
        <w:t>congregatorias</w:t>
      </w:r>
      <w:proofErr w:type="spellEnd"/>
      <w:r w:rsidRPr="00F87AF3">
        <w:t xml:space="preserve"> </w:t>
      </w:r>
      <w:r w:rsidRPr="00F87AF3">
        <w:rPr>
          <w:rStyle w:val="FootnoteReference"/>
          <w:vertAlign w:val="superscript"/>
        </w:rPr>
        <w:footnoteReference w:id="10"/>
      </w:r>
      <w:r w:rsidRPr="00F87AF3">
        <w:rPr>
          <w:vertAlign w:val="superscript"/>
        </w:rPr>
        <w:t>,</w:t>
      </w:r>
      <w:r w:rsidRPr="00F87AF3">
        <w:rPr>
          <w:rStyle w:val="FootnoteReference"/>
          <w:vertAlign w:val="superscript"/>
        </w:rPr>
        <w:footnoteReference w:id="11"/>
      </w:r>
      <w:r w:rsidRPr="00F87AF3">
        <w:t xml:space="preserve">. Los clientes de la </w:t>
      </w:r>
      <w:r w:rsidR="006C281D" w:rsidRPr="00F87AF3">
        <w:t>IFC</w:t>
      </w:r>
      <w:r w:rsidRPr="00F87AF3">
        <w:t xml:space="preserve"> no implementarán ningún proyecto en áreas de hábitats críticos, a menos que se cumplan condiciones excepcionales</w:t>
      </w:r>
      <w:r w:rsidRPr="00F87AF3">
        <w:rPr>
          <w:rStyle w:val="FootnoteReference"/>
          <w:vertAlign w:val="superscript"/>
        </w:rPr>
        <w:footnoteReference w:id="12"/>
      </w:r>
      <w:r w:rsidRPr="00F87AF3">
        <w:t>. De manera similar, bajo las Políticas Ambientales y Sociales del Banco Mundial sobre Hábitats Naturales (OP 4.04), los sitios que son críticos para especies raras, vulnerables, migratorias o en peligro de extinción son considerados como hábitats naturales críticos</w:t>
      </w:r>
      <w:r w:rsidRPr="00F87AF3">
        <w:rPr>
          <w:rStyle w:val="FootnoteReference"/>
          <w:vertAlign w:val="superscript"/>
        </w:rPr>
        <w:footnoteReference w:id="13"/>
      </w:r>
      <w:r w:rsidRPr="00F87AF3">
        <w:t>. El Banco no apoya proyectos que impliquen una conversión o degradación significativa de los hábitats naturales críticos</w:t>
      </w:r>
      <w:r w:rsidRPr="00F87AF3">
        <w:rPr>
          <w:rStyle w:val="FootnoteReference"/>
          <w:vertAlign w:val="superscript"/>
        </w:rPr>
        <w:footnoteReference w:id="14"/>
      </w:r>
      <w:r w:rsidRPr="00F87AF3">
        <w:rPr>
          <w:vertAlign w:val="superscript"/>
        </w:rPr>
        <w:t>,</w:t>
      </w:r>
      <w:r w:rsidRPr="00F87AF3">
        <w:rPr>
          <w:rStyle w:val="FootnoteReference"/>
          <w:vertAlign w:val="superscript"/>
        </w:rPr>
        <w:footnoteReference w:id="15"/>
      </w:r>
      <w:r w:rsidRPr="00F87AF3">
        <w:rPr>
          <w:vertAlign w:val="superscript"/>
        </w:rPr>
        <w:t>.</w:t>
      </w:r>
      <w:r w:rsidRPr="00F87AF3">
        <w:t>. Los bancos multilaterales que aún no tienen una norma estricta podrían adoptar estas normas de desempeño existentes.</w:t>
      </w:r>
    </w:p>
    <w:p w14:paraId="5A358B7A" w14:textId="52C1EFEB" w:rsidR="003E1611" w:rsidRDefault="003E1611" w:rsidP="00C61C51">
      <w:pPr>
        <w:spacing w:after="0" w:line="240" w:lineRule="auto"/>
        <w:rPr>
          <w:rFonts w:eastAsia="Times New Roman" w:cs="Arial"/>
          <w:lang w:val="es-ES" w:eastAsia="es-ES"/>
        </w:rPr>
      </w:pPr>
      <w:r w:rsidRPr="003E1611">
        <w:rPr>
          <w:lang w:val="es-ES"/>
        </w:rPr>
        <w:br w:type="page"/>
      </w:r>
    </w:p>
    <w:p w14:paraId="751DDA04" w14:textId="77777777" w:rsidR="006C281D" w:rsidRPr="00F87AF3" w:rsidRDefault="006C281D" w:rsidP="00C61C51">
      <w:pPr>
        <w:pStyle w:val="Firstnumbering1"/>
        <w:numPr>
          <w:ilvl w:val="0"/>
          <w:numId w:val="0"/>
        </w:numPr>
        <w:ind w:left="720"/>
      </w:pPr>
    </w:p>
    <w:p w14:paraId="46004C2A" w14:textId="1BE492EE" w:rsidR="006C281D" w:rsidRPr="00F87AF3" w:rsidRDefault="006C281D" w:rsidP="00C61C51">
      <w:pPr>
        <w:pStyle w:val="Firstnumbering1"/>
        <w:ind w:left="567" w:hanging="567"/>
      </w:pPr>
      <w:r w:rsidRPr="00F87AF3">
        <w:t>Los Principios de Ecuador son un marco voluntario de gestión de riesgos adoptado por 99 instituciones financieras privadas. Estas instituciones cubren el 70 por ciento de la deuda internacional de financiación de proyectos en los mercados emergentes</w:t>
      </w:r>
      <w:r w:rsidRPr="00F87AF3">
        <w:rPr>
          <w:rStyle w:val="FootnoteReference"/>
          <w:vertAlign w:val="superscript"/>
        </w:rPr>
        <w:footnoteReference w:id="16"/>
      </w:r>
      <w:r w:rsidRPr="00F87AF3">
        <w:t xml:space="preserve">. Basándose en las normas de la IFC, los Principios Ecuatoriales definen los hábitats que sustentan concentraciones importantes de especies migratorias y/o </w:t>
      </w:r>
      <w:proofErr w:type="spellStart"/>
      <w:r w:rsidRPr="00F87AF3">
        <w:t>congregatorias</w:t>
      </w:r>
      <w:proofErr w:type="spellEnd"/>
      <w:r w:rsidRPr="00F87AF3">
        <w:t xml:space="preserve"> a nivel mundial como un hábitat crítico</w:t>
      </w:r>
      <w:r w:rsidRPr="00F87AF3">
        <w:rPr>
          <w:rStyle w:val="FootnoteReference"/>
          <w:vertAlign w:val="superscript"/>
        </w:rPr>
        <w:footnoteReference w:id="17"/>
      </w:r>
      <w:r w:rsidRPr="00F87AF3">
        <w:t>.</w:t>
      </w:r>
    </w:p>
    <w:p w14:paraId="3D3E9A75" w14:textId="77777777" w:rsidR="006C281D" w:rsidRPr="00F87AF3" w:rsidRDefault="006C281D" w:rsidP="00C61C51">
      <w:pPr>
        <w:pStyle w:val="ListParagraph"/>
        <w:spacing w:after="0" w:line="240" w:lineRule="auto"/>
        <w:ind w:left="567" w:hanging="567"/>
        <w:rPr>
          <w:lang w:val="es-ES"/>
        </w:rPr>
      </w:pPr>
    </w:p>
    <w:p w14:paraId="2AE5641E" w14:textId="1433ED91" w:rsidR="006C281D" w:rsidRPr="00F87AF3" w:rsidRDefault="006C281D" w:rsidP="00C61C51">
      <w:pPr>
        <w:pStyle w:val="Firstnumbering1"/>
        <w:ind w:left="567" w:hanging="567"/>
      </w:pPr>
      <w:r w:rsidRPr="00F87AF3">
        <w:t xml:space="preserve">Otros prestamistas podrían seguir los estándares y normas para las evaluaciones ambientales establecidas por los países anfitriones. Sin embargo, es posible que la legislación y los reglamentos nacionales existentes no sean tan estrictos como los establecidos por los prestamistas, como las Normas de Desempeño de la IFC, para abordar los riesgos ambientales de un proyecto.  </w:t>
      </w:r>
    </w:p>
    <w:p w14:paraId="1C302C1B" w14:textId="77777777" w:rsidR="006C281D" w:rsidRPr="00F87AF3" w:rsidRDefault="006C281D" w:rsidP="00C61C51">
      <w:pPr>
        <w:pStyle w:val="ListParagraph"/>
        <w:spacing w:after="0" w:line="240" w:lineRule="auto"/>
        <w:ind w:left="567" w:hanging="567"/>
        <w:rPr>
          <w:lang w:val="es-ES"/>
        </w:rPr>
      </w:pPr>
    </w:p>
    <w:p w14:paraId="272D9EC1" w14:textId="189144CA" w:rsidR="006C281D" w:rsidRPr="00F87AF3" w:rsidRDefault="006C281D" w:rsidP="00C61C51">
      <w:pPr>
        <w:pStyle w:val="Firstnumbering1"/>
        <w:ind w:left="567" w:hanging="567"/>
      </w:pPr>
      <w:r w:rsidRPr="00F87AF3">
        <w:t>Los Bancos de Desarrollo Multilaterales tienen el mandato de desarrollar sistemas y capacidades nacionales para la gestión de los riesgos ambientales y sociales y, por lo tanto, desempeñan un papel clave en la asistencia a los gobiernos para fortalecer las salvaguardias para hacer frente a los impactos sobre las especies migratorias. Otras instituciones financieras pueden también catalizar la adopción de las salvaguardias, como se hace en virtud del Principio del Ecuador. Por consiguiente, la cooperación con las instituciones financieras es crucial para hacer frente al impacto de la infraestructura sobre las especies migratorias.</w:t>
      </w:r>
    </w:p>
    <w:p w14:paraId="1F1E8E22" w14:textId="77777777" w:rsidR="006C281D" w:rsidRPr="00F87AF3" w:rsidRDefault="006C281D" w:rsidP="00C61C51">
      <w:pPr>
        <w:pStyle w:val="ListParagraph"/>
        <w:spacing w:after="0" w:line="240" w:lineRule="auto"/>
        <w:rPr>
          <w:lang w:val="es-ES"/>
        </w:rPr>
      </w:pPr>
    </w:p>
    <w:p w14:paraId="1808A7EB" w14:textId="050BCE85" w:rsidR="006C281D" w:rsidRPr="00F87AF3" w:rsidRDefault="006C281D" w:rsidP="00C61C51">
      <w:pPr>
        <w:pStyle w:val="Firstnumbering1"/>
        <w:numPr>
          <w:ilvl w:val="0"/>
          <w:numId w:val="0"/>
        </w:numPr>
        <w:rPr>
          <w:u w:val="single"/>
        </w:rPr>
      </w:pPr>
      <w:r w:rsidRPr="00F87AF3">
        <w:rPr>
          <w:u w:val="single"/>
        </w:rPr>
        <w:t>Discusión y análisis</w:t>
      </w:r>
    </w:p>
    <w:p w14:paraId="568C4AEF" w14:textId="5F238ADD" w:rsidR="006C281D" w:rsidRPr="00F87AF3" w:rsidRDefault="006C281D" w:rsidP="00C61C51">
      <w:pPr>
        <w:pStyle w:val="Firstnumbering1"/>
        <w:numPr>
          <w:ilvl w:val="0"/>
          <w:numId w:val="0"/>
        </w:numPr>
      </w:pPr>
    </w:p>
    <w:p w14:paraId="71932A88" w14:textId="55213A80" w:rsidR="006C281D" w:rsidRPr="00F87AF3" w:rsidRDefault="006C281D" w:rsidP="00C61C51">
      <w:pPr>
        <w:pStyle w:val="Firstnumbering1"/>
        <w:numPr>
          <w:ilvl w:val="0"/>
          <w:numId w:val="0"/>
        </w:numPr>
        <w:rPr>
          <w:i/>
          <w:iCs/>
        </w:rPr>
      </w:pPr>
      <w:r w:rsidRPr="00F87AF3">
        <w:rPr>
          <w:i/>
          <w:iCs/>
        </w:rPr>
        <w:t>Abordar el impacto de la infraestructura lineal en las especies migratorias</w:t>
      </w:r>
    </w:p>
    <w:p w14:paraId="1DD35C36" w14:textId="29F5B9B1" w:rsidR="006C281D" w:rsidRPr="00F87AF3" w:rsidRDefault="006C281D" w:rsidP="00C61C51">
      <w:pPr>
        <w:pStyle w:val="Firstnumbering1"/>
        <w:numPr>
          <w:ilvl w:val="0"/>
          <w:numId w:val="0"/>
        </w:numPr>
        <w:rPr>
          <w:i/>
          <w:iCs/>
        </w:rPr>
      </w:pPr>
    </w:p>
    <w:p w14:paraId="525091A3" w14:textId="77F0007D" w:rsidR="0039486C" w:rsidRDefault="006C281D" w:rsidP="00C61C51">
      <w:pPr>
        <w:pStyle w:val="Firstnumbering1"/>
        <w:ind w:left="709" w:hanging="709"/>
      </w:pPr>
      <w:r w:rsidRPr="00F87AF3">
        <w:t>Se prevé que en todo el mundo se construirán al menos 25 millones de kilómetros de nuevas carreteras para 2050. Esto supondrá un aumento del 60 por ciento a partir de 2010</w:t>
      </w:r>
      <w:r w:rsidRPr="00F87AF3">
        <w:rPr>
          <w:rStyle w:val="FootnoteReference"/>
          <w:vertAlign w:val="superscript"/>
        </w:rPr>
        <w:footnoteReference w:id="18"/>
      </w:r>
      <w:r w:rsidRPr="00F87AF3">
        <w:t>. Asimismo, se prevé que en los próximos 40 años se construirán otros 335.000 kilómetros de vías férreas para atender la creciente demanda de viajes de pasajeros y mercancías</w:t>
      </w:r>
      <w:r w:rsidRPr="00F87AF3">
        <w:rPr>
          <w:rStyle w:val="FootnoteReference"/>
          <w:vertAlign w:val="superscript"/>
        </w:rPr>
        <w:footnoteReference w:id="19"/>
      </w:r>
      <w:r w:rsidRPr="00F87AF3">
        <w:t>.</w:t>
      </w:r>
    </w:p>
    <w:p w14:paraId="4D4FB94A" w14:textId="77777777" w:rsidR="0039486C" w:rsidRDefault="0039486C" w:rsidP="00C61C51">
      <w:pPr>
        <w:pStyle w:val="Firstnumbering1"/>
        <w:numPr>
          <w:ilvl w:val="0"/>
          <w:numId w:val="0"/>
        </w:numPr>
        <w:ind w:left="709" w:hanging="709"/>
      </w:pPr>
    </w:p>
    <w:p w14:paraId="3E884BF4" w14:textId="2751CC14" w:rsidR="00154590" w:rsidRDefault="0039486C" w:rsidP="00C61C51">
      <w:pPr>
        <w:pStyle w:val="Firstnumbering1"/>
        <w:ind w:left="709" w:hanging="709"/>
      </w:pPr>
      <w:r w:rsidRPr="0039486C">
        <w:t>Si bien la infraestructura lineal proporciona múltiples beneficios socioeconómicos, tiene numerosos impactos sobre las especies migratorias, tales como la fragmentación del hábitat, las barreras a los movimientos, las colisiones, las perturbaciones y la contaminación. Las carreteras, las vías férreas y las cercas no sólo crean barreras para el movimiento de los animales, sino que también constituyen una amenaza directa, ya que los animales a menudo mueren al intentar cruzarlas, ya sea por colisión con vehículos o trenes o por enredarse en las cercas de alambre de púas.  La pérdida de la conectividad del hábitat conduce al aislamiento genético, dejando a las poblaciones más pequeñas y aisladas más vulnerables y propensas a la extinción local. El desarrollo de infraestructura lineal también tiene impactos indirectos como el aumento de la caza furtiva debido a la mejora del acceso a los animales, los asentamientos humanos y las perturbaciones.</w:t>
      </w:r>
    </w:p>
    <w:p w14:paraId="080EE00E" w14:textId="77777777" w:rsidR="00BE5188" w:rsidRPr="0039486C" w:rsidRDefault="00BE5188" w:rsidP="00C61C51">
      <w:pPr>
        <w:pStyle w:val="Firstnumbering1"/>
        <w:numPr>
          <w:ilvl w:val="0"/>
          <w:numId w:val="0"/>
        </w:numPr>
        <w:ind w:left="709" w:hanging="709"/>
      </w:pPr>
    </w:p>
    <w:p w14:paraId="1E15E89D" w14:textId="16E689C3" w:rsidR="00154590" w:rsidRDefault="00154590" w:rsidP="00C61C51">
      <w:pPr>
        <w:pStyle w:val="Firstnumbering1"/>
        <w:ind w:left="709" w:hanging="709"/>
      </w:pPr>
      <w:r w:rsidRPr="00F87AF3">
        <w:t>Dado el rápido aumento del desarrollo de la infraestructura lineal en todo el mundo, la necesidad de adoptar medidas para conservar las especies incluidas en la lista de la CMS es especialmente urgente.</w:t>
      </w:r>
    </w:p>
    <w:p w14:paraId="253FB032" w14:textId="77777777" w:rsidR="0058075A" w:rsidRPr="0058075A" w:rsidRDefault="0058075A" w:rsidP="00C61C51">
      <w:pPr>
        <w:pStyle w:val="Firstnumbering1"/>
        <w:numPr>
          <w:ilvl w:val="0"/>
          <w:numId w:val="0"/>
        </w:numPr>
      </w:pPr>
    </w:p>
    <w:p w14:paraId="745FE660" w14:textId="1CA3B080" w:rsidR="00154590" w:rsidRPr="00F87AF3" w:rsidRDefault="00154590" w:rsidP="00C61C51">
      <w:pPr>
        <w:pStyle w:val="Firstnumbering1"/>
        <w:ind w:left="567" w:hanging="567"/>
      </w:pPr>
      <w:r w:rsidRPr="00F87AF3">
        <w:t xml:space="preserve">Para prevenir y mitigar el impacto de la infraestructura lineal sobre las especies migratorias, es necesario tener en cuenta todo el ciclo de desarrollo de la infraestructura, desde la planificación hasta la clausura, y aplicar consideraciones y salvaguardias ambientales y </w:t>
      </w:r>
      <w:r w:rsidRPr="00F87AF3">
        <w:lastRenderedPageBreak/>
        <w:t>sociales en una etapa temprana. Los instrumentos de planificación, tales como las EAE, podrían utilizarse para abordar las políticas y los planes a nivel nacional, paisajístico o sectorial antes de que se ejecuten los proyectos individuales.</w:t>
      </w:r>
    </w:p>
    <w:p w14:paraId="59CCD105" w14:textId="77777777" w:rsidR="00154590" w:rsidRPr="00F87AF3" w:rsidRDefault="00154590" w:rsidP="00C61C51">
      <w:pPr>
        <w:pStyle w:val="ListParagraph"/>
        <w:spacing w:after="0" w:line="240" w:lineRule="auto"/>
        <w:ind w:left="567" w:hanging="567"/>
        <w:rPr>
          <w:lang w:val="es-ES"/>
        </w:rPr>
      </w:pPr>
    </w:p>
    <w:p w14:paraId="4EB6E71B" w14:textId="09D21623" w:rsidR="00154590" w:rsidRPr="00F87AF3" w:rsidRDefault="00154590" w:rsidP="00C61C51">
      <w:pPr>
        <w:pStyle w:val="Firstnumbering1"/>
        <w:ind w:left="567" w:hanging="567"/>
      </w:pPr>
      <w:r w:rsidRPr="00F87AF3">
        <w:t>Es necesario disponer de información sobre las especies migratorias y sus hábitats para garantizar que se tengan en cuenta las consideraciones relativas a las especies migratorias durante las fases de planificación. Empero, la falta de datos disponibles, accesibles y apropiados</w:t>
      </w:r>
      <w:r w:rsidRPr="00F87AF3">
        <w:rPr>
          <w:rStyle w:val="FootnoteReference"/>
          <w:vertAlign w:val="superscript"/>
        </w:rPr>
        <w:footnoteReference w:id="20"/>
      </w:r>
      <w:r w:rsidRPr="00F87AF3">
        <w:t>, inclusive los relativos a las especies migratorias, tales como las rutas y las pautas migratorias, parece constituir un reto importante en los procesos EIA y EAE.</w:t>
      </w:r>
    </w:p>
    <w:p w14:paraId="4F70D91A" w14:textId="77777777" w:rsidR="00154590" w:rsidRPr="00F87AF3" w:rsidRDefault="00154590" w:rsidP="00C61C51">
      <w:pPr>
        <w:pStyle w:val="ListParagraph"/>
        <w:spacing w:after="0" w:line="240" w:lineRule="auto"/>
        <w:ind w:left="567" w:hanging="567"/>
        <w:rPr>
          <w:lang w:val="es-ES"/>
        </w:rPr>
      </w:pPr>
    </w:p>
    <w:p w14:paraId="4341D40D" w14:textId="2024C04E" w:rsidR="00154590" w:rsidRPr="00F87AF3" w:rsidRDefault="00154590" w:rsidP="00C61C51">
      <w:pPr>
        <w:pStyle w:val="Firstnumbering1"/>
        <w:ind w:left="567" w:hanging="567"/>
      </w:pPr>
      <w:r w:rsidRPr="00F87AF3">
        <w:t>Si bien en general no se incluye en la legislación nacional de EIA</w:t>
      </w:r>
      <w:r w:rsidRPr="00F87AF3">
        <w:rPr>
          <w:rStyle w:val="FootnoteReference"/>
          <w:vertAlign w:val="superscript"/>
        </w:rPr>
        <w:footnoteReference w:id="21"/>
      </w:r>
      <w:r w:rsidRPr="00F87AF3">
        <w:t>, la jerarquía de la mitigación</w:t>
      </w:r>
      <w:r w:rsidR="0052535C" w:rsidRPr="00F87AF3">
        <w:rPr>
          <w:rStyle w:val="FootnoteReference"/>
          <w:vertAlign w:val="superscript"/>
        </w:rPr>
        <w:footnoteReference w:id="22"/>
      </w:r>
      <w:r w:rsidR="0052535C" w:rsidRPr="00F87AF3">
        <w:rPr>
          <w:vertAlign w:val="superscript"/>
        </w:rPr>
        <w:t xml:space="preserve"> </w:t>
      </w:r>
      <w:r w:rsidRPr="00F87AF3">
        <w:t xml:space="preserve"> debe aplicarse para dar prioridad a los esfuerzos encaminados a evitar los impactos sobre la minimización, la rehabilitación o las compensaciones. Ya se dispone de una serie de documentos de orientación</w:t>
      </w:r>
      <w:r w:rsidR="00B106FD" w:rsidRPr="00F87AF3">
        <w:rPr>
          <w:rStyle w:val="FootnoteReference"/>
          <w:vertAlign w:val="superscript"/>
        </w:rPr>
        <w:footnoteReference w:id="23"/>
      </w:r>
      <w:r w:rsidR="00B106FD" w:rsidRPr="00F87AF3">
        <w:t xml:space="preserve"> </w:t>
      </w:r>
      <w:r w:rsidRPr="00F87AF3">
        <w:t xml:space="preserve"> y normas</w:t>
      </w:r>
      <w:r w:rsidR="00B106FD" w:rsidRPr="00F87AF3">
        <w:rPr>
          <w:rStyle w:val="FootnoteReference"/>
          <w:vertAlign w:val="superscript"/>
        </w:rPr>
        <w:footnoteReference w:id="24"/>
      </w:r>
      <w:r w:rsidRPr="00F87AF3">
        <w:t xml:space="preserve"> sobre el desarrollo de infraestructuras lineales para ayudar a las Partes a evitar y mitigar los efectos de las infraestructuras lineales. Sin embargo, los materiales de orientación específicos sobre el tratamiento de los impactos sobre las especies migratorias han sido limitados. Además, la información sobre las medidas específicas para cada especie para evitar y mitigar los impactos negativos de la infraestructura lineal parece ser bastante escasa</w:t>
      </w:r>
      <w:r w:rsidR="00D702AA" w:rsidRPr="00F87AF3">
        <w:rPr>
          <w:rStyle w:val="FootnoteReference"/>
          <w:vertAlign w:val="superscript"/>
        </w:rPr>
        <w:footnoteReference w:id="25"/>
      </w:r>
      <w:r w:rsidR="00D702AA" w:rsidRPr="00F87AF3">
        <w:t>.</w:t>
      </w:r>
    </w:p>
    <w:p w14:paraId="35737943" w14:textId="77777777" w:rsidR="00D702AA" w:rsidRPr="00F87AF3" w:rsidRDefault="00D702AA" w:rsidP="00C61C51">
      <w:pPr>
        <w:pStyle w:val="ListParagraph"/>
        <w:spacing w:after="0" w:line="240" w:lineRule="auto"/>
        <w:ind w:left="567" w:hanging="567"/>
        <w:rPr>
          <w:lang w:val="es-ES"/>
        </w:rPr>
      </w:pPr>
    </w:p>
    <w:p w14:paraId="3CF245FB" w14:textId="75E0F1FA" w:rsidR="00D702AA" w:rsidRPr="00F87AF3" w:rsidRDefault="00D702AA" w:rsidP="00C61C51">
      <w:pPr>
        <w:pStyle w:val="Firstnumbering1"/>
        <w:ind w:left="567" w:hanging="567"/>
      </w:pPr>
      <w:r w:rsidRPr="00F87AF3">
        <w:t>Se necesita un análisis adicional con la participación de expertos e interesados pertinentes que participan en el desarrollo de la infraestructura lineal para identificar más áreas prioritarias de intervención en el marco de la CMS. Los diferentes interesados pueden enfrentarse a diferentes retos al considerar la conservación de las especies migratorias en diferentes etapas del desarrollo de la infraestructura, tales como la planificación, el diseño, la financiación y la construcción. Por lo tanto, un enfoque de múltiples partes interesadas sería útil para identificar los retos y oportunidades para abordar mejor el impacto de la infraestructura lineal en las especies migratorias.</w:t>
      </w:r>
    </w:p>
    <w:p w14:paraId="64BA586A" w14:textId="033ADDD0" w:rsidR="00D702AA" w:rsidRPr="00F87AF3" w:rsidRDefault="00D702AA" w:rsidP="00C61C51">
      <w:pPr>
        <w:spacing w:after="0" w:line="240" w:lineRule="auto"/>
        <w:rPr>
          <w:i/>
          <w:iCs/>
          <w:lang w:val="es-ES"/>
        </w:rPr>
      </w:pPr>
    </w:p>
    <w:p w14:paraId="045C1F80" w14:textId="41DA4E2F" w:rsidR="00D702AA" w:rsidRPr="00F87AF3" w:rsidRDefault="00D702AA" w:rsidP="00C61C51">
      <w:pPr>
        <w:spacing w:after="0" w:line="240" w:lineRule="auto"/>
        <w:rPr>
          <w:i/>
          <w:iCs/>
          <w:lang w:val="es-ES"/>
        </w:rPr>
      </w:pPr>
      <w:r w:rsidRPr="00F87AF3">
        <w:rPr>
          <w:i/>
          <w:iCs/>
          <w:lang w:val="es-ES"/>
        </w:rPr>
        <w:t>Tipos adicionales de infraestructura que pueden afectar a las especies migratorias</w:t>
      </w:r>
    </w:p>
    <w:p w14:paraId="51AFEA3F" w14:textId="32659804" w:rsidR="00D702AA" w:rsidRPr="00F87AF3" w:rsidRDefault="00D702AA" w:rsidP="00C61C51">
      <w:pPr>
        <w:pStyle w:val="Firstnumbering1"/>
        <w:ind w:left="567" w:hanging="567"/>
      </w:pPr>
      <w:r w:rsidRPr="00F87AF3">
        <w:t>Además de la infraestructura lineal, hay otros tipos de desarrollo de infraestructura que no están siendo examinados actualmente bajo las corrientes de trabajo de la CMS. Estos incluyen la infraestructura asociada con las áreas urbanas de rápida expansión, las telecomunicaciones y el desarrollo costero.</w:t>
      </w:r>
    </w:p>
    <w:p w14:paraId="7E859855" w14:textId="77777777" w:rsidR="00D702AA" w:rsidRPr="00F87AF3" w:rsidRDefault="00D702AA" w:rsidP="00C61C51">
      <w:pPr>
        <w:pStyle w:val="Firstnumbering1"/>
        <w:numPr>
          <w:ilvl w:val="0"/>
          <w:numId w:val="0"/>
        </w:numPr>
        <w:ind w:left="567" w:hanging="567"/>
      </w:pPr>
    </w:p>
    <w:p w14:paraId="691053A4" w14:textId="5A8421A8" w:rsidR="00D702AA" w:rsidRPr="00F87AF3" w:rsidRDefault="00D702AA" w:rsidP="00C61C51">
      <w:pPr>
        <w:pStyle w:val="Firstnumbering1"/>
        <w:ind w:left="567" w:hanging="567"/>
      </w:pPr>
      <w:r w:rsidRPr="00F87AF3">
        <w:t xml:space="preserve">Por ejemplo, mientras que las </w:t>
      </w:r>
      <w:r w:rsidRPr="00F87AF3">
        <w:rPr>
          <w:i/>
          <w:iCs/>
        </w:rPr>
        <w:t>Directrices de la Familia CMS</w:t>
      </w:r>
      <w:r w:rsidRPr="00F87AF3">
        <w:t xml:space="preserve"> se han preparado sobre las actividades de generación de ruido en el medio ambiente marino, otras amenazas para las especies acuáticas relacionadas con el desarrollo de la infraestructura no se abordan todavía a través de ningún documento de orientación. Estas incluyen los impactos del desarrollo costero en las playas de anidación de las tortugas, incluyendo la construcción de casas, hoteles, restaurantes y carreteras frente a la playa, así como las alteraciones en los hábitats de muchas especies a través de la renovación de la playa, la construcción de diques, o el dragado cerca de la costa y la construcción de plataformas petrolíferas.</w:t>
      </w:r>
    </w:p>
    <w:p w14:paraId="5E52E1C3" w14:textId="77777777" w:rsidR="00D702AA" w:rsidRPr="00F87AF3" w:rsidRDefault="00D702AA" w:rsidP="00C61C51">
      <w:pPr>
        <w:pStyle w:val="ListParagraph"/>
        <w:spacing w:after="0" w:line="240" w:lineRule="auto"/>
        <w:rPr>
          <w:lang w:val="es-ES"/>
        </w:rPr>
      </w:pPr>
    </w:p>
    <w:p w14:paraId="1A0C20CC" w14:textId="594D7539" w:rsidR="00D702AA" w:rsidRPr="00F87AF3" w:rsidRDefault="00D702AA" w:rsidP="00C61C51">
      <w:pPr>
        <w:pStyle w:val="Firstnumbering1"/>
        <w:ind w:left="567" w:hanging="567"/>
      </w:pPr>
      <w:r w:rsidRPr="00F87AF3">
        <w:t xml:space="preserve">Por lo tanto, la Secretaría podría llevar a cabo un análisis adicional y proporcionar orientación sobre cómo hacer frente a esas amenazas, en colaboración con el Consejo Científico, así como con otras entidades y expertos.  </w:t>
      </w:r>
    </w:p>
    <w:p w14:paraId="25511AD8" w14:textId="77777777" w:rsidR="006C281D" w:rsidRPr="00F87AF3" w:rsidRDefault="006C281D" w:rsidP="00C61C51">
      <w:pPr>
        <w:pStyle w:val="Firstnumbering1"/>
        <w:numPr>
          <w:ilvl w:val="0"/>
          <w:numId w:val="0"/>
        </w:numPr>
      </w:pPr>
    </w:p>
    <w:p w14:paraId="6A7A0A7F" w14:textId="77777777" w:rsidR="00F04234" w:rsidRPr="00F87AF3" w:rsidRDefault="00F04234" w:rsidP="00C61C51">
      <w:pPr>
        <w:spacing w:after="0" w:line="240" w:lineRule="auto"/>
        <w:rPr>
          <w:rFonts w:cs="Arial"/>
          <w:u w:val="single"/>
          <w:lang w:val="es-ES"/>
        </w:rPr>
      </w:pPr>
      <w:r w:rsidRPr="00F87AF3">
        <w:rPr>
          <w:rFonts w:cs="Arial"/>
          <w:u w:val="single"/>
          <w:lang w:val="es-ES"/>
        </w:rPr>
        <w:t>Acciones recomendadas:</w:t>
      </w:r>
    </w:p>
    <w:p w14:paraId="66F1895E" w14:textId="77777777" w:rsidR="00F04234" w:rsidRPr="00F87AF3" w:rsidRDefault="00F04234" w:rsidP="00C61C51">
      <w:pPr>
        <w:spacing w:after="0" w:line="240" w:lineRule="auto"/>
        <w:rPr>
          <w:rFonts w:cs="Arial"/>
          <w:u w:val="single"/>
          <w:lang w:val="es-ES"/>
        </w:rPr>
      </w:pPr>
    </w:p>
    <w:p w14:paraId="5B2FD62E" w14:textId="77777777" w:rsidR="00F04234" w:rsidRPr="00F87AF3" w:rsidRDefault="00F04234" w:rsidP="00C61C51">
      <w:pPr>
        <w:pStyle w:val="Firstnumbering1"/>
        <w:ind w:left="567" w:hanging="720"/>
      </w:pPr>
      <w:r w:rsidRPr="00F87AF3">
        <w:t>Se recomienda a</w:t>
      </w:r>
      <w:r w:rsidR="00551BC0" w:rsidRPr="00F87AF3">
        <w:t xml:space="preserve"> </w:t>
      </w:r>
      <w:r w:rsidRPr="00F87AF3">
        <w:t>l</w:t>
      </w:r>
      <w:r w:rsidR="00551BC0" w:rsidRPr="00F87AF3">
        <w:t>a</w:t>
      </w:r>
      <w:r w:rsidRPr="00F87AF3">
        <w:t xml:space="preserve"> Con</w:t>
      </w:r>
      <w:r w:rsidR="00551BC0" w:rsidRPr="00F87AF3">
        <w:t>ferencia de las Partes</w:t>
      </w:r>
      <w:r w:rsidRPr="00F87AF3">
        <w:t xml:space="preserve">:  </w:t>
      </w:r>
    </w:p>
    <w:p w14:paraId="5538864A" w14:textId="77777777" w:rsidR="00F04234" w:rsidRPr="00F87AF3" w:rsidRDefault="00F04234" w:rsidP="00C61C51">
      <w:pPr>
        <w:widowControl w:val="0"/>
        <w:suppressAutoHyphens/>
        <w:autoSpaceDE w:val="0"/>
        <w:autoSpaceDN w:val="0"/>
        <w:spacing w:after="0" w:line="240" w:lineRule="auto"/>
        <w:ind w:left="504"/>
        <w:contextualSpacing/>
        <w:jc w:val="both"/>
        <w:textAlignment w:val="baseline"/>
        <w:rPr>
          <w:rFonts w:eastAsia="Times New Roman" w:cs="Arial"/>
          <w:sz w:val="20"/>
          <w:szCs w:val="24"/>
          <w:lang w:val="es-ES"/>
        </w:rPr>
      </w:pPr>
    </w:p>
    <w:p w14:paraId="004ED0DB" w14:textId="246146FA" w:rsidR="00D702AA" w:rsidRPr="00F87AF3" w:rsidRDefault="00D702AA" w:rsidP="00C61C51">
      <w:pPr>
        <w:pStyle w:val="ListParagraph"/>
        <w:numPr>
          <w:ilvl w:val="0"/>
          <w:numId w:val="25"/>
        </w:numPr>
        <w:spacing w:after="0" w:line="240" w:lineRule="auto"/>
        <w:ind w:left="993" w:hanging="426"/>
        <w:jc w:val="both"/>
        <w:rPr>
          <w:rFonts w:cs="Arial"/>
          <w:lang w:val="es-ES"/>
        </w:rPr>
      </w:pPr>
      <w:r w:rsidRPr="00F87AF3">
        <w:rPr>
          <w:rFonts w:cs="Arial"/>
          <w:lang w:val="es-ES"/>
        </w:rPr>
        <w:t xml:space="preserve">adoptar los proyectos de decisión que figuran en el Anexo del presente documento; y </w:t>
      </w:r>
    </w:p>
    <w:p w14:paraId="6AAF029A" w14:textId="77777777" w:rsidR="00D702AA" w:rsidRPr="00F87AF3" w:rsidRDefault="00D702AA" w:rsidP="00C61C51">
      <w:pPr>
        <w:spacing w:after="0" w:line="240" w:lineRule="auto"/>
        <w:ind w:left="993" w:hanging="426"/>
        <w:jc w:val="both"/>
        <w:rPr>
          <w:rFonts w:cs="Arial"/>
          <w:lang w:val="es-ES"/>
        </w:rPr>
      </w:pPr>
    </w:p>
    <w:p w14:paraId="5B5EF6A6" w14:textId="77744B67" w:rsidR="00F04234" w:rsidRPr="00F87AF3" w:rsidRDefault="00D702AA" w:rsidP="00C61C51">
      <w:pPr>
        <w:pStyle w:val="ListParagraph"/>
        <w:numPr>
          <w:ilvl w:val="0"/>
          <w:numId w:val="25"/>
        </w:numPr>
        <w:spacing w:after="0" w:line="240" w:lineRule="auto"/>
        <w:ind w:left="993" w:hanging="426"/>
        <w:jc w:val="both"/>
        <w:rPr>
          <w:rFonts w:eastAsia="Times New Roman" w:cs="Arial"/>
          <w:sz w:val="24"/>
          <w:szCs w:val="24"/>
          <w:lang w:val="es-ES"/>
        </w:rPr>
      </w:pPr>
      <w:r w:rsidRPr="00F87AF3">
        <w:rPr>
          <w:rFonts w:cs="Arial"/>
          <w:lang w:val="es-ES"/>
        </w:rPr>
        <w:t xml:space="preserve">considerar si se añaden las Decisiones sobre el desarrollo de orientaciones sobre los impactos relacionados con la infraestructura en las playas y los hábitats cercanos a la costa de las especies enumeradas por la CMS a los proyectos de Decisión contenidos en los Documentos 26.2.6 </w:t>
      </w:r>
      <w:r w:rsidRPr="00F87AF3">
        <w:rPr>
          <w:rFonts w:cs="Arial"/>
          <w:i/>
          <w:iCs/>
          <w:lang w:val="es-ES"/>
        </w:rPr>
        <w:t>Tortugas Marinas</w:t>
      </w:r>
      <w:r w:rsidRPr="00F87AF3">
        <w:rPr>
          <w:rFonts w:cs="Arial"/>
          <w:lang w:val="es-ES"/>
        </w:rPr>
        <w:t xml:space="preserve"> o 26.2.10 </w:t>
      </w:r>
      <w:r w:rsidRPr="00F87AF3">
        <w:rPr>
          <w:rFonts w:cs="Arial"/>
          <w:i/>
          <w:iCs/>
          <w:lang w:val="es-ES"/>
        </w:rPr>
        <w:t xml:space="preserve">Programa </w:t>
      </w:r>
      <w:r w:rsidR="00C61C51">
        <w:rPr>
          <w:rFonts w:cs="Arial"/>
          <w:i/>
          <w:iCs/>
          <w:lang w:val="es-ES"/>
        </w:rPr>
        <w:t xml:space="preserve">mundial </w:t>
      </w:r>
      <w:r w:rsidRPr="00F87AF3">
        <w:rPr>
          <w:rFonts w:cs="Arial"/>
          <w:i/>
          <w:iCs/>
          <w:lang w:val="es-ES"/>
        </w:rPr>
        <w:t>de trabajo para los cetáceos</w:t>
      </w:r>
      <w:r w:rsidRPr="00F87AF3">
        <w:rPr>
          <w:rFonts w:cs="Arial"/>
          <w:lang w:val="es-ES"/>
        </w:rPr>
        <w:t>.</w:t>
      </w:r>
    </w:p>
    <w:p w14:paraId="65293344" w14:textId="77777777" w:rsidR="00F04234" w:rsidRPr="00F87AF3" w:rsidRDefault="00F04234" w:rsidP="00F04234">
      <w:pPr>
        <w:spacing w:after="0" w:line="240" w:lineRule="auto"/>
        <w:ind w:left="504"/>
        <w:contextualSpacing/>
        <w:rPr>
          <w:rFonts w:eastAsia="Times New Roman" w:cs="Arial"/>
          <w:sz w:val="24"/>
          <w:szCs w:val="24"/>
          <w:lang w:val="es-ES"/>
        </w:rPr>
      </w:pPr>
    </w:p>
    <w:p w14:paraId="20636B8D" w14:textId="77777777" w:rsidR="00D702AA" w:rsidRPr="00F87AF3" w:rsidRDefault="00D702AA" w:rsidP="00D702AA">
      <w:pPr>
        <w:pStyle w:val="Title1"/>
        <w:spacing w:after="0"/>
        <w:jc w:val="left"/>
        <w:sectPr w:rsidR="00D702AA" w:rsidRPr="00F87AF3" w:rsidSect="00C61C5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3" w:left="1134" w:header="720" w:footer="720" w:gutter="0"/>
          <w:cols w:space="720"/>
          <w:titlePg/>
          <w:docGrid w:linePitch="360"/>
        </w:sectPr>
      </w:pPr>
    </w:p>
    <w:p w14:paraId="47033A3E" w14:textId="77777777" w:rsidR="00D702AA"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right"/>
        <w:textAlignment w:val="baseline"/>
        <w:outlineLvl w:val="1"/>
        <w:rPr>
          <w:rFonts w:eastAsia="Times New Roman" w:cs="Arial"/>
          <w:b/>
          <w:bCs/>
          <w:lang w:val="es-ES"/>
        </w:rPr>
      </w:pPr>
      <w:r w:rsidRPr="00F87AF3">
        <w:rPr>
          <w:rFonts w:eastAsia="Times New Roman" w:cs="Arial"/>
          <w:b/>
          <w:bCs/>
          <w:lang w:val="es-ES"/>
        </w:rPr>
        <w:lastRenderedPageBreak/>
        <w:t xml:space="preserve">ANEXO </w:t>
      </w:r>
    </w:p>
    <w:p w14:paraId="61DE3277" w14:textId="77777777" w:rsidR="00D702AA"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right"/>
        <w:textAlignment w:val="baseline"/>
        <w:outlineLvl w:val="1"/>
        <w:rPr>
          <w:rFonts w:eastAsia="Times New Roman" w:cs="Arial"/>
          <w:b/>
          <w:bCs/>
          <w:lang w:val="es-ES"/>
        </w:rPr>
      </w:pPr>
    </w:p>
    <w:p w14:paraId="2442E62F" w14:textId="77777777" w:rsidR="00D702AA"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right"/>
        <w:textAlignment w:val="baseline"/>
        <w:outlineLvl w:val="1"/>
        <w:rPr>
          <w:rFonts w:eastAsia="Times New Roman" w:cs="Arial"/>
          <w:b/>
          <w:bCs/>
          <w:lang w:val="es-ES"/>
        </w:rPr>
      </w:pPr>
    </w:p>
    <w:p w14:paraId="35856294" w14:textId="48423608" w:rsidR="00D702AA"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lang w:val="es-ES"/>
        </w:rPr>
      </w:pPr>
      <w:r w:rsidRPr="00F87AF3">
        <w:rPr>
          <w:rFonts w:eastAsia="Times New Roman" w:cs="Arial"/>
          <w:lang w:val="es-ES"/>
        </w:rPr>
        <w:t>PROYECTOS DE DECISIÓN</w:t>
      </w:r>
    </w:p>
    <w:p w14:paraId="5923A8DF" w14:textId="77777777" w:rsidR="00D702AA"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p>
    <w:p w14:paraId="78A0A64B" w14:textId="1F8C5FBC" w:rsidR="00002A97"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F87AF3">
        <w:rPr>
          <w:rFonts w:eastAsia="Times New Roman" w:cs="Arial"/>
          <w:b/>
          <w:bCs/>
          <w:lang w:val="es-ES"/>
        </w:rPr>
        <w:t>DESARROLLO DE INFRAESTRUCTURAS Y ESPECIES MIGRATORIAS</w:t>
      </w:r>
    </w:p>
    <w:p w14:paraId="67416638" w14:textId="52FB51A7" w:rsidR="00D702AA"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p>
    <w:p w14:paraId="0E784F4F" w14:textId="388742CC" w:rsidR="00D702AA"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textAlignment w:val="baseline"/>
        <w:outlineLvl w:val="1"/>
        <w:rPr>
          <w:rFonts w:eastAsia="Times New Roman" w:cs="Arial"/>
          <w:b/>
          <w:bCs/>
          <w:lang w:val="es-ES"/>
        </w:rPr>
      </w:pPr>
    </w:p>
    <w:p w14:paraId="12E14DB9" w14:textId="7B36FB47" w:rsidR="00114F16" w:rsidRPr="00F87AF3" w:rsidRDefault="00114F16" w:rsidP="00114F16">
      <w:pPr>
        <w:spacing w:after="0" w:line="240" w:lineRule="auto"/>
        <w:jc w:val="both"/>
        <w:rPr>
          <w:rFonts w:cs="Arial"/>
          <w:b/>
          <w:i/>
          <w:lang w:val="es-ES"/>
        </w:rPr>
      </w:pPr>
      <w:bookmarkStart w:id="1" w:name="_Hlk20832630"/>
      <w:r w:rsidRPr="00F87AF3">
        <w:rPr>
          <w:rFonts w:cs="Arial"/>
          <w:b/>
          <w:i/>
          <w:lang w:val="es-ES"/>
        </w:rPr>
        <w:t>Dirigido a las Partes</w:t>
      </w:r>
    </w:p>
    <w:p w14:paraId="0752CF54" w14:textId="77777777" w:rsidR="00114F16" w:rsidRPr="00F87AF3" w:rsidRDefault="00114F16" w:rsidP="00114F16">
      <w:pPr>
        <w:spacing w:after="0" w:line="240" w:lineRule="auto"/>
        <w:jc w:val="both"/>
        <w:rPr>
          <w:rFonts w:cs="Arial"/>
          <w:lang w:val="es-ES"/>
        </w:rPr>
      </w:pPr>
    </w:p>
    <w:p w14:paraId="686F6B86" w14:textId="37DD5BCE" w:rsidR="00114F16" w:rsidRPr="00F87AF3" w:rsidRDefault="00114F16" w:rsidP="00114F16">
      <w:pPr>
        <w:spacing w:after="0" w:line="240" w:lineRule="auto"/>
        <w:ind w:left="851" w:hanging="851"/>
        <w:jc w:val="both"/>
        <w:rPr>
          <w:rFonts w:cs="Arial"/>
          <w:iCs/>
          <w:lang w:val="es-ES"/>
        </w:rPr>
      </w:pPr>
      <w:r w:rsidRPr="00F87AF3">
        <w:rPr>
          <w:rFonts w:cs="Arial"/>
          <w:lang w:val="es-ES"/>
        </w:rPr>
        <w:t>13.AA</w:t>
      </w:r>
      <w:r w:rsidRPr="00F87AF3">
        <w:rPr>
          <w:rFonts w:cs="Arial"/>
          <w:lang w:val="es-ES"/>
        </w:rPr>
        <w:tab/>
      </w:r>
      <w:r w:rsidRPr="00F87AF3">
        <w:rPr>
          <w:rFonts w:cs="Arial"/>
          <w:iCs/>
          <w:lang w:val="es-ES"/>
        </w:rPr>
        <w:t>Se pide a las Partes que informen sobre las medidas adoptadas para aplicar el párrafo 2 de la Resolución 7.2 (Rev.COP12)</w:t>
      </w:r>
      <w:r w:rsidR="0002519F" w:rsidRPr="0002519F">
        <w:rPr>
          <w:i/>
          <w:iCs/>
          <w:lang w:val="es-ES"/>
        </w:rPr>
        <w:t xml:space="preserve"> Evaluación de</w:t>
      </w:r>
      <w:r w:rsidR="00C61C51">
        <w:rPr>
          <w:i/>
          <w:iCs/>
          <w:lang w:val="es-ES"/>
        </w:rPr>
        <w:t xml:space="preserve"> </w:t>
      </w:r>
      <w:r w:rsidR="0002519F" w:rsidRPr="0002519F">
        <w:rPr>
          <w:i/>
          <w:iCs/>
          <w:lang w:val="es-ES"/>
        </w:rPr>
        <w:t>l</w:t>
      </w:r>
      <w:r w:rsidR="00C61C51">
        <w:rPr>
          <w:i/>
          <w:iCs/>
          <w:lang w:val="es-ES"/>
        </w:rPr>
        <w:t>os efectos</w:t>
      </w:r>
      <w:r w:rsidR="0002519F" w:rsidRPr="0002519F">
        <w:rPr>
          <w:i/>
          <w:iCs/>
          <w:lang w:val="es-ES"/>
        </w:rPr>
        <w:t xml:space="preserve"> y especies migratorias</w:t>
      </w:r>
      <w:r w:rsidRPr="00F87AF3">
        <w:rPr>
          <w:rFonts w:cs="Arial"/>
          <w:iCs/>
          <w:lang w:val="es-ES"/>
        </w:rPr>
        <w:t xml:space="preserve"> y que compartan información sobre los retos, las lecciones aprendidas y las necesidades para un mayor desarrollo de la capacidad.</w:t>
      </w:r>
    </w:p>
    <w:p w14:paraId="157CF229" w14:textId="77777777" w:rsidR="00114F16" w:rsidRPr="00F87AF3" w:rsidRDefault="00114F16" w:rsidP="00114F16">
      <w:pPr>
        <w:spacing w:after="0" w:line="240" w:lineRule="auto"/>
        <w:jc w:val="both"/>
        <w:rPr>
          <w:rFonts w:cs="Arial"/>
          <w:b/>
          <w:i/>
          <w:lang w:val="es-ES"/>
        </w:rPr>
      </w:pPr>
    </w:p>
    <w:p w14:paraId="6C485FD5" w14:textId="176654B0" w:rsidR="00114F16" w:rsidRPr="00F87AF3" w:rsidRDefault="00EC549E" w:rsidP="00114F16">
      <w:pPr>
        <w:spacing w:after="0" w:line="240" w:lineRule="auto"/>
        <w:jc w:val="both"/>
        <w:rPr>
          <w:rFonts w:cs="Arial"/>
          <w:b/>
          <w:i/>
          <w:lang w:val="es-ES"/>
        </w:rPr>
      </w:pPr>
      <w:r w:rsidRPr="00F87AF3">
        <w:rPr>
          <w:rFonts w:cs="Arial"/>
          <w:b/>
          <w:i/>
          <w:lang w:val="es-ES"/>
        </w:rPr>
        <w:t>Dirigido al Consejo Científico</w:t>
      </w:r>
    </w:p>
    <w:p w14:paraId="4BCB9BC2" w14:textId="77777777" w:rsidR="00EC549E" w:rsidRPr="00F87AF3" w:rsidRDefault="00EC549E" w:rsidP="00114F16">
      <w:pPr>
        <w:spacing w:after="0" w:line="240" w:lineRule="auto"/>
        <w:jc w:val="both"/>
        <w:rPr>
          <w:rFonts w:cs="Arial"/>
          <w:b/>
          <w:lang w:val="es-ES"/>
        </w:rPr>
      </w:pPr>
    </w:p>
    <w:p w14:paraId="2F915A80" w14:textId="327EE4AC" w:rsidR="00114F16" w:rsidRPr="00F87AF3" w:rsidRDefault="00114F16" w:rsidP="00114F16">
      <w:pPr>
        <w:spacing w:after="0" w:line="240" w:lineRule="auto"/>
        <w:ind w:left="794" w:hanging="794"/>
        <w:jc w:val="both"/>
        <w:rPr>
          <w:rFonts w:cs="Arial"/>
          <w:iCs/>
          <w:lang w:val="es-ES"/>
        </w:rPr>
      </w:pPr>
      <w:r w:rsidRPr="00F87AF3">
        <w:rPr>
          <w:rFonts w:cs="Arial"/>
          <w:lang w:val="es-ES"/>
        </w:rPr>
        <w:t>13.BB</w:t>
      </w:r>
      <w:r w:rsidRPr="00F87AF3">
        <w:rPr>
          <w:rFonts w:cs="Arial"/>
          <w:lang w:val="es-ES"/>
        </w:rPr>
        <w:tab/>
      </w:r>
      <w:r w:rsidR="00EC549E" w:rsidRPr="00F87AF3">
        <w:rPr>
          <w:rFonts w:cs="Arial"/>
          <w:iCs/>
          <w:lang w:val="es-ES"/>
        </w:rPr>
        <w:t xml:space="preserve">Se pide al Consejo Científico que establezca un </w:t>
      </w:r>
      <w:r w:rsidR="0002519F">
        <w:rPr>
          <w:rFonts w:cs="Arial"/>
          <w:iCs/>
          <w:lang w:val="es-ES"/>
        </w:rPr>
        <w:t>g</w:t>
      </w:r>
      <w:r w:rsidR="00EC549E" w:rsidRPr="00F87AF3">
        <w:rPr>
          <w:rFonts w:cs="Arial"/>
          <w:iCs/>
          <w:lang w:val="es-ES"/>
        </w:rPr>
        <w:t xml:space="preserve">rupo de </w:t>
      </w:r>
      <w:r w:rsidR="0002519F">
        <w:rPr>
          <w:rFonts w:cs="Arial"/>
          <w:iCs/>
          <w:lang w:val="es-ES"/>
        </w:rPr>
        <w:t>t</w:t>
      </w:r>
      <w:r w:rsidR="00EC549E" w:rsidRPr="00F87AF3">
        <w:rPr>
          <w:rFonts w:cs="Arial"/>
          <w:iCs/>
          <w:lang w:val="es-ES"/>
        </w:rPr>
        <w:t xml:space="preserve">rabajo de múltiples interesados directos sobre la infraestructura lineal, compuesto por interesados directos con experiencia y conocimientos sobre el impacto del desarrollo de la infraestructura lineal en las especies migratorias y las opciones de mitigación. El </w:t>
      </w:r>
      <w:r w:rsidR="0002519F">
        <w:rPr>
          <w:rFonts w:cs="Arial"/>
          <w:iCs/>
          <w:lang w:val="es-ES"/>
        </w:rPr>
        <w:t>g</w:t>
      </w:r>
      <w:r w:rsidR="00EC549E" w:rsidRPr="00F87AF3">
        <w:rPr>
          <w:rFonts w:cs="Arial"/>
          <w:iCs/>
          <w:lang w:val="es-ES"/>
        </w:rPr>
        <w:t xml:space="preserve">rupo de </w:t>
      </w:r>
      <w:r w:rsidR="0002519F">
        <w:rPr>
          <w:rFonts w:cs="Arial"/>
          <w:iCs/>
          <w:lang w:val="es-ES"/>
        </w:rPr>
        <w:t>t</w:t>
      </w:r>
      <w:r w:rsidR="00EC549E" w:rsidRPr="00F87AF3">
        <w:rPr>
          <w:rFonts w:cs="Arial"/>
          <w:iCs/>
          <w:lang w:val="es-ES"/>
        </w:rPr>
        <w:t xml:space="preserve">rabajo deberá: </w:t>
      </w:r>
    </w:p>
    <w:p w14:paraId="7649BE88" w14:textId="77777777" w:rsidR="00114F16" w:rsidRPr="00F87AF3" w:rsidRDefault="00114F16" w:rsidP="00114F16">
      <w:pPr>
        <w:pStyle w:val="ListParagraph"/>
        <w:spacing w:after="0" w:line="240" w:lineRule="auto"/>
        <w:ind w:left="1514"/>
        <w:jc w:val="both"/>
        <w:rPr>
          <w:rFonts w:cs="Arial"/>
          <w:iCs/>
          <w:lang w:val="es-ES"/>
        </w:rPr>
      </w:pPr>
    </w:p>
    <w:p w14:paraId="41122979" w14:textId="77777777" w:rsidR="00EC549E" w:rsidRPr="00F87AF3" w:rsidRDefault="00EC549E" w:rsidP="00EC549E">
      <w:pPr>
        <w:spacing w:after="0" w:line="240" w:lineRule="auto"/>
        <w:ind w:left="1154"/>
        <w:jc w:val="both"/>
        <w:rPr>
          <w:rFonts w:cs="Arial"/>
          <w:iCs/>
          <w:lang w:val="es-ES"/>
        </w:rPr>
      </w:pPr>
      <w:r w:rsidRPr="00F87AF3">
        <w:rPr>
          <w:rFonts w:cs="Arial"/>
          <w:iCs/>
          <w:lang w:val="es-ES"/>
        </w:rPr>
        <w:t xml:space="preserve">a) examinar la información disponible relativa al desarrollo de la infraestructura lineal y los posibles impactos sobre las especies migratorias, la compilación de las respuestas recibidas en virtud de la Decisión </w:t>
      </w:r>
      <w:proofErr w:type="gramStart"/>
      <w:r w:rsidRPr="00F87AF3">
        <w:rPr>
          <w:rFonts w:cs="Arial"/>
          <w:iCs/>
          <w:lang w:val="es-ES"/>
        </w:rPr>
        <w:t>13.AA</w:t>
      </w:r>
      <w:proofErr w:type="gramEnd"/>
      <w:r w:rsidRPr="00F87AF3">
        <w:rPr>
          <w:rFonts w:cs="Arial"/>
          <w:iCs/>
          <w:lang w:val="es-ES"/>
        </w:rPr>
        <w:t>, compiladas por la Secretaría de conformidad con la Decisión 13.DD (a), y otra información pertinente;</w:t>
      </w:r>
    </w:p>
    <w:p w14:paraId="70CDE451" w14:textId="77777777" w:rsidR="00EC549E" w:rsidRPr="00F87AF3" w:rsidRDefault="00EC549E" w:rsidP="00EC549E">
      <w:pPr>
        <w:spacing w:after="0" w:line="240" w:lineRule="auto"/>
        <w:ind w:left="1154"/>
        <w:jc w:val="both"/>
        <w:rPr>
          <w:rFonts w:cs="Arial"/>
          <w:iCs/>
          <w:lang w:val="es-ES"/>
        </w:rPr>
      </w:pPr>
    </w:p>
    <w:p w14:paraId="25BCDDB4" w14:textId="041FA01D" w:rsidR="00EC549E" w:rsidRPr="00F87AF3" w:rsidRDefault="00EC549E" w:rsidP="00EC549E">
      <w:pPr>
        <w:spacing w:after="0" w:line="240" w:lineRule="auto"/>
        <w:ind w:left="1154"/>
        <w:jc w:val="both"/>
        <w:rPr>
          <w:rFonts w:cs="Arial"/>
          <w:iCs/>
          <w:lang w:val="es-ES"/>
        </w:rPr>
      </w:pPr>
      <w:r w:rsidRPr="00F87AF3">
        <w:rPr>
          <w:rFonts w:cs="Arial"/>
          <w:iCs/>
          <w:lang w:val="es-ES"/>
        </w:rPr>
        <w:t xml:space="preserve">b) identificar las áreas en las que se requiere mayor asistencia para mejorar la aplicación de la Resolución 7.2 (Rev.COP12) párrafo 2, que </w:t>
      </w:r>
      <w:r w:rsidRPr="00F87AF3">
        <w:rPr>
          <w:rFonts w:cs="Arial"/>
          <w:i/>
          <w:lang w:val="es-ES"/>
        </w:rPr>
        <w:t xml:space="preserve">a las Partes a que incluyan en las antedichas evaluaciones, siempre que sea pertinente, una </w:t>
      </w:r>
      <w:r w:rsidR="00265F42" w:rsidRPr="00F87AF3">
        <w:rPr>
          <w:rFonts w:cs="Arial"/>
          <w:i/>
          <w:lang w:val="es-ES"/>
        </w:rPr>
        <w:t>consideración</w:t>
      </w:r>
      <w:r w:rsidRPr="00F87AF3">
        <w:rPr>
          <w:rFonts w:cs="Arial"/>
          <w:i/>
          <w:lang w:val="es-ES"/>
        </w:rPr>
        <w:t xml:space="preserve"> tan completa como sea posible de los efectos que abarque los </w:t>
      </w:r>
      <w:r w:rsidR="00265F42" w:rsidRPr="00F87AF3">
        <w:rPr>
          <w:rFonts w:cs="Arial"/>
          <w:i/>
          <w:lang w:val="es-ES"/>
        </w:rPr>
        <w:t>obstáculos</w:t>
      </w:r>
      <w:r w:rsidRPr="00F87AF3">
        <w:rPr>
          <w:rFonts w:cs="Arial"/>
          <w:i/>
          <w:lang w:val="es-ES"/>
        </w:rPr>
        <w:t xml:space="preserve"> a la </w:t>
      </w:r>
      <w:r w:rsidR="00265F42" w:rsidRPr="00F87AF3">
        <w:rPr>
          <w:rFonts w:cs="Arial"/>
          <w:i/>
          <w:lang w:val="es-ES"/>
        </w:rPr>
        <w:t>migración</w:t>
      </w:r>
      <w:r w:rsidRPr="00F87AF3">
        <w:rPr>
          <w:rFonts w:cs="Arial"/>
          <w:i/>
          <w:lang w:val="es-ES"/>
        </w:rPr>
        <w:t xml:space="preserve">, en </w:t>
      </w:r>
      <w:r w:rsidR="00265F42" w:rsidRPr="00F87AF3">
        <w:rPr>
          <w:rFonts w:cs="Arial"/>
          <w:i/>
          <w:lang w:val="es-ES"/>
        </w:rPr>
        <w:t>aplicación</w:t>
      </w:r>
      <w:r w:rsidRPr="00F87AF3">
        <w:rPr>
          <w:rFonts w:cs="Arial"/>
          <w:i/>
          <w:lang w:val="es-ES"/>
        </w:rPr>
        <w:t xml:space="preserve"> del apartado b) del </w:t>
      </w:r>
      <w:r w:rsidR="00265F42" w:rsidRPr="00F87AF3">
        <w:rPr>
          <w:rFonts w:cs="Arial"/>
          <w:i/>
          <w:lang w:val="es-ES"/>
        </w:rPr>
        <w:t>párrafo</w:t>
      </w:r>
      <w:r w:rsidRPr="00F87AF3">
        <w:rPr>
          <w:rFonts w:cs="Arial"/>
          <w:i/>
          <w:lang w:val="es-ES"/>
        </w:rPr>
        <w:t xml:space="preserve"> 4 del </w:t>
      </w:r>
      <w:r w:rsidR="00265F42" w:rsidRPr="00F87AF3">
        <w:rPr>
          <w:rFonts w:cs="Arial"/>
          <w:i/>
          <w:lang w:val="es-ES"/>
        </w:rPr>
        <w:t>articulo</w:t>
      </w:r>
      <w:r w:rsidRPr="00F87AF3">
        <w:rPr>
          <w:rFonts w:cs="Arial"/>
          <w:i/>
          <w:lang w:val="es-ES"/>
        </w:rPr>
        <w:t xml:space="preserve"> III de la </w:t>
      </w:r>
      <w:r w:rsidR="00265F42" w:rsidRPr="00F87AF3">
        <w:rPr>
          <w:rFonts w:cs="Arial"/>
          <w:i/>
          <w:lang w:val="es-ES"/>
        </w:rPr>
        <w:t>Convención</w:t>
      </w:r>
      <w:r w:rsidRPr="00F87AF3">
        <w:rPr>
          <w:rFonts w:cs="Arial"/>
          <w:i/>
          <w:lang w:val="es-ES"/>
        </w:rPr>
        <w:t xml:space="preserve">, de los efectos transfronterizos de las especies migratorias y de los efectos en los comportamientos migratorios o en las </w:t>
      </w:r>
      <w:r w:rsidR="00265F42" w:rsidRPr="00F87AF3">
        <w:rPr>
          <w:rFonts w:cs="Arial"/>
          <w:i/>
          <w:lang w:val="es-ES"/>
        </w:rPr>
        <w:t>áreas</w:t>
      </w:r>
      <w:r w:rsidRPr="00F87AF3">
        <w:rPr>
          <w:rFonts w:cs="Arial"/>
          <w:i/>
          <w:lang w:val="es-ES"/>
        </w:rPr>
        <w:t xml:space="preserve"> de </w:t>
      </w:r>
      <w:r w:rsidR="00265F42" w:rsidRPr="00F87AF3">
        <w:rPr>
          <w:rFonts w:cs="Arial"/>
          <w:i/>
          <w:lang w:val="es-ES"/>
        </w:rPr>
        <w:t>distribución</w:t>
      </w:r>
      <w:r w:rsidRPr="00F87AF3">
        <w:rPr>
          <w:rFonts w:cs="Arial"/>
          <w:i/>
          <w:lang w:val="es-ES"/>
        </w:rPr>
        <w:t xml:space="preserve"> de las especies migratorias</w:t>
      </w:r>
      <w:r w:rsidRPr="00F87AF3">
        <w:rPr>
          <w:rFonts w:cs="Arial"/>
          <w:iCs/>
          <w:lang w:val="es-ES"/>
        </w:rPr>
        <w:t>;</w:t>
      </w:r>
    </w:p>
    <w:p w14:paraId="599219FB" w14:textId="77777777" w:rsidR="00EC549E" w:rsidRPr="00F87AF3" w:rsidRDefault="00EC549E" w:rsidP="00EC549E">
      <w:pPr>
        <w:spacing w:after="0" w:line="240" w:lineRule="auto"/>
        <w:ind w:left="1154"/>
        <w:jc w:val="both"/>
        <w:rPr>
          <w:rFonts w:cs="Arial"/>
          <w:iCs/>
          <w:lang w:val="es-ES"/>
        </w:rPr>
      </w:pPr>
    </w:p>
    <w:p w14:paraId="54FB98FC" w14:textId="38D95B57" w:rsidR="00EC549E" w:rsidRPr="00F87AF3" w:rsidRDefault="00EC549E" w:rsidP="00EC549E">
      <w:pPr>
        <w:spacing w:after="0" w:line="240" w:lineRule="auto"/>
        <w:ind w:left="1154"/>
        <w:jc w:val="both"/>
        <w:rPr>
          <w:rFonts w:cs="Arial"/>
          <w:iCs/>
          <w:lang w:val="es-ES"/>
        </w:rPr>
      </w:pPr>
      <w:r w:rsidRPr="00F87AF3">
        <w:rPr>
          <w:rFonts w:cs="Arial"/>
          <w:iCs/>
          <w:lang w:val="es-ES"/>
        </w:rPr>
        <w:t xml:space="preserve">c) elaborar un plan de trabajo y determinar las tareas prioritarias del </w:t>
      </w:r>
      <w:r w:rsidR="00946BCC">
        <w:rPr>
          <w:rFonts w:cs="Arial"/>
          <w:iCs/>
          <w:lang w:val="es-ES"/>
        </w:rPr>
        <w:t>g</w:t>
      </w:r>
      <w:r w:rsidRPr="00F87AF3">
        <w:rPr>
          <w:rFonts w:cs="Arial"/>
          <w:iCs/>
          <w:lang w:val="es-ES"/>
        </w:rPr>
        <w:t xml:space="preserve">rupo de </w:t>
      </w:r>
      <w:r w:rsidR="00946BCC">
        <w:rPr>
          <w:rFonts w:cs="Arial"/>
          <w:iCs/>
          <w:lang w:val="es-ES"/>
        </w:rPr>
        <w:t>t</w:t>
      </w:r>
      <w:r w:rsidRPr="00F87AF3">
        <w:rPr>
          <w:rFonts w:cs="Arial"/>
          <w:iCs/>
          <w:lang w:val="es-ES"/>
        </w:rPr>
        <w:t>rabajo sobre la base de la información existente, tales como normas, directrices, mejores prácticas relacionadas con el tratamiento de los efectos del desarrollo de la infraestructura lineal, así como el examen de la compilación en virtud del párrafo (a);</w:t>
      </w:r>
    </w:p>
    <w:p w14:paraId="5328DD7A" w14:textId="77777777" w:rsidR="00EC549E" w:rsidRPr="00F87AF3" w:rsidRDefault="00EC549E" w:rsidP="00EC549E">
      <w:pPr>
        <w:spacing w:after="0" w:line="240" w:lineRule="auto"/>
        <w:ind w:left="1154"/>
        <w:jc w:val="both"/>
        <w:rPr>
          <w:rFonts w:cs="Arial"/>
          <w:iCs/>
          <w:lang w:val="es-ES"/>
        </w:rPr>
      </w:pPr>
    </w:p>
    <w:p w14:paraId="309ED0DE" w14:textId="6FD0115E" w:rsidR="00114F16" w:rsidRPr="00F87AF3" w:rsidRDefault="00EC549E" w:rsidP="00EC549E">
      <w:pPr>
        <w:spacing w:after="0" w:line="240" w:lineRule="auto"/>
        <w:ind w:left="1154"/>
        <w:jc w:val="both"/>
        <w:rPr>
          <w:rFonts w:cs="Arial"/>
          <w:iCs/>
          <w:lang w:val="es-ES"/>
        </w:rPr>
      </w:pPr>
      <w:r w:rsidRPr="00F87AF3">
        <w:rPr>
          <w:rFonts w:cs="Arial"/>
          <w:iCs/>
          <w:lang w:val="es-ES"/>
        </w:rPr>
        <w:t>d) formular recomendaciones sobre la futura orientación de los trabajos en el marco de la Convención para apoyar a las Partes para abordar el impacto de la infraestructura lineal en las especies migratorias.</w:t>
      </w:r>
    </w:p>
    <w:p w14:paraId="6B8AF1A3" w14:textId="77777777" w:rsidR="00114F16" w:rsidRPr="00F87AF3" w:rsidRDefault="00114F16" w:rsidP="00114F16">
      <w:pPr>
        <w:spacing w:after="0" w:line="240" w:lineRule="auto"/>
        <w:jc w:val="both"/>
        <w:rPr>
          <w:rFonts w:cs="Arial"/>
          <w:iCs/>
          <w:lang w:val="es-ES"/>
        </w:rPr>
      </w:pPr>
    </w:p>
    <w:p w14:paraId="4C64ED61" w14:textId="5388DCF2" w:rsidR="00114F16" w:rsidRPr="00F87AF3" w:rsidRDefault="00114F16" w:rsidP="00114F16">
      <w:pPr>
        <w:spacing w:after="0" w:line="240" w:lineRule="auto"/>
        <w:ind w:left="794" w:hanging="794"/>
        <w:jc w:val="both"/>
        <w:rPr>
          <w:rFonts w:cs="Arial"/>
          <w:lang w:val="es-ES"/>
        </w:rPr>
      </w:pPr>
      <w:r w:rsidRPr="00F87AF3">
        <w:rPr>
          <w:rFonts w:cs="Arial"/>
          <w:lang w:val="es-ES"/>
        </w:rPr>
        <w:t xml:space="preserve">13.CC </w:t>
      </w:r>
      <w:r w:rsidRPr="00F87AF3">
        <w:rPr>
          <w:rFonts w:cs="Arial"/>
          <w:lang w:val="es-ES"/>
        </w:rPr>
        <w:tab/>
      </w:r>
      <w:r w:rsidR="00EC549E" w:rsidRPr="00F87AF3">
        <w:rPr>
          <w:rFonts w:cs="Arial"/>
          <w:lang w:val="es-ES"/>
        </w:rPr>
        <w:t>Se solicita además al Consejo Científico que</w:t>
      </w:r>
    </w:p>
    <w:p w14:paraId="56F3831F" w14:textId="77777777" w:rsidR="00114F16" w:rsidRPr="00F87AF3" w:rsidRDefault="00114F16" w:rsidP="00114F16">
      <w:pPr>
        <w:spacing w:after="0" w:line="240" w:lineRule="auto"/>
        <w:ind w:left="794" w:hanging="794"/>
        <w:jc w:val="both"/>
        <w:rPr>
          <w:rFonts w:cs="Arial"/>
          <w:lang w:val="es-ES"/>
        </w:rPr>
      </w:pPr>
    </w:p>
    <w:p w14:paraId="56FA10C8" w14:textId="4A032079" w:rsidR="00114F16" w:rsidRPr="00F87AF3" w:rsidRDefault="00EC549E" w:rsidP="00114F16">
      <w:pPr>
        <w:widowControl w:val="0"/>
        <w:numPr>
          <w:ilvl w:val="0"/>
          <w:numId w:val="27"/>
        </w:numPr>
        <w:autoSpaceDE w:val="0"/>
        <w:autoSpaceDN w:val="0"/>
        <w:adjustRightInd w:val="0"/>
        <w:spacing w:after="0" w:line="240" w:lineRule="auto"/>
        <w:ind w:left="1418" w:hanging="567"/>
        <w:jc w:val="both"/>
        <w:rPr>
          <w:rFonts w:cs="Arial"/>
          <w:lang w:val="es-ES"/>
        </w:rPr>
      </w:pPr>
      <w:r w:rsidRPr="00F87AF3">
        <w:rPr>
          <w:rFonts w:cs="Arial"/>
          <w:lang w:val="es-ES"/>
        </w:rPr>
        <w:t>identifique los tipos de infraestructura que no se han abordado en el marco de la CMS y que son de particular importancia para la conservación de las especies incluidas en las listas de la CMS, proporcione asesoramiento sobre las posibles medidas que podrían adoptarse para abordar dicha infraestructura, e informe de las conclusiones a la 14ª Reunión de la Conferencia de las Partes;</w:t>
      </w:r>
    </w:p>
    <w:p w14:paraId="52629E4C" w14:textId="77777777" w:rsidR="00114F16" w:rsidRPr="00F87AF3" w:rsidRDefault="00114F16" w:rsidP="00114F16">
      <w:pPr>
        <w:widowControl w:val="0"/>
        <w:autoSpaceDE w:val="0"/>
        <w:autoSpaceDN w:val="0"/>
        <w:adjustRightInd w:val="0"/>
        <w:spacing w:after="0" w:line="240" w:lineRule="auto"/>
        <w:ind w:left="1418"/>
        <w:jc w:val="both"/>
        <w:rPr>
          <w:rFonts w:cs="Arial"/>
          <w:lang w:val="es-ES"/>
        </w:rPr>
      </w:pPr>
    </w:p>
    <w:p w14:paraId="2C5FBB0D" w14:textId="69BA6AE8" w:rsidR="00114F16" w:rsidRPr="00F87AF3" w:rsidRDefault="00EC549E" w:rsidP="00114F16">
      <w:pPr>
        <w:widowControl w:val="0"/>
        <w:numPr>
          <w:ilvl w:val="0"/>
          <w:numId w:val="27"/>
        </w:numPr>
        <w:autoSpaceDE w:val="0"/>
        <w:autoSpaceDN w:val="0"/>
        <w:adjustRightInd w:val="0"/>
        <w:spacing w:after="0" w:line="240" w:lineRule="auto"/>
        <w:ind w:left="1418" w:hanging="567"/>
        <w:jc w:val="both"/>
        <w:rPr>
          <w:rFonts w:cs="Arial"/>
          <w:lang w:val="es-ES"/>
        </w:rPr>
      </w:pPr>
      <w:r w:rsidRPr="00F87AF3">
        <w:rPr>
          <w:rFonts w:cs="Arial"/>
          <w:lang w:val="es-ES"/>
        </w:rPr>
        <w:t xml:space="preserve">considerar los resultados del </w:t>
      </w:r>
      <w:r w:rsidR="00CC681E">
        <w:rPr>
          <w:rFonts w:cs="Arial"/>
          <w:lang w:val="es-ES"/>
        </w:rPr>
        <w:t>g</w:t>
      </w:r>
      <w:r w:rsidRPr="00F87AF3">
        <w:rPr>
          <w:rFonts w:cs="Arial"/>
          <w:lang w:val="es-ES"/>
        </w:rPr>
        <w:t xml:space="preserve">rupo de </w:t>
      </w:r>
      <w:r w:rsidR="00CC681E">
        <w:rPr>
          <w:rFonts w:cs="Arial"/>
          <w:lang w:val="es-ES"/>
        </w:rPr>
        <w:t>t</w:t>
      </w:r>
      <w:r w:rsidRPr="00F87AF3">
        <w:rPr>
          <w:rFonts w:cs="Arial"/>
          <w:lang w:val="es-ES"/>
        </w:rPr>
        <w:t>rabajo sobre la infraestructura lineal y hacer recomendaciones a la 14ª Reunión de la Conferencia de las Partes</w:t>
      </w:r>
      <w:r w:rsidR="00114F16" w:rsidRPr="00F87AF3">
        <w:rPr>
          <w:rFonts w:cs="Arial"/>
          <w:lang w:val="es-ES"/>
        </w:rPr>
        <w:t xml:space="preserve">. </w:t>
      </w:r>
    </w:p>
    <w:p w14:paraId="6F97BBB5" w14:textId="77777777" w:rsidR="00114F16" w:rsidRPr="00F87AF3" w:rsidRDefault="00114F16" w:rsidP="00114F16">
      <w:pPr>
        <w:spacing w:after="0" w:line="240" w:lineRule="auto"/>
        <w:jc w:val="both"/>
        <w:rPr>
          <w:rFonts w:cs="Arial"/>
          <w:iCs/>
          <w:lang w:val="es-ES"/>
        </w:rPr>
      </w:pPr>
    </w:p>
    <w:p w14:paraId="2B0914BA" w14:textId="77777777" w:rsidR="00114F16" w:rsidRPr="00F87AF3" w:rsidRDefault="00114F16" w:rsidP="00114F16">
      <w:pPr>
        <w:rPr>
          <w:rFonts w:cs="Arial"/>
          <w:b/>
          <w:i/>
          <w:lang w:val="es-ES"/>
        </w:rPr>
      </w:pPr>
      <w:r w:rsidRPr="00F87AF3">
        <w:rPr>
          <w:rFonts w:cs="Arial"/>
          <w:b/>
          <w:i/>
          <w:lang w:val="es-ES"/>
        </w:rPr>
        <w:br w:type="page"/>
      </w:r>
    </w:p>
    <w:p w14:paraId="6CF505D1" w14:textId="66374172" w:rsidR="00114F16" w:rsidRPr="00F87AF3" w:rsidRDefault="00C66278" w:rsidP="00114F16">
      <w:pPr>
        <w:spacing w:after="0" w:line="240" w:lineRule="auto"/>
        <w:jc w:val="both"/>
        <w:rPr>
          <w:rFonts w:cs="Arial"/>
          <w:b/>
          <w:i/>
          <w:lang w:val="es-ES"/>
        </w:rPr>
      </w:pPr>
      <w:r w:rsidRPr="00F87AF3">
        <w:rPr>
          <w:rFonts w:cs="Arial"/>
          <w:b/>
          <w:i/>
          <w:lang w:val="es-ES"/>
        </w:rPr>
        <w:lastRenderedPageBreak/>
        <w:t>Dirigido a la Secretaría</w:t>
      </w:r>
    </w:p>
    <w:p w14:paraId="70D699E3" w14:textId="77777777" w:rsidR="00C66278" w:rsidRPr="00F87AF3" w:rsidRDefault="00C66278" w:rsidP="00114F16">
      <w:pPr>
        <w:spacing w:after="0" w:line="240" w:lineRule="auto"/>
        <w:jc w:val="both"/>
        <w:rPr>
          <w:rFonts w:cs="Arial"/>
          <w:lang w:val="es-ES"/>
        </w:rPr>
      </w:pPr>
    </w:p>
    <w:p w14:paraId="0EED0E00" w14:textId="026E1066" w:rsidR="00114F16" w:rsidRPr="00F87AF3" w:rsidRDefault="00114F16" w:rsidP="00114F16">
      <w:pPr>
        <w:spacing w:after="0" w:line="240" w:lineRule="auto"/>
        <w:ind w:left="851" w:hanging="851"/>
        <w:jc w:val="both"/>
        <w:rPr>
          <w:rFonts w:cs="Arial"/>
          <w:lang w:val="es-ES"/>
        </w:rPr>
      </w:pPr>
      <w:r w:rsidRPr="00F87AF3">
        <w:rPr>
          <w:rFonts w:cs="Arial"/>
          <w:lang w:val="es-ES"/>
        </w:rPr>
        <w:t>13.DD</w:t>
      </w:r>
      <w:r w:rsidRPr="00F87AF3">
        <w:rPr>
          <w:rFonts w:cs="Arial"/>
          <w:lang w:val="es-ES"/>
        </w:rPr>
        <w:tab/>
      </w:r>
      <w:r w:rsidR="003123C0" w:rsidRPr="00F87AF3">
        <w:rPr>
          <w:rFonts w:cs="Arial"/>
          <w:lang w:val="es-ES"/>
        </w:rPr>
        <w:t xml:space="preserve">La Secretaría deberá:  </w:t>
      </w:r>
    </w:p>
    <w:p w14:paraId="373EDF35" w14:textId="77777777" w:rsidR="00114F16" w:rsidRPr="00F87AF3" w:rsidRDefault="00114F16" w:rsidP="00114F16">
      <w:pPr>
        <w:widowControl w:val="0"/>
        <w:autoSpaceDE w:val="0"/>
        <w:autoSpaceDN w:val="0"/>
        <w:adjustRightInd w:val="0"/>
        <w:spacing w:after="0" w:line="240" w:lineRule="auto"/>
        <w:jc w:val="both"/>
        <w:rPr>
          <w:rFonts w:cs="Arial"/>
          <w:lang w:val="es-ES"/>
        </w:rPr>
      </w:pPr>
    </w:p>
    <w:p w14:paraId="12D33D24" w14:textId="77777777" w:rsidR="003123C0" w:rsidRPr="00F87AF3" w:rsidRDefault="003123C0" w:rsidP="003E1611">
      <w:pPr>
        <w:pStyle w:val="ListParagraph"/>
        <w:numPr>
          <w:ilvl w:val="0"/>
          <w:numId w:val="30"/>
        </w:numPr>
        <w:spacing w:after="0" w:line="240" w:lineRule="auto"/>
        <w:ind w:left="1276" w:hanging="425"/>
        <w:jc w:val="both"/>
        <w:rPr>
          <w:rFonts w:cs="Arial"/>
          <w:lang w:val="es-ES"/>
        </w:rPr>
      </w:pPr>
      <w:r w:rsidRPr="00F87AF3">
        <w:rPr>
          <w:rFonts w:cs="Arial"/>
          <w:lang w:val="es-ES"/>
        </w:rPr>
        <w:t xml:space="preserve">preparar un cuestionario para su distribución a las Partes y compilar las presentaciones en respuesta a la Decisión </w:t>
      </w:r>
      <w:proofErr w:type="gramStart"/>
      <w:r w:rsidRPr="00F87AF3">
        <w:rPr>
          <w:rFonts w:cs="Arial"/>
          <w:lang w:val="es-ES"/>
        </w:rPr>
        <w:t>13.AA</w:t>
      </w:r>
      <w:proofErr w:type="gramEnd"/>
      <w:r w:rsidRPr="00F87AF3">
        <w:rPr>
          <w:rFonts w:cs="Arial"/>
          <w:lang w:val="es-ES"/>
        </w:rPr>
        <w:t>;</w:t>
      </w:r>
    </w:p>
    <w:p w14:paraId="4CDD45AD" w14:textId="77777777" w:rsidR="003123C0" w:rsidRPr="00F87AF3" w:rsidRDefault="003123C0" w:rsidP="003E1611">
      <w:pPr>
        <w:spacing w:after="0" w:line="240" w:lineRule="auto"/>
        <w:ind w:left="1276" w:hanging="425"/>
        <w:jc w:val="both"/>
        <w:rPr>
          <w:rFonts w:cs="Arial"/>
          <w:lang w:val="es-ES"/>
        </w:rPr>
      </w:pPr>
    </w:p>
    <w:p w14:paraId="5FC6CF25" w14:textId="77777777" w:rsidR="003123C0" w:rsidRPr="00F87AF3" w:rsidRDefault="003123C0" w:rsidP="003E1611">
      <w:pPr>
        <w:pStyle w:val="ListParagraph"/>
        <w:numPr>
          <w:ilvl w:val="0"/>
          <w:numId w:val="30"/>
        </w:numPr>
        <w:spacing w:after="0" w:line="240" w:lineRule="auto"/>
        <w:ind w:left="1276" w:hanging="425"/>
        <w:jc w:val="both"/>
        <w:rPr>
          <w:rFonts w:cs="Arial"/>
          <w:lang w:val="es-ES"/>
        </w:rPr>
      </w:pPr>
      <w:r w:rsidRPr="00F87AF3">
        <w:rPr>
          <w:rFonts w:cs="Arial"/>
          <w:lang w:val="es-ES"/>
        </w:rPr>
        <w:t>compilar las normas, directrices y mejores prácticas existentes relacionadas con el tratamiento del impacto del desarrollo de la infraestructura lineal y ponerlas a disposición en línea;</w:t>
      </w:r>
    </w:p>
    <w:p w14:paraId="69059B5A" w14:textId="77777777" w:rsidR="003123C0" w:rsidRPr="00F87AF3" w:rsidRDefault="003123C0" w:rsidP="003E1611">
      <w:pPr>
        <w:spacing w:after="0" w:line="240" w:lineRule="auto"/>
        <w:ind w:left="1276" w:hanging="425"/>
        <w:jc w:val="both"/>
        <w:rPr>
          <w:rFonts w:cs="Arial"/>
          <w:lang w:val="es-ES"/>
        </w:rPr>
      </w:pPr>
    </w:p>
    <w:p w14:paraId="1725AE87" w14:textId="2CBFF662" w:rsidR="003123C0" w:rsidRPr="00F87AF3" w:rsidRDefault="003123C0" w:rsidP="003E1611">
      <w:pPr>
        <w:pStyle w:val="ListParagraph"/>
        <w:numPr>
          <w:ilvl w:val="0"/>
          <w:numId w:val="30"/>
        </w:numPr>
        <w:spacing w:after="0" w:line="240" w:lineRule="auto"/>
        <w:ind w:left="1276" w:hanging="425"/>
        <w:jc w:val="both"/>
        <w:rPr>
          <w:rFonts w:cs="Arial"/>
          <w:lang w:val="es-ES"/>
        </w:rPr>
      </w:pPr>
      <w:r w:rsidRPr="00F87AF3">
        <w:rPr>
          <w:rFonts w:cs="Arial"/>
          <w:lang w:val="es-ES"/>
        </w:rPr>
        <w:t xml:space="preserve">con sujeción a la disponibilidad de fondos, convocar al menos una reunión para ayudar al </w:t>
      </w:r>
      <w:r w:rsidR="0002519F">
        <w:rPr>
          <w:rFonts w:cs="Arial"/>
          <w:lang w:val="es-ES"/>
        </w:rPr>
        <w:t>g</w:t>
      </w:r>
      <w:r w:rsidRPr="00F87AF3">
        <w:rPr>
          <w:rFonts w:cs="Arial"/>
          <w:lang w:val="es-ES"/>
        </w:rPr>
        <w:t xml:space="preserve">rupo de </w:t>
      </w:r>
      <w:r w:rsidR="0002519F">
        <w:rPr>
          <w:rFonts w:cs="Arial"/>
          <w:lang w:val="es-ES"/>
        </w:rPr>
        <w:t>t</w:t>
      </w:r>
      <w:r w:rsidRPr="00F87AF3">
        <w:rPr>
          <w:rFonts w:cs="Arial"/>
          <w:lang w:val="es-ES"/>
        </w:rPr>
        <w:t xml:space="preserve">rabajo a aplicar la Decisión 13.BB; </w:t>
      </w:r>
    </w:p>
    <w:p w14:paraId="1BA53AED" w14:textId="77777777" w:rsidR="003123C0" w:rsidRPr="00F87AF3" w:rsidRDefault="003123C0" w:rsidP="003E1611">
      <w:pPr>
        <w:pStyle w:val="ListParagraph"/>
        <w:spacing w:after="0" w:line="240" w:lineRule="auto"/>
        <w:ind w:left="1276" w:hanging="425"/>
        <w:jc w:val="both"/>
        <w:rPr>
          <w:rFonts w:cs="Arial"/>
          <w:lang w:val="es-ES"/>
        </w:rPr>
      </w:pPr>
    </w:p>
    <w:p w14:paraId="2CD24D52" w14:textId="48B2790E" w:rsidR="003123C0" w:rsidRPr="00F87AF3" w:rsidRDefault="003123C0" w:rsidP="003E1611">
      <w:pPr>
        <w:pStyle w:val="ListParagraph"/>
        <w:numPr>
          <w:ilvl w:val="0"/>
          <w:numId w:val="30"/>
        </w:numPr>
        <w:spacing w:after="0" w:line="240" w:lineRule="auto"/>
        <w:ind w:left="1276" w:hanging="425"/>
        <w:jc w:val="both"/>
        <w:rPr>
          <w:rFonts w:cs="Arial"/>
          <w:lang w:val="es-ES"/>
        </w:rPr>
      </w:pPr>
      <w:r w:rsidRPr="00F87AF3">
        <w:rPr>
          <w:rFonts w:cs="Arial"/>
          <w:lang w:val="es-ES"/>
        </w:rPr>
        <w:t xml:space="preserve">actuar de enlace con el Programa de las Naciones Unidas para el Medio Ambiente, el Convenio sobre la Diversidad Biológica, la Asociación Internacional para la Evaluación del Impacto, el Banco Mundial y otras organizaciones internacionales y regionales pertinentes, los acuerdos ambientales multilaterales, el sector privado, los bancos de desarrollo, las instituciones financieras, los donantes, las organizaciones no gubernamentales y las instituciones académicas, según proceda, para apoyar el funcionamiento del </w:t>
      </w:r>
      <w:r w:rsidR="00946BCC">
        <w:rPr>
          <w:rFonts w:cs="Arial"/>
          <w:lang w:val="es-ES"/>
        </w:rPr>
        <w:t>g</w:t>
      </w:r>
      <w:r w:rsidRPr="00F87AF3">
        <w:rPr>
          <w:rFonts w:cs="Arial"/>
          <w:lang w:val="es-ES"/>
        </w:rPr>
        <w:t xml:space="preserve">rupo de </w:t>
      </w:r>
      <w:r w:rsidR="00946BCC">
        <w:rPr>
          <w:rFonts w:cs="Arial"/>
          <w:lang w:val="es-ES"/>
        </w:rPr>
        <w:t>t</w:t>
      </w:r>
      <w:r w:rsidRPr="00F87AF3">
        <w:rPr>
          <w:rFonts w:cs="Arial"/>
          <w:lang w:val="es-ES"/>
        </w:rPr>
        <w:t>rabajo y ayudar a las Partes a hacer frente a los impactos de la infraestructura lineal y de otro tipo sobre las especies migratorias, por ejemplo mediante actividades conjuntas de desarrollo de la capacidad.</w:t>
      </w:r>
    </w:p>
    <w:p w14:paraId="040F01CF" w14:textId="77777777" w:rsidR="00114F16" w:rsidRPr="00F87AF3" w:rsidRDefault="00114F16" w:rsidP="00114F16">
      <w:pPr>
        <w:spacing w:after="0" w:line="240" w:lineRule="auto"/>
        <w:jc w:val="both"/>
        <w:rPr>
          <w:rFonts w:cs="Arial"/>
          <w:lang w:val="es-ES"/>
        </w:rPr>
      </w:pPr>
    </w:p>
    <w:p w14:paraId="57CFF0D4" w14:textId="66AE3205" w:rsidR="003123C0" w:rsidRPr="00F87AF3" w:rsidRDefault="003123C0" w:rsidP="00114F16">
      <w:pPr>
        <w:spacing w:after="0" w:line="240" w:lineRule="auto"/>
        <w:jc w:val="both"/>
        <w:rPr>
          <w:rFonts w:cs="Arial"/>
          <w:b/>
          <w:i/>
          <w:lang w:val="es-ES"/>
        </w:rPr>
      </w:pPr>
      <w:r w:rsidRPr="00F87AF3">
        <w:rPr>
          <w:rFonts w:cs="Arial"/>
          <w:b/>
          <w:i/>
          <w:lang w:val="es-ES"/>
        </w:rPr>
        <w:t>Dirigido a las Partes, organizaciones intergubernamentales y no gubernamentales y otros interesados pertinentes</w:t>
      </w:r>
    </w:p>
    <w:p w14:paraId="43C1CF45" w14:textId="77777777" w:rsidR="003123C0" w:rsidRPr="00F87AF3" w:rsidRDefault="003123C0" w:rsidP="00114F16">
      <w:pPr>
        <w:spacing w:after="0" w:line="240" w:lineRule="auto"/>
        <w:jc w:val="both"/>
        <w:rPr>
          <w:rFonts w:cs="Arial"/>
          <w:b/>
          <w:i/>
          <w:lang w:val="es-ES"/>
        </w:rPr>
      </w:pPr>
    </w:p>
    <w:p w14:paraId="771FFF12" w14:textId="7076C582" w:rsidR="00114F16" w:rsidRPr="00F87AF3" w:rsidRDefault="00114F16" w:rsidP="00114F16">
      <w:pPr>
        <w:spacing w:after="0" w:line="240" w:lineRule="auto"/>
        <w:ind w:left="851" w:hanging="851"/>
        <w:jc w:val="both"/>
        <w:rPr>
          <w:rFonts w:cs="Arial"/>
          <w:lang w:val="es-ES"/>
        </w:rPr>
      </w:pPr>
      <w:r w:rsidRPr="00F87AF3">
        <w:rPr>
          <w:rFonts w:cs="Arial"/>
          <w:lang w:val="es-ES"/>
        </w:rPr>
        <w:t xml:space="preserve">13.EE </w:t>
      </w:r>
      <w:r w:rsidRPr="00F87AF3">
        <w:rPr>
          <w:rFonts w:cs="Arial"/>
          <w:lang w:val="es-ES"/>
        </w:rPr>
        <w:tab/>
      </w:r>
      <w:bookmarkEnd w:id="1"/>
      <w:r w:rsidR="003123C0" w:rsidRPr="00F87AF3">
        <w:rPr>
          <w:rFonts w:cs="Arial"/>
          <w:lang w:val="es-ES"/>
        </w:rPr>
        <w:t xml:space="preserve">Se alienta a las Partes, a las organizaciones intergubernamentales y no gubernamentales, así como a otros interesados directos pertinentes, a que apoyen al Consejo Científico en la aplicación de la Decisión 13. BB mediante el suministro de insumos </w:t>
      </w:r>
      <w:r w:rsidR="00F87AF3" w:rsidRPr="00F87AF3">
        <w:rPr>
          <w:rFonts w:cs="Arial"/>
          <w:lang w:val="es-ES"/>
        </w:rPr>
        <w:t>técnicos,</w:t>
      </w:r>
      <w:r w:rsidR="003123C0" w:rsidRPr="00F87AF3">
        <w:rPr>
          <w:rFonts w:cs="Arial"/>
          <w:lang w:val="es-ES"/>
        </w:rPr>
        <w:t xml:space="preserve"> así como de recursos financieros.</w:t>
      </w:r>
    </w:p>
    <w:p w14:paraId="381A4F52" w14:textId="77777777" w:rsidR="00D702AA" w:rsidRPr="00F87AF3" w:rsidRDefault="00D702AA" w:rsidP="00D702A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textAlignment w:val="baseline"/>
        <w:outlineLvl w:val="1"/>
        <w:rPr>
          <w:rFonts w:eastAsia="Times New Roman" w:cs="Arial"/>
          <w:b/>
          <w:bCs/>
          <w:lang w:val="es-ES"/>
        </w:rPr>
      </w:pPr>
    </w:p>
    <w:sectPr w:rsidR="00D702AA" w:rsidRPr="00F87AF3" w:rsidSect="00B104EC">
      <w:headerReference w:type="default" r:id="rId14"/>
      <w:headerReference w:type="first" r:id="rId15"/>
      <w:foot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ACFE" w14:textId="77777777" w:rsidR="00B75CBC" w:rsidRDefault="00B75CBC" w:rsidP="00002A97">
      <w:pPr>
        <w:spacing w:after="0" w:line="240" w:lineRule="auto"/>
      </w:pPr>
      <w:r>
        <w:separator/>
      </w:r>
    </w:p>
  </w:endnote>
  <w:endnote w:type="continuationSeparator" w:id="0">
    <w:p w14:paraId="6BDC5E7C" w14:textId="77777777" w:rsidR="00B75CBC" w:rsidRDefault="00B75CBC"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29223"/>
      <w:docPartObj>
        <w:docPartGallery w:val="Page Numbers (Bottom of Page)"/>
        <w:docPartUnique/>
      </w:docPartObj>
    </w:sdtPr>
    <w:sdtEndPr>
      <w:rPr>
        <w:noProof/>
        <w:sz w:val="18"/>
        <w:szCs w:val="18"/>
      </w:rPr>
    </w:sdtEndPr>
    <w:sdtContent>
      <w:p w14:paraId="40B8637D" w14:textId="77777777" w:rsidR="00551BC0" w:rsidRPr="00551BC0" w:rsidRDefault="00551BC0">
        <w:pPr>
          <w:pStyle w:val="Footer"/>
          <w:jc w:val="center"/>
          <w:rPr>
            <w:sz w:val="18"/>
            <w:szCs w:val="18"/>
          </w:rPr>
        </w:pPr>
        <w:r w:rsidRPr="00551BC0">
          <w:rPr>
            <w:sz w:val="18"/>
            <w:szCs w:val="18"/>
          </w:rPr>
          <w:fldChar w:fldCharType="begin"/>
        </w:r>
        <w:r w:rsidRPr="00551BC0">
          <w:rPr>
            <w:sz w:val="18"/>
            <w:szCs w:val="18"/>
          </w:rPr>
          <w:instrText xml:space="preserve"> PAGE   \* MERGEFORMAT </w:instrText>
        </w:r>
        <w:r w:rsidRPr="00551BC0">
          <w:rPr>
            <w:sz w:val="18"/>
            <w:szCs w:val="18"/>
          </w:rPr>
          <w:fldChar w:fldCharType="separate"/>
        </w:r>
        <w:r w:rsidRPr="00551BC0">
          <w:rPr>
            <w:noProof/>
            <w:sz w:val="18"/>
            <w:szCs w:val="18"/>
          </w:rPr>
          <w:t>2</w:t>
        </w:r>
        <w:r w:rsidRPr="00551BC0">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349357"/>
      <w:docPartObj>
        <w:docPartGallery w:val="Page Numbers (Bottom of Page)"/>
        <w:docPartUnique/>
      </w:docPartObj>
    </w:sdtPr>
    <w:sdtEndPr>
      <w:rPr>
        <w:noProof/>
        <w:sz w:val="18"/>
        <w:szCs w:val="18"/>
      </w:rPr>
    </w:sdtEndPr>
    <w:sdtContent>
      <w:p w14:paraId="73E0AC8D" w14:textId="77777777" w:rsidR="00551BC0" w:rsidRPr="00551BC0" w:rsidRDefault="00551BC0">
        <w:pPr>
          <w:pStyle w:val="Footer"/>
          <w:jc w:val="center"/>
          <w:rPr>
            <w:sz w:val="18"/>
            <w:szCs w:val="18"/>
          </w:rPr>
        </w:pPr>
        <w:r w:rsidRPr="00551BC0">
          <w:rPr>
            <w:sz w:val="18"/>
            <w:szCs w:val="18"/>
          </w:rPr>
          <w:fldChar w:fldCharType="begin"/>
        </w:r>
        <w:r w:rsidRPr="00551BC0">
          <w:rPr>
            <w:sz w:val="18"/>
            <w:szCs w:val="18"/>
          </w:rPr>
          <w:instrText xml:space="preserve"> PAGE   \* MERGEFORMAT </w:instrText>
        </w:r>
        <w:r w:rsidRPr="00551BC0">
          <w:rPr>
            <w:sz w:val="18"/>
            <w:szCs w:val="18"/>
          </w:rPr>
          <w:fldChar w:fldCharType="separate"/>
        </w:r>
        <w:r w:rsidRPr="00551BC0">
          <w:rPr>
            <w:noProof/>
            <w:sz w:val="18"/>
            <w:szCs w:val="18"/>
          </w:rPr>
          <w:t>2</w:t>
        </w:r>
        <w:r w:rsidRPr="00551BC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98F4" w14:textId="652D590D"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74416"/>
      <w:docPartObj>
        <w:docPartGallery w:val="Page Numbers (Bottom of Page)"/>
        <w:docPartUnique/>
      </w:docPartObj>
    </w:sdtPr>
    <w:sdtEndPr>
      <w:rPr>
        <w:noProof/>
        <w:sz w:val="18"/>
        <w:szCs w:val="18"/>
      </w:rPr>
    </w:sdtEndPr>
    <w:sdtContent>
      <w:p w14:paraId="064822C5" w14:textId="4BC5DC99" w:rsidR="00C61C51" w:rsidRPr="00C61C51" w:rsidRDefault="00C61C51">
        <w:pPr>
          <w:pStyle w:val="Footer"/>
          <w:jc w:val="center"/>
          <w:rPr>
            <w:sz w:val="18"/>
            <w:szCs w:val="18"/>
          </w:rPr>
        </w:pPr>
        <w:r w:rsidRPr="00C61C51">
          <w:rPr>
            <w:sz w:val="18"/>
            <w:szCs w:val="18"/>
          </w:rPr>
          <w:fldChar w:fldCharType="begin"/>
        </w:r>
        <w:r w:rsidRPr="00C61C51">
          <w:rPr>
            <w:sz w:val="18"/>
            <w:szCs w:val="18"/>
          </w:rPr>
          <w:instrText xml:space="preserve"> PAGE   \* MERGEFORMAT </w:instrText>
        </w:r>
        <w:r w:rsidRPr="00C61C51">
          <w:rPr>
            <w:sz w:val="18"/>
            <w:szCs w:val="18"/>
          </w:rPr>
          <w:fldChar w:fldCharType="separate"/>
        </w:r>
        <w:r w:rsidRPr="00C61C51">
          <w:rPr>
            <w:noProof/>
            <w:sz w:val="18"/>
            <w:szCs w:val="18"/>
          </w:rPr>
          <w:t>2</w:t>
        </w:r>
        <w:r w:rsidRPr="00C61C5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8F40" w14:textId="77777777" w:rsidR="00B75CBC" w:rsidRDefault="00B75CBC" w:rsidP="00002A97">
      <w:pPr>
        <w:spacing w:after="0" w:line="240" w:lineRule="auto"/>
      </w:pPr>
      <w:r>
        <w:separator/>
      </w:r>
    </w:p>
  </w:footnote>
  <w:footnote w:type="continuationSeparator" w:id="0">
    <w:p w14:paraId="450DEC0E" w14:textId="77777777" w:rsidR="00B75CBC" w:rsidRDefault="00B75CBC" w:rsidP="00002A97">
      <w:pPr>
        <w:spacing w:after="0" w:line="240" w:lineRule="auto"/>
      </w:pPr>
      <w:r>
        <w:continuationSeparator/>
      </w:r>
    </w:p>
  </w:footnote>
  <w:footnote w:id="1">
    <w:p w14:paraId="710F9047" w14:textId="552FAE26" w:rsidR="009F45DD" w:rsidRPr="009F45DD" w:rsidRDefault="009F45DD" w:rsidP="009F45DD">
      <w:pPr>
        <w:pStyle w:val="FootnoteText"/>
        <w:rPr>
          <w:sz w:val="16"/>
          <w:lang w:val="es-ES"/>
        </w:rPr>
      </w:pPr>
      <w:r w:rsidRPr="00C93587">
        <w:rPr>
          <w:rStyle w:val="FootnoteReference"/>
          <w:sz w:val="16"/>
        </w:rPr>
        <w:footnoteRef/>
      </w:r>
      <w:r w:rsidRPr="009F45DD">
        <w:rPr>
          <w:sz w:val="16"/>
          <w:lang w:val="es-ES"/>
        </w:rPr>
        <w:t xml:space="preserve"> Para más información, véase </w:t>
      </w:r>
      <w:r w:rsidRPr="009F45DD">
        <w:rPr>
          <w:rFonts w:eastAsia="Times New Roman" w:cs="Arial"/>
          <w:sz w:val="16"/>
          <w:lang w:val="es-ES"/>
        </w:rPr>
        <w:t>UNEP/CMS/</w:t>
      </w:r>
      <w:r w:rsidRPr="009F45DD">
        <w:rPr>
          <w:sz w:val="16"/>
          <w:lang w:val="es-ES"/>
        </w:rPr>
        <w:t>COP13/Doc.26.4.2.1</w:t>
      </w:r>
    </w:p>
  </w:footnote>
  <w:footnote w:id="2">
    <w:p w14:paraId="5E66D895" w14:textId="77777777" w:rsidR="009F45DD" w:rsidRPr="003E1611" w:rsidRDefault="009F45DD" w:rsidP="009F45DD">
      <w:pPr>
        <w:pStyle w:val="FootnoteText"/>
        <w:rPr>
          <w:sz w:val="16"/>
          <w:szCs w:val="16"/>
          <w:lang w:val="es-ES"/>
        </w:rPr>
      </w:pPr>
      <w:r w:rsidRPr="00C93587">
        <w:rPr>
          <w:rStyle w:val="FootnoteReference"/>
          <w:sz w:val="16"/>
        </w:rPr>
        <w:footnoteRef/>
      </w:r>
      <w:r w:rsidRPr="003E1611">
        <w:rPr>
          <w:sz w:val="16"/>
          <w:lang w:val="es-ES"/>
        </w:rPr>
        <w:t xml:space="preserve"> </w:t>
      </w:r>
      <w:hyperlink r:id="rId1" w:history="1">
        <w:r w:rsidRPr="003E1611">
          <w:rPr>
            <w:rStyle w:val="Hyperlink"/>
            <w:sz w:val="16"/>
            <w:szCs w:val="16"/>
            <w:lang w:val="es-ES"/>
          </w:rPr>
          <w:t>https://www.cms.int/sites/default/files/basic_page_documents/CMS-Guidelines-EIA-Marine Noise_TechnicalSupportInformation_FINAL20170918.pdf</w:t>
        </w:r>
      </w:hyperlink>
      <w:r w:rsidRPr="003E1611">
        <w:rPr>
          <w:rStyle w:val="Hyperlink"/>
          <w:sz w:val="16"/>
          <w:szCs w:val="16"/>
          <w:lang w:val="es-ES"/>
        </w:rPr>
        <w:t xml:space="preserve"> </w:t>
      </w:r>
    </w:p>
  </w:footnote>
  <w:footnote w:id="3">
    <w:p w14:paraId="2A8FBE8C" w14:textId="0C05E188" w:rsidR="009F45DD" w:rsidRPr="009F45DD" w:rsidRDefault="009F45DD" w:rsidP="009F45DD">
      <w:pPr>
        <w:pStyle w:val="FootnoteText"/>
        <w:rPr>
          <w:sz w:val="16"/>
          <w:szCs w:val="16"/>
          <w:lang w:val="es-ES"/>
        </w:rPr>
      </w:pPr>
      <w:r w:rsidRPr="00F02EE8">
        <w:rPr>
          <w:rStyle w:val="FootnoteReference"/>
          <w:sz w:val="16"/>
          <w:szCs w:val="16"/>
        </w:rPr>
        <w:footnoteRef/>
      </w:r>
      <w:r w:rsidRPr="009F45DD">
        <w:rPr>
          <w:sz w:val="16"/>
          <w:szCs w:val="16"/>
          <w:lang w:val="es-ES"/>
        </w:rPr>
        <w:t xml:space="preserve"> </w:t>
      </w:r>
      <w:r w:rsidRPr="009F45DD">
        <w:rPr>
          <w:sz w:val="16"/>
          <w:lang w:val="es-ES"/>
        </w:rPr>
        <w:t xml:space="preserve">Para más información, véase </w:t>
      </w:r>
      <w:r w:rsidRPr="009F45DD">
        <w:rPr>
          <w:sz w:val="16"/>
          <w:szCs w:val="16"/>
          <w:lang w:val="es-ES"/>
        </w:rPr>
        <w:t>UNEP/CMS/COP12/Doc.26.2.2</w:t>
      </w:r>
    </w:p>
  </w:footnote>
  <w:footnote w:id="4">
    <w:p w14:paraId="35C653E1" w14:textId="77777777" w:rsidR="00965F00" w:rsidRPr="005F0D5C" w:rsidRDefault="00965F00" w:rsidP="00965F00">
      <w:pPr>
        <w:pStyle w:val="FootnoteText"/>
        <w:rPr>
          <w:sz w:val="16"/>
          <w:szCs w:val="16"/>
          <w:lang w:val="es-ES"/>
        </w:rPr>
      </w:pPr>
      <w:r w:rsidRPr="00236F97">
        <w:rPr>
          <w:rStyle w:val="FootnoteReference"/>
          <w:sz w:val="16"/>
          <w:szCs w:val="16"/>
        </w:rPr>
        <w:footnoteRef/>
      </w:r>
      <w:r w:rsidRPr="0060754A">
        <w:rPr>
          <w:sz w:val="16"/>
          <w:szCs w:val="16"/>
          <w:lang w:val="es-ES"/>
        </w:rPr>
        <w:t xml:space="preserve"> PNUMA (2018). </w:t>
      </w:r>
      <w:r w:rsidRPr="005F0D5C">
        <w:rPr>
          <w:sz w:val="16"/>
          <w:szCs w:val="16"/>
          <w:lang w:val="es-ES"/>
        </w:rPr>
        <w:t>Evaluación de los impactos ambientales - Una revisión global de la legislació</w:t>
      </w:r>
      <w:r>
        <w:rPr>
          <w:sz w:val="16"/>
          <w:szCs w:val="16"/>
          <w:lang w:val="es-ES"/>
        </w:rPr>
        <w:t xml:space="preserve">n. </w:t>
      </w:r>
      <w:r w:rsidRPr="005F0D5C">
        <w:rPr>
          <w:sz w:val="16"/>
          <w:szCs w:val="16"/>
          <w:lang w:val="es-ES"/>
        </w:rPr>
        <w:t>Nairobi, Kenia.</w:t>
      </w:r>
    </w:p>
  </w:footnote>
  <w:footnote w:id="5">
    <w:p w14:paraId="338E8279" w14:textId="77777777" w:rsidR="00965F00" w:rsidRPr="00CC5FAD" w:rsidRDefault="00965F00" w:rsidP="00965F00">
      <w:pPr>
        <w:pStyle w:val="FootnoteText"/>
        <w:rPr>
          <w:sz w:val="16"/>
          <w:szCs w:val="16"/>
          <w:lang w:val="es-ES"/>
        </w:rPr>
      </w:pPr>
      <w:r w:rsidRPr="00236F97">
        <w:rPr>
          <w:rStyle w:val="FootnoteReference"/>
          <w:sz w:val="16"/>
          <w:szCs w:val="16"/>
        </w:rPr>
        <w:footnoteRef/>
      </w:r>
      <w:r w:rsidRPr="00CC5FAD">
        <w:rPr>
          <w:sz w:val="16"/>
          <w:szCs w:val="16"/>
          <w:lang w:val="es-ES"/>
        </w:rPr>
        <w:t xml:space="preserve"> Kazajstán, Kirguistán, Tayikistán, Turkmenistán, Uzbekistán, Mongolia, China, y el Federación de Rusia</w:t>
      </w:r>
    </w:p>
  </w:footnote>
  <w:footnote w:id="6">
    <w:p w14:paraId="7D3020F6" w14:textId="77777777" w:rsidR="00965F00" w:rsidRPr="00CC5FAD" w:rsidRDefault="00965F00" w:rsidP="00965F00">
      <w:pPr>
        <w:pStyle w:val="FootnoteText"/>
        <w:rPr>
          <w:sz w:val="16"/>
          <w:szCs w:val="16"/>
          <w:lang w:val="es-ES"/>
        </w:rPr>
      </w:pPr>
      <w:r w:rsidRPr="00A23FDA">
        <w:rPr>
          <w:rStyle w:val="FootnoteReference"/>
          <w:sz w:val="16"/>
          <w:szCs w:val="16"/>
        </w:rPr>
        <w:footnoteRef/>
      </w:r>
      <w:r w:rsidRPr="00CC5FAD">
        <w:rPr>
          <w:sz w:val="16"/>
          <w:szCs w:val="16"/>
          <w:lang w:val="es-ES"/>
        </w:rPr>
        <w:t xml:space="preserve"> CMS Resoluci</w:t>
      </w:r>
      <w:r>
        <w:rPr>
          <w:sz w:val="16"/>
          <w:szCs w:val="16"/>
          <w:lang w:val="es-ES"/>
        </w:rPr>
        <w:t>ón</w:t>
      </w:r>
      <w:r w:rsidRPr="00CC5FAD">
        <w:rPr>
          <w:sz w:val="16"/>
          <w:szCs w:val="16"/>
          <w:lang w:val="es-ES"/>
        </w:rPr>
        <w:t xml:space="preserve"> 12.9</w:t>
      </w:r>
    </w:p>
  </w:footnote>
  <w:footnote w:id="7">
    <w:p w14:paraId="46FC6ECE" w14:textId="77777777" w:rsidR="009F7E6D" w:rsidRPr="00767E0A" w:rsidRDefault="009F7E6D" w:rsidP="00767E0A">
      <w:pPr>
        <w:pStyle w:val="FootnoteText"/>
        <w:jc w:val="both"/>
        <w:rPr>
          <w:sz w:val="16"/>
          <w:szCs w:val="16"/>
          <w:lang w:val="es-ES"/>
        </w:rPr>
      </w:pPr>
      <w:bookmarkStart w:id="0" w:name="_GoBack"/>
      <w:r w:rsidRPr="00767E0A">
        <w:rPr>
          <w:rStyle w:val="FootnoteReference"/>
          <w:sz w:val="16"/>
          <w:szCs w:val="16"/>
        </w:rPr>
        <w:footnoteRef/>
      </w:r>
      <w:r w:rsidRPr="00767E0A">
        <w:rPr>
          <w:sz w:val="16"/>
          <w:szCs w:val="16"/>
          <w:lang w:val="es-ES"/>
        </w:rPr>
        <w:t xml:space="preserve"> CBD/SBSTTA/21/INF/13</w:t>
      </w:r>
      <w:bookmarkEnd w:id="0"/>
    </w:p>
  </w:footnote>
  <w:footnote w:id="8">
    <w:p w14:paraId="50F177E8" w14:textId="5B2B5F70" w:rsidR="009F7E6D" w:rsidRPr="00767E0A" w:rsidRDefault="009F7E6D" w:rsidP="00767E0A">
      <w:pPr>
        <w:pStyle w:val="FootnoteText"/>
        <w:jc w:val="both"/>
        <w:rPr>
          <w:sz w:val="16"/>
          <w:szCs w:val="16"/>
          <w:lang w:val="es-ES"/>
        </w:rPr>
      </w:pPr>
      <w:r w:rsidRPr="00767E0A">
        <w:rPr>
          <w:rStyle w:val="FootnoteReference"/>
          <w:sz w:val="16"/>
          <w:szCs w:val="16"/>
        </w:rPr>
        <w:footnoteRef/>
      </w:r>
      <w:r w:rsidRPr="00767E0A">
        <w:rPr>
          <w:sz w:val="16"/>
          <w:szCs w:val="16"/>
          <w:lang w:val="es-ES"/>
        </w:rPr>
        <w:t xml:space="preserve"> CBD/COP/DEC/14/3 párrafo 13(c)</w:t>
      </w:r>
    </w:p>
  </w:footnote>
  <w:footnote w:id="9">
    <w:p w14:paraId="7867BF6F" w14:textId="2B72897A" w:rsidR="009F7E6D" w:rsidRPr="00767E0A" w:rsidRDefault="009F7E6D" w:rsidP="00767E0A">
      <w:pPr>
        <w:pStyle w:val="FootnoteText"/>
        <w:jc w:val="both"/>
        <w:rPr>
          <w:sz w:val="16"/>
          <w:szCs w:val="16"/>
          <w:lang w:val="es-ES"/>
        </w:rPr>
      </w:pPr>
      <w:r w:rsidRPr="00767E0A">
        <w:rPr>
          <w:rStyle w:val="FootnoteReference"/>
          <w:sz w:val="16"/>
          <w:szCs w:val="16"/>
          <w:lang w:val="es-ES"/>
        </w:rPr>
        <w:footnoteRef/>
      </w:r>
      <w:r w:rsidRPr="00767E0A">
        <w:rPr>
          <w:sz w:val="16"/>
          <w:szCs w:val="16"/>
          <w:lang w:val="es-ES"/>
        </w:rPr>
        <w:t xml:space="preserve"> CBD/SBI/2/4/Add.5 párrafo 43</w:t>
      </w:r>
    </w:p>
  </w:footnote>
  <w:footnote w:id="10">
    <w:p w14:paraId="71504F11" w14:textId="711D4291" w:rsidR="009F7E6D" w:rsidRPr="00767E0A" w:rsidRDefault="009F7E6D" w:rsidP="00767E0A">
      <w:pPr>
        <w:pStyle w:val="FootnoteText"/>
        <w:jc w:val="both"/>
        <w:rPr>
          <w:sz w:val="16"/>
          <w:szCs w:val="16"/>
          <w:lang w:val="es-ES"/>
        </w:rPr>
      </w:pPr>
      <w:r w:rsidRPr="00767E0A">
        <w:rPr>
          <w:rStyle w:val="FootnoteReference"/>
          <w:sz w:val="16"/>
          <w:szCs w:val="16"/>
          <w:lang w:val="es-ES"/>
        </w:rPr>
        <w:footnoteRef/>
      </w:r>
      <w:r w:rsidRPr="00767E0A">
        <w:rPr>
          <w:sz w:val="16"/>
          <w:szCs w:val="16"/>
          <w:lang w:val="es-ES"/>
        </w:rPr>
        <w:t xml:space="preserve"> Los </w:t>
      </w:r>
      <w:r w:rsidR="00F87AF3" w:rsidRPr="00767E0A">
        <w:rPr>
          <w:sz w:val="16"/>
          <w:szCs w:val="16"/>
          <w:lang w:val="es-ES"/>
        </w:rPr>
        <w:t>hábitats</w:t>
      </w:r>
      <w:r w:rsidRPr="00767E0A">
        <w:rPr>
          <w:sz w:val="16"/>
          <w:szCs w:val="16"/>
          <w:lang w:val="es-ES"/>
        </w:rPr>
        <w:t xml:space="preserve"> </w:t>
      </w:r>
      <w:r w:rsidR="00F87AF3" w:rsidRPr="00767E0A">
        <w:rPr>
          <w:sz w:val="16"/>
          <w:szCs w:val="16"/>
          <w:lang w:val="es-ES"/>
        </w:rPr>
        <w:t>críticos</w:t>
      </w:r>
      <w:r w:rsidRPr="00767E0A">
        <w:rPr>
          <w:sz w:val="16"/>
          <w:szCs w:val="16"/>
          <w:lang w:val="es-ES"/>
        </w:rPr>
        <w:t xml:space="preserve"> son </w:t>
      </w:r>
      <w:r w:rsidR="00F87AF3" w:rsidRPr="00767E0A">
        <w:rPr>
          <w:sz w:val="16"/>
          <w:szCs w:val="16"/>
          <w:lang w:val="es-ES"/>
        </w:rPr>
        <w:t>áreas</w:t>
      </w:r>
      <w:r w:rsidRPr="00767E0A">
        <w:rPr>
          <w:sz w:val="16"/>
          <w:szCs w:val="16"/>
          <w:lang w:val="es-ES"/>
        </w:rPr>
        <w:t xml:space="preserve"> con alto valor de biodiversidad, tales como (i) </w:t>
      </w:r>
      <w:r w:rsidR="00F87AF3" w:rsidRPr="00767E0A">
        <w:rPr>
          <w:sz w:val="16"/>
          <w:szCs w:val="16"/>
          <w:lang w:val="es-ES"/>
        </w:rPr>
        <w:t>hábitats</w:t>
      </w:r>
      <w:r w:rsidRPr="00767E0A">
        <w:rPr>
          <w:sz w:val="16"/>
          <w:szCs w:val="16"/>
          <w:lang w:val="es-ES"/>
        </w:rPr>
        <w:t xml:space="preserve"> de importancia significativa para la supervivencia de especies amenazadas o </w:t>
      </w:r>
      <w:r w:rsidR="00F87AF3" w:rsidRPr="00767E0A">
        <w:rPr>
          <w:sz w:val="16"/>
          <w:szCs w:val="16"/>
          <w:lang w:val="es-ES"/>
        </w:rPr>
        <w:t>críticamente</w:t>
      </w:r>
      <w:r w:rsidRPr="00767E0A">
        <w:rPr>
          <w:sz w:val="16"/>
          <w:szCs w:val="16"/>
          <w:lang w:val="es-ES"/>
        </w:rPr>
        <w:t xml:space="preserve"> amenazadas; (</w:t>
      </w:r>
      <w:proofErr w:type="spellStart"/>
      <w:r w:rsidRPr="00767E0A">
        <w:rPr>
          <w:sz w:val="16"/>
          <w:szCs w:val="16"/>
          <w:lang w:val="es-ES"/>
        </w:rPr>
        <w:t>ii</w:t>
      </w:r>
      <w:proofErr w:type="spellEnd"/>
      <w:r w:rsidRPr="00767E0A">
        <w:rPr>
          <w:sz w:val="16"/>
          <w:szCs w:val="16"/>
          <w:lang w:val="es-ES"/>
        </w:rPr>
        <w:t xml:space="preserve">) </w:t>
      </w:r>
      <w:r w:rsidR="00F87AF3" w:rsidRPr="00767E0A">
        <w:rPr>
          <w:sz w:val="16"/>
          <w:szCs w:val="16"/>
          <w:lang w:val="es-ES"/>
        </w:rPr>
        <w:t>hábitats</w:t>
      </w:r>
      <w:r w:rsidRPr="00767E0A">
        <w:rPr>
          <w:sz w:val="16"/>
          <w:szCs w:val="16"/>
          <w:lang w:val="es-ES"/>
        </w:rPr>
        <w:t xml:space="preserve"> de importancia significativa para la supervivencia de especies </w:t>
      </w:r>
      <w:r w:rsidR="00F87AF3" w:rsidRPr="00767E0A">
        <w:rPr>
          <w:sz w:val="16"/>
          <w:szCs w:val="16"/>
          <w:lang w:val="es-ES"/>
        </w:rPr>
        <w:t>endémicas</w:t>
      </w:r>
      <w:r w:rsidRPr="00767E0A">
        <w:rPr>
          <w:sz w:val="16"/>
          <w:szCs w:val="16"/>
          <w:lang w:val="es-ES"/>
        </w:rPr>
        <w:t xml:space="preserve"> o especies restringidas a ciertas </w:t>
      </w:r>
      <w:r w:rsidR="00F87AF3" w:rsidRPr="00767E0A">
        <w:rPr>
          <w:sz w:val="16"/>
          <w:szCs w:val="16"/>
          <w:lang w:val="es-ES"/>
        </w:rPr>
        <w:t>áreas</w:t>
      </w:r>
      <w:r w:rsidRPr="00767E0A">
        <w:rPr>
          <w:sz w:val="16"/>
          <w:szCs w:val="16"/>
          <w:lang w:val="es-ES"/>
        </w:rPr>
        <w:t>; (</w:t>
      </w:r>
      <w:proofErr w:type="spellStart"/>
      <w:r w:rsidRPr="00767E0A">
        <w:rPr>
          <w:sz w:val="16"/>
          <w:szCs w:val="16"/>
          <w:lang w:val="es-ES"/>
        </w:rPr>
        <w:t>iii</w:t>
      </w:r>
      <w:proofErr w:type="spellEnd"/>
      <w:r w:rsidRPr="00767E0A">
        <w:rPr>
          <w:sz w:val="16"/>
          <w:szCs w:val="16"/>
          <w:lang w:val="es-ES"/>
        </w:rPr>
        <w:t xml:space="preserve">) </w:t>
      </w:r>
      <w:r w:rsidR="00F87AF3" w:rsidRPr="00767E0A">
        <w:rPr>
          <w:sz w:val="16"/>
          <w:szCs w:val="16"/>
          <w:lang w:val="es-ES"/>
        </w:rPr>
        <w:t>hábitats</w:t>
      </w:r>
      <w:r w:rsidRPr="00767E0A">
        <w:rPr>
          <w:sz w:val="16"/>
          <w:szCs w:val="16"/>
          <w:lang w:val="es-ES"/>
        </w:rPr>
        <w:t xml:space="preserve"> que sustentan la supervivencia de concentraciones significativas a nivel mundial de especies migratorias o especies que se congregan; (</w:t>
      </w:r>
      <w:proofErr w:type="spellStart"/>
      <w:r w:rsidRPr="00767E0A">
        <w:rPr>
          <w:sz w:val="16"/>
          <w:szCs w:val="16"/>
          <w:lang w:val="es-ES"/>
        </w:rPr>
        <w:t>iv</w:t>
      </w:r>
      <w:proofErr w:type="spellEnd"/>
      <w:r w:rsidRPr="00767E0A">
        <w:rPr>
          <w:sz w:val="16"/>
          <w:szCs w:val="16"/>
          <w:lang w:val="es-ES"/>
        </w:rPr>
        <w:t xml:space="preserve">) ecosistemas </w:t>
      </w:r>
      <w:r w:rsidR="00F87AF3" w:rsidRPr="00767E0A">
        <w:rPr>
          <w:sz w:val="16"/>
          <w:szCs w:val="16"/>
          <w:lang w:val="es-ES"/>
        </w:rPr>
        <w:t>únicos</w:t>
      </w:r>
      <w:r w:rsidRPr="00767E0A">
        <w:rPr>
          <w:sz w:val="16"/>
          <w:szCs w:val="16"/>
          <w:lang w:val="es-ES"/>
        </w:rPr>
        <w:t xml:space="preserve"> o altamente amenazados, o (v) </w:t>
      </w:r>
      <w:r w:rsidR="00F87AF3" w:rsidRPr="00767E0A">
        <w:rPr>
          <w:sz w:val="16"/>
          <w:szCs w:val="16"/>
          <w:lang w:val="es-ES"/>
        </w:rPr>
        <w:t>áreas</w:t>
      </w:r>
      <w:r w:rsidRPr="00767E0A">
        <w:rPr>
          <w:sz w:val="16"/>
          <w:szCs w:val="16"/>
          <w:lang w:val="es-ES"/>
        </w:rPr>
        <w:t xml:space="preserve"> asociadas con procesos evolutivos clave. Para más información, véase </w:t>
      </w:r>
      <w:r w:rsidR="00A23157" w:rsidRPr="00767E0A">
        <w:rPr>
          <w:sz w:val="16"/>
          <w:szCs w:val="16"/>
          <w:lang w:val="es-ES"/>
        </w:rPr>
        <w:t xml:space="preserve">Párrafo 16 de </w:t>
      </w:r>
      <w:proofErr w:type="gramStart"/>
      <w:r w:rsidRPr="00767E0A">
        <w:rPr>
          <w:sz w:val="16"/>
          <w:szCs w:val="16"/>
          <w:lang w:val="es-ES"/>
        </w:rPr>
        <w:t>IFC(</w:t>
      </w:r>
      <w:proofErr w:type="gramEnd"/>
      <w:r w:rsidRPr="00767E0A">
        <w:rPr>
          <w:sz w:val="16"/>
          <w:szCs w:val="16"/>
          <w:lang w:val="es-ES"/>
        </w:rPr>
        <w:t xml:space="preserve">2012) Norma de </w:t>
      </w:r>
      <w:r w:rsidR="00F87AF3" w:rsidRPr="00767E0A">
        <w:rPr>
          <w:sz w:val="16"/>
          <w:szCs w:val="16"/>
          <w:lang w:val="es-ES"/>
        </w:rPr>
        <w:t>Desempeño</w:t>
      </w:r>
      <w:r w:rsidRPr="00767E0A">
        <w:rPr>
          <w:sz w:val="16"/>
          <w:szCs w:val="16"/>
          <w:lang w:val="es-ES"/>
        </w:rPr>
        <w:t xml:space="preserve"> 6 </w:t>
      </w:r>
      <w:r w:rsidR="00F87AF3" w:rsidRPr="00767E0A">
        <w:rPr>
          <w:sz w:val="16"/>
          <w:szCs w:val="16"/>
          <w:lang w:val="es-ES"/>
        </w:rPr>
        <w:t>Conservación</w:t>
      </w:r>
      <w:r w:rsidRPr="00767E0A">
        <w:rPr>
          <w:sz w:val="16"/>
          <w:szCs w:val="16"/>
          <w:lang w:val="es-ES"/>
        </w:rPr>
        <w:t xml:space="preserve"> de la biodiversidad y </w:t>
      </w:r>
      <w:r w:rsidR="00F87AF3" w:rsidRPr="00767E0A">
        <w:rPr>
          <w:sz w:val="16"/>
          <w:szCs w:val="16"/>
          <w:lang w:val="es-ES"/>
        </w:rPr>
        <w:t>gestión</w:t>
      </w:r>
      <w:r w:rsidRPr="00767E0A">
        <w:rPr>
          <w:sz w:val="16"/>
          <w:szCs w:val="16"/>
          <w:lang w:val="es-ES"/>
        </w:rPr>
        <w:t xml:space="preserve"> sostenible de recursos naturales vivos. </w:t>
      </w:r>
    </w:p>
  </w:footnote>
  <w:footnote w:id="11">
    <w:p w14:paraId="30F63471" w14:textId="7BD957D3" w:rsidR="009F7E6D" w:rsidRPr="00767E0A" w:rsidRDefault="009F7E6D" w:rsidP="00767E0A">
      <w:pPr>
        <w:pStyle w:val="FootnoteText"/>
        <w:jc w:val="both"/>
        <w:rPr>
          <w:sz w:val="16"/>
          <w:szCs w:val="16"/>
          <w:lang w:val="en-US"/>
        </w:rPr>
      </w:pPr>
      <w:r w:rsidRPr="00767E0A">
        <w:rPr>
          <w:rStyle w:val="FootnoteReference"/>
          <w:sz w:val="16"/>
          <w:szCs w:val="16"/>
          <w:lang w:val="es-ES"/>
        </w:rPr>
        <w:footnoteRef/>
      </w:r>
      <w:r w:rsidR="003F6A69" w:rsidRPr="00767E0A">
        <w:rPr>
          <w:sz w:val="16"/>
          <w:szCs w:val="16"/>
          <w:lang w:val="es-ES"/>
        </w:rPr>
        <w:t xml:space="preserve">En el caso de las especies migratorias, se utilizan los siguientes umbrales para evaluar los hábitats críticos: a) zonas que se sabe que mantienen, de forma cíclica o de otra manera regular, ≥ el uno por ciento de la población mundial de una especie migratoria o </w:t>
      </w:r>
      <w:proofErr w:type="spellStart"/>
      <w:r w:rsidR="003F6A69" w:rsidRPr="00767E0A">
        <w:rPr>
          <w:sz w:val="16"/>
          <w:szCs w:val="16"/>
          <w:lang w:val="es-ES"/>
        </w:rPr>
        <w:t>congregatoria</w:t>
      </w:r>
      <w:proofErr w:type="spellEnd"/>
      <w:r w:rsidR="003F6A69" w:rsidRPr="00767E0A">
        <w:rPr>
          <w:sz w:val="16"/>
          <w:szCs w:val="16"/>
          <w:lang w:val="es-ES"/>
        </w:rPr>
        <w:t xml:space="preserve"> en cualquier punto del ciclo de vida de la especie; y b) zonas que previsiblemente sustentan ≥10 el uno por ciento de la población mundial de una especie durante períodos de tensión ambiental. </w:t>
      </w:r>
      <w:r w:rsidR="003F6A69" w:rsidRPr="00767E0A">
        <w:rPr>
          <w:sz w:val="16"/>
          <w:szCs w:val="16"/>
          <w:lang w:val="en-US"/>
        </w:rPr>
        <w:t xml:space="preserve">Para </w:t>
      </w:r>
      <w:proofErr w:type="spellStart"/>
      <w:r w:rsidR="003F6A69" w:rsidRPr="00767E0A">
        <w:rPr>
          <w:sz w:val="16"/>
          <w:szCs w:val="16"/>
          <w:lang w:val="en-US"/>
        </w:rPr>
        <w:t>más</w:t>
      </w:r>
      <w:proofErr w:type="spellEnd"/>
      <w:r w:rsidR="003F6A69" w:rsidRPr="00767E0A">
        <w:rPr>
          <w:sz w:val="16"/>
          <w:szCs w:val="16"/>
          <w:lang w:val="en-US"/>
        </w:rPr>
        <w:t xml:space="preserve"> </w:t>
      </w:r>
      <w:proofErr w:type="spellStart"/>
      <w:r w:rsidR="003F6A69" w:rsidRPr="00767E0A">
        <w:rPr>
          <w:sz w:val="16"/>
          <w:szCs w:val="16"/>
          <w:lang w:val="en-US"/>
        </w:rPr>
        <w:t>información</w:t>
      </w:r>
      <w:proofErr w:type="spellEnd"/>
      <w:r w:rsidR="003F6A69" w:rsidRPr="00767E0A">
        <w:rPr>
          <w:sz w:val="16"/>
          <w:szCs w:val="16"/>
          <w:lang w:val="en-US"/>
        </w:rPr>
        <w:t xml:space="preserve">, </w:t>
      </w:r>
      <w:proofErr w:type="spellStart"/>
      <w:r w:rsidR="003F6A69" w:rsidRPr="00767E0A">
        <w:rPr>
          <w:sz w:val="16"/>
          <w:szCs w:val="16"/>
          <w:lang w:val="en-US"/>
        </w:rPr>
        <w:t>véase</w:t>
      </w:r>
      <w:proofErr w:type="spellEnd"/>
      <w:r w:rsidR="003F6A69" w:rsidRPr="00767E0A">
        <w:rPr>
          <w:sz w:val="16"/>
          <w:szCs w:val="16"/>
          <w:lang w:val="en-US"/>
        </w:rPr>
        <w:t xml:space="preserve"> </w:t>
      </w:r>
      <w:proofErr w:type="spellStart"/>
      <w:r w:rsidR="00723AB4" w:rsidRPr="00767E0A">
        <w:rPr>
          <w:sz w:val="16"/>
          <w:szCs w:val="16"/>
          <w:lang w:val="en-US"/>
        </w:rPr>
        <w:t>Párrafo</w:t>
      </w:r>
      <w:proofErr w:type="spellEnd"/>
      <w:r w:rsidR="00723AB4" w:rsidRPr="00767E0A">
        <w:rPr>
          <w:sz w:val="16"/>
          <w:szCs w:val="16"/>
          <w:lang w:val="en-US"/>
        </w:rPr>
        <w:t xml:space="preserve"> GN78 de </w:t>
      </w:r>
      <w:proofErr w:type="gramStart"/>
      <w:r w:rsidRPr="00767E0A">
        <w:rPr>
          <w:sz w:val="16"/>
          <w:szCs w:val="16"/>
          <w:lang w:val="en-US"/>
        </w:rPr>
        <w:t>IFC(</w:t>
      </w:r>
      <w:proofErr w:type="gramEnd"/>
      <w:r w:rsidRPr="00767E0A">
        <w:rPr>
          <w:sz w:val="16"/>
          <w:szCs w:val="16"/>
          <w:lang w:val="en-US"/>
        </w:rPr>
        <w:t xml:space="preserve">2012) International Finance Corporation’s Guidance Note 6: Biodiversity Conservation and Sustainable Management of Living Natural Resources. </w:t>
      </w:r>
    </w:p>
  </w:footnote>
  <w:footnote w:id="12">
    <w:p w14:paraId="56DDD667" w14:textId="73CF2994" w:rsidR="009F7E6D" w:rsidRPr="00767E0A" w:rsidRDefault="009F7E6D" w:rsidP="00767E0A">
      <w:pPr>
        <w:pStyle w:val="FootnoteText"/>
        <w:jc w:val="both"/>
        <w:rPr>
          <w:sz w:val="16"/>
          <w:szCs w:val="16"/>
          <w:lang w:val="es-ES"/>
        </w:rPr>
      </w:pPr>
      <w:r w:rsidRPr="00767E0A">
        <w:rPr>
          <w:rStyle w:val="FootnoteReference"/>
          <w:sz w:val="16"/>
          <w:szCs w:val="16"/>
          <w:lang w:val="es-ES"/>
        </w:rPr>
        <w:footnoteRef/>
      </w:r>
      <w:r w:rsidRPr="00767E0A">
        <w:rPr>
          <w:sz w:val="16"/>
          <w:szCs w:val="16"/>
          <w:lang w:val="es-ES"/>
        </w:rPr>
        <w:t xml:space="preserve"> </w:t>
      </w:r>
      <w:r w:rsidR="00211B51" w:rsidRPr="00767E0A">
        <w:rPr>
          <w:sz w:val="16"/>
          <w:szCs w:val="16"/>
          <w:lang w:val="es-ES"/>
        </w:rPr>
        <w:t xml:space="preserve">Para más información, véase Párrafo </w:t>
      </w:r>
      <w:r w:rsidRPr="00767E0A">
        <w:rPr>
          <w:sz w:val="16"/>
          <w:szCs w:val="16"/>
          <w:lang w:val="es-ES"/>
        </w:rPr>
        <w:t xml:space="preserve">17 </w:t>
      </w:r>
      <w:r w:rsidR="00211B51" w:rsidRPr="00767E0A">
        <w:rPr>
          <w:sz w:val="16"/>
          <w:szCs w:val="16"/>
          <w:lang w:val="es-ES"/>
        </w:rPr>
        <w:t>de</w:t>
      </w:r>
      <w:r w:rsidRPr="00767E0A">
        <w:rPr>
          <w:sz w:val="16"/>
          <w:szCs w:val="16"/>
          <w:lang w:val="es-ES"/>
        </w:rPr>
        <w:t xml:space="preserve"> IFC (2012) </w:t>
      </w:r>
      <w:r w:rsidR="00211B51" w:rsidRPr="00767E0A">
        <w:rPr>
          <w:sz w:val="16"/>
          <w:szCs w:val="16"/>
          <w:lang w:val="es-ES"/>
        </w:rPr>
        <w:t xml:space="preserve">Norma de </w:t>
      </w:r>
      <w:r w:rsidR="00F87AF3" w:rsidRPr="00767E0A">
        <w:rPr>
          <w:sz w:val="16"/>
          <w:szCs w:val="16"/>
          <w:lang w:val="es-ES"/>
        </w:rPr>
        <w:t>Desempeño</w:t>
      </w:r>
      <w:r w:rsidR="00211B51" w:rsidRPr="00767E0A">
        <w:rPr>
          <w:sz w:val="16"/>
          <w:szCs w:val="16"/>
          <w:lang w:val="es-ES"/>
        </w:rPr>
        <w:t xml:space="preserve"> 6 </w:t>
      </w:r>
      <w:r w:rsidR="00F87AF3" w:rsidRPr="00767E0A">
        <w:rPr>
          <w:sz w:val="16"/>
          <w:szCs w:val="16"/>
          <w:lang w:val="es-ES"/>
        </w:rPr>
        <w:t>Conservación</w:t>
      </w:r>
      <w:r w:rsidR="00211B51" w:rsidRPr="00767E0A">
        <w:rPr>
          <w:sz w:val="16"/>
          <w:szCs w:val="16"/>
          <w:lang w:val="es-ES"/>
        </w:rPr>
        <w:t xml:space="preserve"> de la biodiversidad y </w:t>
      </w:r>
      <w:r w:rsidR="00F87AF3" w:rsidRPr="00767E0A">
        <w:rPr>
          <w:sz w:val="16"/>
          <w:szCs w:val="16"/>
          <w:lang w:val="es-ES"/>
        </w:rPr>
        <w:t>gestión</w:t>
      </w:r>
      <w:r w:rsidR="00211B51" w:rsidRPr="00767E0A">
        <w:rPr>
          <w:sz w:val="16"/>
          <w:szCs w:val="16"/>
          <w:lang w:val="es-ES"/>
        </w:rPr>
        <w:t xml:space="preserve"> sostenible de recursos naturales vivos</w:t>
      </w:r>
    </w:p>
  </w:footnote>
  <w:footnote w:id="13">
    <w:p w14:paraId="0C24A337" w14:textId="6BD32E30" w:rsidR="009F7E6D" w:rsidRPr="00767E0A" w:rsidRDefault="009F7E6D" w:rsidP="00767E0A">
      <w:pPr>
        <w:pStyle w:val="FootnoteText"/>
        <w:jc w:val="both"/>
        <w:rPr>
          <w:sz w:val="16"/>
          <w:szCs w:val="16"/>
          <w:lang w:val="es-ES"/>
        </w:rPr>
      </w:pPr>
      <w:r w:rsidRPr="00767E0A">
        <w:rPr>
          <w:rStyle w:val="FootnoteReference"/>
          <w:sz w:val="16"/>
          <w:szCs w:val="16"/>
          <w:lang w:val="es-ES"/>
        </w:rPr>
        <w:footnoteRef/>
      </w:r>
      <w:r w:rsidRPr="00767E0A">
        <w:rPr>
          <w:sz w:val="16"/>
          <w:szCs w:val="16"/>
          <w:lang w:val="es-ES"/>
        </w:rPr>
        <w:t xml:space="preserve"> </w:t>
      </w:r>
      <w:r w:rsidR="00211B51" w:rsidRPr="00767E0A">
        <w:rPr>
          <w:sz w:val="16"/>
          <w:szCs w:val="16"/>
          <w:lang w:val="es-ES"/>
        </w:rPr>
        <w:t>Banco Mundial</w:t>
      </w:r>
      <w:r w:rsidRPr="00767E0A">
        <w:rPr>
          <w:sz w:val="16"/>
          <w:szCs w:val="16"/>
          <w:lang w:val="es-ES"/>
        </w:rPr>
        <w:t xml:space="preserve"> (2001) </w:t>
      </w:r>
      <w:r w:rsidR="00211B51" w:rsidRPr="00767E0A">
        <w:rPr>
          <w:sz w:val="16"/>
          <w:szCs w:val="16"/>
          <w:lang w:val="es-ES"/>
        </w:rPr>
        <w:t xml:space="preserve">Manual de operaciones. </w:t>
      </w:r>
      <w:r w:rsidRPr="00767E0A">
        <w:rPr>
          <w:sz w:val="16"/>
          <w:szCs w:val="16"/>
          <w:lang w:val="es-ES"/>
        </w:rPr>
        <w:t>OP 4.04</w:t>
      </w:r>
    </w:p>
  </w:footnote>
  <w:footnote w:id="14">
    <w:p w14:paraId="34817405" w14:textId="20DB9421" w:rsidR="009F7E6D" w:rsidRPr="00767E0A" w:rsidRDefault="009F7E6D" w:rsidP="00767E0A">
      <w:pPr>
        <w:pStyle w:val="FootnoteText"/>
        <w:jc w:val="both"/>
        <w:rPr>
          <w:sz w:val="16"/>
          <w:szCs w:val="16"/>
          <w:lang w:val="es-ES"/>
        </w:rPr>
      </w:pPr>
      <w:r w:rsidRPr="00767E0A">
        <w:rPr>
          <w:rStyle w:val="FootnoteReference"/>
          <w:sz w:val="16"/>
          <w:szCs w:val="16"/>
          <w:lang w:val="es-ES"/>
        </w:rPr>
        <w:footnoteRef/>
      </w:r>
      <w:r w:rsidRPr="00767E0A">
        <w:rPr>
          <w:sz w:val="16"/>
          <w:szCs w:val="16"/>
          <w:lang w:val="es-ES"/>
        </w:rPr>
        <w:t xml:space="preserve"> </w:t>
      </w:r>
      <w:r w:rsidR="00211B51" w:rsidRPr="00767E0A">
        <w:rPr>
          <w:sz w:val="16"/>
          <w:szCs w:val="16"/>
          <w:lang w:val="es-ES"/>
        </w:rPr>
        <w:t xml:space="preserve">Banco Mundial </w:t>
      </w:r>
      <w:r w:rsidRPr="00767E0A">
        <w:rPr>
          <w:sz w:val="16"/>
          <w:szCs w:val="16"/>
          <w:lang w:val="es-ES"/>
        </w:rPr>
        <w:t xml:space="preserve">(2001) OP4.04 </w:t>
      </w:r>
      <w:r w:rsidR="00211B51" w:rsidRPr="00767E0A">
        <w:rPr>
          <w:sz w:val="16"/>
          <w:szCs w:val="16"/>
          <w:lang w:val="es-ES"/>
        </w:rPr>
        <w:t>Hábitats naturales</w:t>
      </w:r>
      <w:r w:rsidRPr="00767E0A">
        <w:rPr>
          <w:sz w:val="16"/>
          <w:szCs w:val="16"/>
          <w:lang w:val="es-ES"/>
        </w:rPr>
        <w:t xml:space="preserve">. </w:t>
      </w:r>
      <w:r w:rsidR="00211B51" w:rsidRPr="00767E0A">
        <w:rPr>
          <w:sz w:val="16"/>
          <w:szCs w:val="16"/>
          <w:lang w:val="es-ES"/>
        </w:rPr>
        <w:t xml:space="preserve">Párrafo </w:t>
      </w:r>
      <w:r w:rsidRPr="00767E0A">
        <w:rPr>
          <w:sz w:val="16"/>
          <w:szCs w:val="16"/>
          <w:lang w:val="es-ES"/>
        </w:rPr>
        <w:t>4</w:t>
      </w:r>
    </w:p>
  </w:footnote>
  <w:footnote w:id="15">
    <w:p w14:paraId="654CB3FD" w14:textId="220FCE66" w:rsidR="009F7E6D" w:rsidRPr="00767E0A" w:rsidRDefault="009F7E6D" w:rsidP="00767E0A">
      <w:pPr>
        <w:pStyle w:val="FootnoteText"/>
        <w:jc w:val="both"/>
        <w:rPr>
          <w:sz w:val="16"/>
          <w:szCs w:val="16"/>
          <w:lang w:val="es-ES"/>
        </w:rPr>
      </w:pPr>
      <w:r w:rsidRPr="00767E0A">
        <w:rPr>
          <w:rStyle w:val="FootnoteReference"/>
          <w:sz w:val="16"/>
          <w:szCs w:val="16"/>
          <w:lang w:val="es-ES"/>
        </w:rPr>
        <w:footnoteRef/>
      </w:r>
      <w:r w:rsidRPr="00767E0A">
        <w:rPr>
          <w:sz w:val="16"/>
          <w:szCs w:val="16"/>
          <w:lang w:val="es-ES"/>
        </w:rPr>
        <w:t xml:space="preserve"> </w:t>
      </w:r>
      <w:r w:rsidR="00211B51" w:rsidRPr="00767E0A">
        <w:rPr>
          <w:sz w:val="16"/>
          <w:szCs w:val="16"/>
          <w:lang w:val="es-ES"/>
        </w:rPr>
        <w:t xml:space="preserve">Cabe señalar que los prestatarios son responsables del cumplimiento del marco de salvaguardias con la ayuda de los prestamistas. </w:t>
      </w:r>
      <w:r w:rsidR="00F87AF3" w:rsidRPr="00767E0A">
        <w:rPr>
          <w:sz w:val="16"/>
          <w:szCs w:val="16"/>
          <w:lang w:val="es-ES"/>
        </w:rPr>
        <w:t>Véase</w:t>
      </w:r>
      <w:r w:rsidRPr="00767E0A">
        <w:rPr>
          <w:sz w:val="16"/>
          <w:szCs w:val="16"/>
          <w:lang w:val="es-ES"/>
        </w:rPr>
        <w:t xml:space="preserve">: WWF and IISD (2017) </w:t>
      </w:r>
      <w:r w:rsidR="00211B51" w:rsidRPr="00767E0A">
        <w:rPr>
          <w:sz w:val="16"/>
          <w:szCs w:val="16"/>
          <w:lang w:val="es-ES"/>
        </w:rPr>
        <w:t>¿Infraestructura en desacuerdo con la biodiversidad?</w:t>
      </w:r>
    </w:p>
  </w:footnote>
  <w:footnote w:id="16">
    <w:p w14:paraId="49FA5FF0" w14:textId="54776891" w:rsidR="006C281D" w:rsidRPr="0060754A" w:rsidRDefault="006C281D" w:rsidP="00C61C51">
      <w:pPr>
        <w:pStyle w:val="FootnoteText"/>
        <w:ind w:left="284" w:hanging="284"/>
        <w:jc w:val="both"/>
        <w:rPr>
          <w:sz w:val="16"/>
          <w:szCs w:val="16"/>
          <w:lang w:val="es-ES" w:eastAsia="ja-JP"/>
        </w:rPr>
      </w:pPr>
      <w:r w:rsidRPr="00F87AF3">
        <w:rPr>
          <w:rStyle w:val="FootnoteReference"/>
          <w:sz w:val="16"/>
          <w:szCs w:val="16"/>
          <w:lang w:val="es-ES"/>
        </w:rPr>
        <w:footnoteRef/>
      </w:r>
      <w:r w:rsidRPr="00F87AF3">
        <w:rPr>
          <w:sz w:val="16"/>
          <w:szCs w:val="16"/>
          <w:lang w:val="es-ES"/>
        </w:rPr>
        <w:t xml:space="preserve"> PNUMA (2018). Evaluación de los impactos ambientales - Una revisión global de la legislación. Nairobi, Kenia.</w:t>
      </w:r>
    </w:p>
  </w:footnote>
  <w:footnote w:id="17">
    <w:p w14:paraId="4A748D8E" w14:textId="6D1402C2" w:rsidR="006C281D" w:rsidRPr="00F87AF3" w:rsidRDefault="006C281D" w:rsidP="00C61C51">
      <w:pPr>
        <w:pStyle w:val="FootnoteText"/>
        <w:ind w:left="284" w:hanging="284"/>
        <w:jc w:val="both"/>
        <w:rPr>
          <w:lang w:val="es-ES" w:eastAsia="ja-JP"/>
        </w:rPr>
      </w:pPr>
      <w:r w:rsidRPr="00A23FDA">
        <w:rPr>
          <w:rStyle w:val="FootnoteReference"/>
          <w:sz w:val="16"/>
          <w:szCs w:val="16"/>
        </w:rPr>
        <w:footnoteRef/>
      </w:r>
      <w:r w:rsidRPr="0060754A">
        <w:rPr>
          <w:sz w:val="16"/>
          <w:szCs w:val="16"/>
          <w:lang w:val="es-ES"/>
        </w:rPr>
        <w:t xml:space="preserve"> </w:t>
      </w:r>
      <w:r w:rsidR="00F87AF3" w:rsidRPr="00F87AF3">
        <w:rPr>
          <w:sz w:val="16"/>
          <w:szCs w:val="16"/>
          <w:lang w:val="es-ES"/>
        </w:rPr>
        <w:t>Hábitats</w:t>
      </w:r>
      <w:r w:rsidRPr="00F87AF3">
        <w:rPr>
          <w:sz w:val="16"/>
          <w:szCs w:val="16"/>
          <w:lang w:val="es-ES"/>
        </w:rPr>
        <w:t xml:space="preserve"> </w:t>
      </w:r>
      <w:r w:rsidR="00F87AF3" w:rsidRPr="00F87AF3">
        <w:rPr>
          <w:sz w:val="16"/>
          <w:szCs w:val="16"/>
          <w:lang w:val="es-ES"/>
        </w:rPr>
        <w:t>Críticos</w:t>
      </w:r>
      <w:r w:rsidRPr="00F87AF3">
        <w:rPr>
          <w:sz w:val="16"/>
          <w:szCs w:val="16"/>
          <w:lang w:val="es-ES"/>
        </w:rPr>
        <w:t xml:space="preserve"> son </w:t>
      </w:r>
      <w:r w:rsidR="00F87AF3" w:rsidRPr="00F87AF3">
        <w:rPr>
          <w:sz w:val="16"/>
          <w:szCs w:val="16"/>
          <w:lang w:val="es-ES"/>
        </w:rPr>
        <w:t>áreas</w:t>
      </w:r>
      <w:r w:rsidRPr="00F87AF3">
        <w:rPr>
          <w:sz w:val="16"/>
          <w:szCs w:val="16"/>
          <w:lang w:val="es-ES"/>
        </w:rPr>
        <w:t xml:space="preserve"> con alto valor de biodiversidad, tales como (i) </w:t>
      </w:r>
      <w:r w:rsidR="00F87AF3" w:rsidRPr="00F87AF3">
        <w:rPr>
          <w:sz w:val="16"/>
          <w:szCs w:val="16"/>
          <w:lang w:val="es-ES"/>
        </w:rPr>
        <w:t>hábitats</w:t>
      </w:r>
      <w:r w:rsidRPr="00F87AF3">
        <w:rPr>
          <w:sz w:val="16"/>
          <w:szCs w:val="16"/>
          <w:lang w:val="es-ES"/>
        </w:rPr>
        <w:t xml:space="preserve"> de importancia significativa para especies amenazadas o </w:t>
      </w:r>
      <w:r w:rsidR="00F87AF3" w:rsidRPr="00F87AF3">
        <w:rPr>
          <w:sz w:val="16"/>
          <w:szCs w:val="16"/>
          <w:lang w:val="es-ES"/>
        </w:rPr>
        <w:t>críticamente</w:t>
      </w:r>
      <w:r w:rsidRPr="00F87AF3">
        <w:rPr>
          <w:sz w:val="16"/>
          <w:szCs w:val="16"/>
          <w:lang w:val="es-ES"/>
        </w:rPr>
        <w:t xml:space="preserve"> amenazadas; (ii) </w:t>
      </w:r>
      <w:r w:rsidR="00F87AF3" w:rsidRPr="00F87AF3">
        <w:rPr>
          <w:sz w:val="16"/>
          <w:szCs w:val="16"/>
          <w:lang w:val="es-ES"/>
        </w:rPr>
        <w:t>hábitats</w:t>
      </w:r>
      <w:r w:rsidRPr="00F87AF3">
        <w:rPr>
          <w:sz w:val="16"/>
          <w:szCs w:val="16"/>
          <w:lang w:val="es-ES"/>
        </w:rPr>
        <w:t xml:space="preserve"> de importancia significativa para especies </w:t>
      </w:r>
      <w:r w:rsidR="00F87AF3" w:rsidRPr="00F87AF3">
        <w:rPr>
          <w:sz w:val="16"/>
          <w:szCs w:val="16"/>
          <w:lang w:val="es-ES"/>
        </w:rPr>
        <w:t>endémicas</w:t>
      </w:r>
      <w:r w:rsidRPr="00F87AF3">
        <w:rPr>
          <w:sz w:val="16"/>
          <w:szCs w:val="16"/>
          <w:lang w:val="es-ES"/>
        </w:rPr>
        <w:t xml:space="preserve"> o especies restringidas a ciertas </w:t>
      </w:r>
      <w:r w:rsidR="00F87AF3" w:rsidRPr="00F87AF3">
        <w:rPr>
          <w:sz w:val="16"/>
          <w:szCs w:val="16"/>
          <w:lang w:val="es-ES"/>
        </w:rPr>
        <w:t>áreas</w:t>
      </w:r>
      <w:r w:rsidRPr="00F87AF3">
        <w:rPr>
          <w:sz w:val="16"/>
          <w:szCs w:val="16"/>
          <w:lang w:val="es-ES"/>
        </w:rPr>
        <w:t xml:space="preserve">; (iii) </w:t>
      </w:r>
      <w:r w:rsidR="00F87AF3" w:rsidRPr="00F87AF3">
        <w:rPr>
          <w:sz w:val="16"/>
          <w:szCs w:val="16"/>
          <w:lang w:val="es-ES"/>
        </w:rPr>
        <w:t>hábitats</w:t>
      </w:r>
      <w:r w:rsidRPr="00F87AF3">
        <w:rPr>
          <w:sz w:val="16"/>
          <w:szCs w:val="16"/>
          <w:lang w:val="es-ES"/>
        </w:rPr>
        <w:t xml:space="preserve"> que sustentan concentraciones significativas a nivel mundial de especies migratorias o de especies que se congregan; (iv) ecosistemas </w:t>
      </w:r>
      <w:r w:rsidR="00F87AF3" w:rsidRPr="00F87AF3">
        <w:rPr>
          <w:sz w:val="16"/>
          <w:szCs w:val="16"/>
          <w:lang w:val="es-ES"/>
        </w:rPr>
        <w:t>únicos</w:t>
      </w:r>
      <w:r w:rsidRPr="00F87AF3">
        <w:rPr>
          <w:sz w:val="16"/>
          <w:szCs w:val="16"/>
          <w:lang w:val="es-ES"/>
        </w:rPr>
        <w:t xml:space="preserve"> o altamente amenazados, y/o (v) </w:t>
      </w:r>
      <w:r w:rsidR="00F87AF3" w:rsidRPr="00F87AF3">
        <w:rPr>
          <w:sz w:val="16"/>
          <w:szCs w:val="16"/>
          <w:lang w:val="es-ES"/>
        </w:rPr>
        <w:t>áreas</w:t>
      </w:r>
      <w:r w:rsidRPr="00F87AF3">
        <w:rPr>
          <w:sz w:val="16"/>
          <w:szCs w:val="16"/>
          <w:lang w:val="es-ES"/>
        </w:rPr>
        <w:t xml:space="preserve"> asociadas con procesos evolutivos clave. </w:t>
      </w:r>
      <w:r w:rsidRPr="00F87AF3">
        <w:rPr>
          <w:sz w:val="16"/>
          <w:lang w:val="es-ES"/>
        </w:rPr>
        <w:t>Para más información, véase</w:t>
      </w:r>
      <w:r w:rsidRPr="00F87AF3">
        <w:rPr>
          <w:lang w:val="es-ES"/>
        </w:rPr>
        <w:t xml:space="preserve"> </w:t>
      </w:r>
      <w:hyperlink r:id="rId2" w:history="1">
        <w:r w:rsidRPr="00F87AF3">
          <w:rPr>
            <w:sz w:val="16"/>
            <w:szCs w:val="16"/>
            <w:lang w:val="es-ES"/>
          </w:rPr>
          <w:t>https://equator-principles.com/about/352/</w:t>
        </w:r>
      </w:hyperlink>
    </w:p>
  </w:footnote>
  <w:footnote w:id="18">
    <w:p w14:paraId="38C4E0EB" w14:textId="6CCA2BAC" w:rsidR="006C281D" w:rsidRPr="00F87AF3" w:rsidRDefault="006C281D" w:rsidP="00C61C51">
      <w:pPr>
        <w:pStyle w:val="FootnoteText"/>
        <w:ind w:left="284" w:hanging="284"/>
        <w:jc w:val="both"/>
        <w:rPr>
          <w:sz w:val="16"/>
          <w:szCs w:val="16"/>
          <w:lang w:val="es-ES"/>
        </w:rPr>
      </w:pPr>
      <w:r w:rsidRPr="00F87AF3">
        <w:rPr>
          <w:rStyle w:val="FootnoteReference"/>
          <w:sz w:val="16"/>
          <w:szCs w:val="16"/>
          <w:lang w:val="es-ES"/>
        </w:rPr>
        <w:footnoteRef/>
      </w:r>
      <w:r w:rsidRPr="00F87AF3">
        <w:rPr>
          <w:sz w:val="16"/>
          <w:szCs w:val="16"/>
          <w:lang w:val="es-ES"/>
        </w:rPr>
        <w:t xml:space="preserve"> </w:t>
      </w:r>
      <w:proofErr w:type="spellStart"/>
      <w:r w:rsidRPr="00F87AF3">
        <w:rPr>
          <w:sz w:val="16"/>
          <w:szCs w:val="16"/>
          <w:lang w:val="es-ES"/>
        </w:rPr>
        <w:t>Laurance</w:t>
      </w:r>
      <w:proofErr w:type="spellEnd"/>
      <w:r w:rsidRPr="00F87AF3">
        <w:rPr>
          <w:sz w:val="16"/>
          <w:szCs w:val="16"/>
          <w:lang w:val="es-ES"/>
        </w:rPr>
        <w:t xml:space="preserve">, W. F., Clements, G. R., Sloan, S., </w:t>
      </w:r>
      <w:proofErr w:type="spellStart"/>
      <w:r w:rsidRPr="00F87AF3">
        <w:rPr>
          <w:sz w:val="16"/>
          <w:szCs w:val="16"/>
          <w:lang w:val="es-ES"/>
        </w:rPr>
        <w:t>O’Connell</w:t>
      </w:r>
      <w:proofErr w:type="spellEnd"/>
      <w:r w:rsidRPr="00F87AF3">
        <w:rPr>
          <w:sz w:val="16"/>
          <w:szCs w:val="16"/>
          <w:lang w:val="es-ES"/>
        </w:rPr>
        <w:t xml:space="preserve">, C. S., Mueller, N. D., </w:t>
      </w:r>
      <w:proofErr w:type="spellStart"/>
      <w:r w:rsidRPr="00F87AF3">
        <w:rPr>
          <w:sz w:val="16"/>
          <w:szCs w:val="16"/>
          <w:lang w:val="es-ES"/>
        </w:rPr>
        <w:t>Goosem</w:t>
      </w:r>
      <w:proofErr w:type="spellEnd"/>
      <w:r w:rsidRPr="00F87AF3">
        <w:rPr>
          <w:sz w:val="16"/>
          <w:szCs w:val="16"/>
          <w:lang w:val="es-ES"/>
        </w:rPr>
        <w:t xml:space="preserve">, M., ... &amp; Van Der </w:t>
      </w:r>
      <w:proofErr w:type="spellStart"/>
      <w:r w:rsidRPr="00F87AF3">
        <w:rPr>
          <w:sz w:val="16"/>
          <w:szCs w:val="16"/>
          <w:lang w:val="es-ES"/>
        </w:rPr>
        <w:t>Ree</w:t>
      </w:r>
      <w:proofErr w:type="spellEnd"/>
      <w:r w:rsidRPr="00F87AF3">
        <w:rPr>
          <w:sz w:val="16"/>
          <w:szCs w:val="16"/>
          <w:lang w:val="es-ES"/>
        </w:rPr>
        <w:t xml:space="preserve">, R. (2014Una estrategia global para la construcción de carreteras. </w:t>
      </w:r>
      <w:proofErr w:type="spellStart"/>
      <w:r w:rsidRPr="00F87AF3">
        <w:rPr>
          <w:sz w:val="16"/>
          <w:szCs w:val="16"/>
          <w:lang w:val="es-ES"/>
        </w:rPr>
        <w:t>Nature</w:t>
      </w:r>
      <w:proofErr w:type="spellEnd"/>
      <w:r w:rsidRPr="00F87AF3">
        <w:rPr>
          <w:sz w:val="16"/>
          <w:szCs w:val="16"/>
          <w:lang w:val="es-ES"/>
        </w:rPr>
        <w:t>, 513(7517), 229.</w:t>
      </w:r>
    </w:p>
  </w:footnote>
  <w:footnote w:id="19">
    <w:p w14:paraId="69F923AB" w14:textId="77777777" w:rsidR="006C281D" w:rsidRPr="0060754A" w:rsidRDefault="006C281D" w:rsidP="00C61C51">
      <w:pPr>
        <w:pStyle w:val="FootnoteText"/>
        <w:ind w:left="284" w:hanging="284"/>
        <w:jc w:val="both"/>
        <w:rPr>
          <w:sz w:val="16"/>
          <w:szCs w:val="16"/>
          <w:lang w:val="es-ES"/>
        </w:rPr>
      </w:pPr>
      <w:r w:rsidRPr="00F87AF3">
        <w:rPr>
          <w:rStyle w:val="FootnoteReference"/>
          <w:sz w:val="16"/>
          <w:szCs w:val="16"/>
          <w:lang w:val="es-ES"/>
        </w:rPr>
        <w:footnoteRef/>
      </w:r>
      <w:r w:rsidRPr="00F87AF3">
        <w:rPr>
          <w:sz w:val="16"/>
          <w:szCs w:val="16"/>
          <w:lang w:val="es-ES"/>
        </w:rPr>
        <w:t xml:space="preserve"> CBD/SBSTTA/21/5</w:t>
      </w:r>
    </w:p>
  </w:footnote>
  <w:footnote w:id="20">
    <w:p w14:paraId="5BA80372" w14:textId="77AB34B9" w:rsidR="00154590" w:rsidRPr="0060754A" w:rsidRDefault="00154590" w:rsidP="00C61C51">
      <w:pPr>
        <w:pStyle w:val="FootnoteText"/>
        <w:ind w:left="284" w:hanging="284"/>
        <w:jc w:val="both"/>
        <w:rPr>
          <w:sz w:val="16"/>
          <w:szCs w:val="16"/>
          <w:lang w:val="es-ES"/>
        </w:rPr>
      </w:pPr>
      <w:r w:rsidRPr="00F02AB0">
        <w:rPr>
          <w:rStyle w:val="FootnoteReference"/>
          <w:sz w:val="16"/>
          <w:szCs w:val="16"/>
        </w:rPr>
        <w:footnoteRef/>
      </w:r>
      <w:r w:rsidRPr="00154590">
        <w:rPr>
          <w:sz w:val="16"/>
          <w:szCs w:val="16"/>
          <w:lang w:val="es-ES"/>
        </w:rPr>
        <w:t xml:space="preserve"> </w:t>
      </w:r>
      <w:r w:rsidRPr="006C281D">
        <w:rPr>
          <w:sz w:val="16"/>
          <w:szCs w:val="16"/>
          <w:lang w:val="es-ES"/>
        </w:rPr>
        <w:t xml:space="preserve">PNUMA (2018). </w:t>
      </w:r>
      <w:r w:rsidRPr="005F0D5C">
        <w:rPr>
          <w:sz w:val="16"/>
          <w:szCs w:val="16"/>
          <w:lang w:val="es-ES"/>
        </w:rPr>
        <w:t>Evaluación de los impactos ambientales - Una revisión global de la legislació</w:t>
      </w:r>
      <w:r>
        <w:rPr>
          <w:sz w:val="16"/>
          <w:szCs w:val="16"/>
          <w:lang w:val="es-ES"/>
        </w:rPr>
        <w:t xml:space="preserve">n. </w:t>
      </w:r>
      <w:r w:rsidRPr="005F0D5C">
        <w:rPr>
          <w:sz w:val="16"/>
          <w:szCs w:val="16"/>
          <w:lang w:val="es-ES"/>
        </w:rPr>
        <w:t>Nairobi, Kenia.</w:t>
      </w:r>
    </w:p>
  </w:footnote>
  <w:footnote w:id="21">
    <w:p w14:paraId="04928203" w14:textId="2AA39D1A" w:rsidR="00154590" w:rsidRPr="00C61C51" w:rsidRDefault="00154590" w:rsidP="00C61C51">
      <w:pPr>
        <w:pStyle w:val="FootnoteText"/>
        <w:ind w:left="284" w:hanging="284"/>
        <w:jc w:val="both"/>
        <w:rPr>
          <w:sz w:val="16"/>
          <w:szCs w:val="16"/>
          <w:lang w:val="es-ES"/>
        </w:rPr>
      </w:pPr>
      <w:r w:rsidRPr="00F02AB0">
        <w:rPr>
          <w:rStyle w:val="FootnoteReference"/>
          <w:sz w:val="16"/>
          <w:szCs w:val="16"/>
        </w:rPr>
        <w:footnoteRef/>
      </w:r>
      <w:r w:rsidRPr="00154590">
        <w:rPr>
          <w:sz w:val="16"/>
          <w:szCs w:val="16"/>
          <w:lang w:val="es-ES"/>
        </w:rPr>
        <w:t xml:space="preserve"> </w:t>
      </w:r>
      <w:r w:rsidRPr="006C281D">
        <w:rPr>
          <w:sz w:val="16"/>
          <w:szCs w:val="16"/>
          <w:lang w:val="es-ES"/>
        </w:rPr>
        <w:t xml:space="preserve">PNUMA (2018). </w:t>
      </w:r>
      <w:r w:rsidRPr="005F0D5C">
        <w:rPr>
          <w:sz w:val="16"/>
          <w:szCs w:val="16"/>
          <w:lang w:val="es-ES"/>
        </w:rPr>
        <w:t>Evaluación de los impactos ambientales - Una revisión global de la legislació</w:t>
      </w:r>
      <w:r>
        <w:rPr>
          <w:sz w:val="16"/>
          <w:szCs w:val="16"/>
          <w:lang w:val="es-ES"/>
        </w:rPr>
        <w:t xml:space="preserve">n. </w:t>
      </w:r>
      <w:r w:rsidRPr="005F0D5C">
        <w:rPr>
          <w:sz w:val="16"/>
          <w:szCs w:val="16"/>
          <w:lang w:val="es-ES"/>
        </w:rPr>
        <w:t>Nairobi, Kenia.</w:t>
      </w:r>
    </w:p>
  </w:footnote>
  <w:footnote w:id="22">
    <w:p w14:paraId="292A74DE" w14:textId="5F5C8B14" w:rsidR="0052535C" w:rsidRPr="0060754A" w:rsidRDefault="0052535C" w:rsidP="00C61C51">
      <w:pPr>
        <w:pStyle w:val="FootnoteText"/>
        <w:ind w:left="284" w:hanging="284"/>
        <w:jc w:val="both"/>
        <w:rPr>
          <w:sz w:val="16"/>
          <w:szCs w:val="16"/>
          <w:lang w:val="es-ES"/>
        </w:rPr>
      </w:pPr>
      <w:r w:rsidRPr="00F02AB0">
        <w:rPr>
          <w:rStyle w:val="FootnoteReference"/>
          <w:sz w:val="16"/>
          <w:szCs w:val="16"/>
        </w:rPr>
        <w:footnoteRef/>
      </w:r>
      <w:r w:rsidRPr="0052535C">
        <w:rPr>
          <w:sz w:val="16"/>
          <w:szCs w:val="16"/>
          <w:lang w:val="es-ES"/>
        </w:rPr>
        <w:t xml:space="preserve"> La jerarquía de mitigación es la secuencia de acciones para anticipar y evitar los impactos sobre la biodiversidad y los servicios </w:t>
      </w:r>
      <w:proofErr w:type="gramStart"/>
      <w:r w:rsidR="00F87AF3" w:rsidRPr="0052535C">
        <w:rPr>
          <w:sz w:val="16"/>
          <w:szCs w:val="16"/>
          <w:lang w:val="es-ES"/>
        </w:rPr>
        <w:t>eco sistémicos</w:t>
      </w:r>
      <w:proofErr w:type="gramEnd"/>
      <w:r w:rsidRPr="0052535C">
        <w:rPr>
          <w:sz w:val="16"/>
          <w:szCs w:val="16"/>
          <w:lang w:val="es-ES"/>
        </w:rPr>
        <w:t xml:space="preserve">; y donde no es posible evitarlos, reducirlos al mínimo; y, cuando se producen impactos, rehabilitarlos o restaurarlos; y donde quedan impactos residuales significativos, compensarlos. </w:t>
      </w:r>
      <w:r w:rsidRPr="0060754A">
        <w:rPr>
          <w:sz w:val="16"/>
          <w:szCs w:val="16"/>
          <w:lang w:val="es-ES"/>
        </w:rPr>
        <w:t>(La Iniciativa Intersectorial sobre Biodiversidad 2013)</w:t>
      </w:r>
    </w:p>
  </w:footnote>
  <w:footnote w:id="23">
    <w:p w14:paraId="222B39D5" w14:textId="131F7FDF" w:rsidR="00B106FD" w:rsidRPr="00B106FD" w:rsidRDefault="00B106FD" w:rsidP="00C61C51">
      <w:pPr>
        <w:pStyle w:val="FootnoteText"/>
        <w:ind w:left="284" w:hanging="284"/>
        <w:jc w:val="both"/>
        <w:rPr>
          <w:sz w:val="16"/>
          <w:szCs w:val="16"/>
          <w:lang w:val="es-ES"/>
        </w:rPr>
      </w:pPr>
      <w:r w:rsidRPr="00F02AB0">
        <w:rPr>
          <w:rStyle w:val="FootnoteReference"/>
          <w:sz w:val="16"/>
          <w:szCs w:val="16"/>
        </w:rPr>
        <w:footnoteRef/>
      </w:r>
      <w:r w:rsidRPr="00B106FD">
        <w:rPr>
          <w:sz w:val="16"/>
          <w:szCs w:val="16"/>
          <w:lang w:val="es-ES"/>
        </w:rPr>
        <w:t xml:space="preserve"> WII (2016) Medidas ecológicas para mitigar los impactos de la infraestructura lineal en la vida silvestre. La Parte IV proporciona una visión general útil de los documentos de orientación disponibles  </w:t>
      </w:r>
    </w:p>
  </w:footnote>
  <w:footnote w:id="24">
    <w:p w14:paraId="0778B787" w14:textId="6D99618B" w:rsidR="00B106FD" w:rsidRPr="00D702AA" w:rsidRDefault="00B106FD" w:rsidP="00C61C51">
      <w:pPr>
        <w:pStyle w:val="FootnoteText"/>
        <w:ind w:left="284" w:hanging="284"/>
        <w:jc w:val="both"/>
        <w:rPr>
          <w:sz w:val="16"/>
          <w:szCs w:val="16"/>
          <w:lang w:val="es-ES"/>
        </w:rPr>
      </w:pPr>
      <w:r w:rsidRPr="00F02AB0">
        <w:rPr>
          <w:rStyle w:val="FootnoteReference"/>
          <w:sz w:val="16"/>
          <w:szCs w:val="16"/>
        </w:rPr>
        <w:footnoteRef/>
      </w:r>
      <w:r w:rsidRPr="00B106FD">
        <w:rPr>
          <w:sz w:val="16"/>
          <w:szCs w:val="16"/>
          <w:lang w:val="es-ES"/>
        </w:rPr>
        <w:t xml:space="preserve"> </w:t>
      </w:r>
      <w:r w:rsidRPr="00B106FD">
        <w:rPr>
          <w:rFonts w:cs="Arial"/>
          <w:sz w:val="16"/>
          <w:szCs w:val="16"/>
          <w:lang w:val="es-ES"/>
        </w:rPr>
        <w:t xml:space="preserve">Como el sistema de calificación de </w:t>
      </w:r>
      <w:proofErr w:type="spellStart"/>
      <w:r w:rsidRPr="00B106FD">
        <w:rPr>
          <w:rFonts w:cs="Arial"/>
          <w:sz w:val="16"/>
          <w:szCs w:val="16"/>
          <w:lang w:val="es-ES"/>
        </w:rPr>
        <w:t>Greenroads</w:t>
      </w:r>
      <w:proofErr w:type="spellEnd"/>
      <w:r w:rsidRPr="00B106FD">
        <w:rPr>
          <w:rFonts w:cs="Arial"/>
          <w:sz w:val="16"/>
          <w:szCs w:val="16"/>
          <w:lang w:val="es-ES"/>
        </w:rPr>
        <w:t xml:space="preserve">® y </w:t>
      </w:r>
      <w:proofErr w:type="spellStart"/>
      <w:r w:rsidRPr="00B106FD">
        <w:rPr>
          <w:rFonts w:cs="Arial"/>
          <w:sz w:val="16"/>
          <w:szCs w:val="16"/>
          <w:lang w:val="es-ES"/>
        </w:rPr>
        <w:t>SuRe</w:t>
      </w:r>
      <w:proofErr w:type="spellEnd"/>
      <w:r w:rsidRPr="00B106FD">
        <w:rPr>
          <w:rFonts w:cs="Arial"/>
          <w:sz w:val="16"/>
          <w:szCs w:val="16"/>
          <w:lang w:val="es-ES"/>
        </w:rPr>
        <w:t xml:space="preserve">® Standard. </w:t>
      </w:r>
      <w:r w:rsidRPr="00D702AA">
        <w:rPr>
          <w:rFonts w:cs="Arial"/>
          <w:sz w:val="16"/>
          <w:szCs w:val="16"/>
          <w:lang w:val="es-ES"/>
        </w:rPr>
        <w:t>Ver Anexo 15 del Banco Mundial (2019) Reducción de los riesgos ambientales de las inversiones de la Iniciativa de Cinturón y Carreteras en la infraestructura de transporte</w:t>
      </w:r>
    </w:p>
  </w:footnote>
  <w:footnote w:id="25">
    <w:p w14:paraId="19DD30CE" w14:textId="3ACE7656" w:rsidR="00D702AA" w:rsidRPr="00C61C51" w:rsidRDefault="00D702AA" w:rsidP="00C61C51">
      <w:pPr>
        <w:pStyle w:val="FootnoteText"/>
        <w:ind w:left="284" w:hanging="284"/>
        <w:jc w:val="both"/>
        <w:rPr>
          <w:sz w:val="16"/>
          <w:szCs w:val="16"/>
          <w:lang w:val="es-ES"/>
        </w:rPr>
      </w:pPr>
      <w:r w:rsidRPr="00F02AB0">
        <w:rPr>
          <w:rStyle w:val="FootnoteReference"/>
          <w:sz w:val="16"/>
          <w:szCs w:val="16"/>
        </w:rPr>
        <w:footnoteRef/>
      </w:r>
      <w:r w:rsidRPr="00265F42">
        <w:rPr>
          <w:sz w:val="16"/>
          <w:szCs w:val="16"/>
          <w:lang w:val="es-ES"/>
        </w:rPr>
        <w:t xml:space="preserve"> </w:t>
      </w:r>
      <w:r w:rsidR="00265F42" w:rsidRPr="00265F42">
        <w:rPr>
          <w:sz w:val="16"/>
          <w:szCs w:val="16"/>
          <w:lang w:val="es-ES"/>
        </w:rPr>
        <w:t xml:space="preserve">En el marco del programa de trabajo de la CAMI (2021-2026) 3.5, se recopilará información sobre las soluciones de mitigación para casos específicos, especies, paisaje y tipo de barrera. </w:t>
      </w:r>
      <w:r w:rsidR="00265F42" w:rsidRPr="00F87AF3">
        <w:rPr>
          <w:sz w:val="16"/>
          <w:lang w:val="es-ES"/>
        </w:rPr>
        <w:t xml:space="preserve">Para más información, véase </w:t>
      </w:r>
      <w:r w:rsidRPr="00C61C51">
        <w:rPr>
          <w:sz w:val="16"/>
          <w:szCs w:val="16"/>
          <w:lang w:val="es-ES"/>
        </w:rPr>
        <w:t>UNEP/CMS/COP13/Doc.26.3.5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6E28" w14:textId="631816C2"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w:t>
    </w:r>
    <w:r w:rsidR="00250D44" w:rsidRPr="00661875">
      <w:rPr>
        <w:rFonts w:cs="Arial"/>
        <w:i/>
        <w:sz w:val="18"/>
        <w:szCs w:val="18"/>
        <w:lang w:val="de-DE"/>
      </w:rPr>
      <w:t>Doc.</w:t>
    </w:r>
    <w:r w:rsidR="00250D44" w:rsidRPr="00DC6216">
      <w:rPr>
        <w:rFonts w:cs="Arial"/>
        <w:i/>
        <w:sz w:val="18"/>
        <w:szCs w:val="18"/>
        <w:lang w:val="de-DE"/>
      </w:rPr>
      <w:t>26.4.</w:t>
    </w:r>
    <w:r w:rsidR="00250D44">
      <w:rPr>
        <w:rFonts w:cs="Arial"/>
        <w:i/>
        <w:sz w:val="18"/>
        <w:szCs w:val="18"/>
        <w:lang w:val="de-DE"/>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662B" w14:textId="45F19AD8" w:rsidR="00355603" w:rsidRPr="00A80C1B" w:rsidRDefault="00355603" w:rsidP="005547EE">
    <w:pPr>
      <w:pStyle w:val="Header"/>
      <w:pBdr>
        <w:bottom w:val="single" w:sz="4" w:space="1" w:color="auto"/>
      </w:pBdr>
      <w:jc w:val="right"/>
      <w:rPr>
        <w:rFonts w:cs="Arial"/>
        <w:i/>
        <w:sz w:val="18"/>
        <w:szCs w:val="18"/>
      </w:rPr>
    </w:pPr>
    <w:r w:rsidRPr="00A80C1B">
      <w:rPr>
        <w:rFonts w:cs="Arial"/>
        <w:i/>
        <w:sz w:val="18"/>
        <w:szCs w:val="18"/>
      </w:rPr>
      <w:t>UNEP/CMS/COP13/Doc.26.4.</w:t>
    </w:r>
    <w:r>
      <w:rPr>
        <w:rFonts w:cs="Arial"/>
        <w:i/>
        <w:sz w:val="18"/>
        <w:szCs w:val="18"/>
      </w:rPr>
      <w:t>11</w:t>
    </w:r>
  </w:p>
  <w:p w14:paraId="0BD0388C" w14:textId="77777777" w:rsidR="00551BC0" w:rsidRDefault="0055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5CD5" w14:textId="77777777"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22FE1CF5" wp14:editId="09A9A073">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6"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4B7D2428" wp14:editId="1AE0FE35">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7"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4484EB67" wp14:editId="3A47B87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6C935F0"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D19F" w14:textId="265B257C" w:rsidR="005547EE" w:rsidRPr="00A80C1B" w:rsidRDefault="005547EE" w:rsidP="005547EE">
    <w:pPr>
      <w:pStyle w:val="Header"/>
      <w:pBdr>
        <w:bottom w:val="single" w:sz="4" w:space="1" w:color="auto"/>
      </w:pBdr>
      <w:jc w:val="right"/>
      <w:rPr>
        <w:rFonts w:cs="Arial"/>
        <w:i/>
        <w:sz w:val="18"/>
        <w:szCs w:val="18"/>
      </w:rPr>
    </w:pPr>
    <w:r w:rsidRPr="00A80C1B">
      <w:rPr>
        <w:rFonts w:cs="Arial"/>
        <w:i/>
        <w:sz w:val="18"/>
        <w:szCs w:val="18"/>
      </w:rPr>
      <w:t>UNEP/CMS/COP13/Doc.26.4.</w:t>
    </w:r>
    <w:r>
      <w:rPr>
        <w:rFonts w:cs="Arial"/>
        <w:i/>
        <w:sz w:val="18"/>
        <w:szCs w:val="18"/>
      </w:rPr>
      <w:t>11/Anexo</w:t>
    </w:r>
  </w:p>
  <w:p w14:paraId="63198D1D" w14:textId="77777777" w:rsidR="005547EE" w:rsidRDefault="005547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9F84" w14:textId="4869D7E6" w:rsidR="00D702AA" w:rsidRPr="00A80C1B" w:rsidRDefault="00D702AA" w:rsidP="005547EE">
    <w:pPr>
      <w:pStyle w:val="Header"/>
      <w:pBdr>
        <w:bottom w:val="single" w:sz="4" w:space="1" w:color="auto"/>
      </w:pBdr>
      <w:rPr>
        <w:rFonts w:cs="Arial"/>
        <w:i/>
        <w:sz w:val="18"/>
        <w:szCs w:val="18"/>
      </w:rPr>
    </w:pPr>
    <w:r w:rsidRPr="00A80C1B">
      <w:rPr>
        <w:rFonts w:cs="Arial"/>
        <w:i/>
        <w:sz w:val="18"/>
        <w:szCs w:val="18"/>
      </w:rPr>
      <w:t>UNEP/CMS/COP13/Doc.26.4.</w:t>
    </w:r>
    <w:r>
      <w:rPr>
        <w:rFonts w:cs="Arial"/>
        <w:i/>
        <w:sz w:val="18"/>
        <w:szCs w:val="18"/>
      </w:rPr>
      <w:t>11</w:t>
    </w:r>
    <w:r w:rsidRPr="00A80C1B">
      <w:rPr>
        <w:rFonts w:cs="Arial"/>
        <w:i/>
        <w:sz w:val="18"/>
        <w:szCs w:val="18"/>
      </w:rPr>
      <w:t>/An</w:t>
    </w:r>
    <w:r>
      <w:rPr>
        <w:rFonts w:cs="Arial"/>
        <w:i/>
        <w:sz w:val="18"/>
        <w:szCs w:val="18"/>
      </w:rPr>
      <w:t>exo</w:t>
    </w:r>
  </w:p>
  <w:p w14:paraId="2B9674A8" w14:textId="77777777" w:rsidR="00D702AA" w:rsidRPr="006F22B0" w:rsidRDefault="00D702AA"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122"/>
    <w:multiLevelType w:val="multilevel"/>
    <w:tmpl w:val="D4DA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298"/>
    <w:multiLevelType w:val="hybridMultilevel"/>
    <w:tmpl w:val="9D74D150"/>
    <w:lvl w:ilvl="0" w:tplc="04090017">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3"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80F21"/>
    <w:multiLevelType w:val="hybridMultilevel"/>
    <w:tmpl w:val="83664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7F6A89"/>
    <w:multiLevelType w:val="hybridMultilevel"/>
    <w:tmpl w:val="B57C0D8E"/>
    <w:lvl w:ilvl="0" w:tplc="04090017">
      <w:start w:val="1"/>
      <w:numFmt w:val="lowerLetter"/>
      <w:lvlText w:val="%1)"/>
      <w:lvlJc w:val="left"/>
      <w:pPr>
        <w:ind w:left="1514" w:hanging="360"/>
      </w:pPr>
    </w:lvl>
    <w:lvl w:ilvl="1" w:tplc="04090019">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9"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956DB"/>
    <w:multiLevelType w:val="multilevel"/>
    <w:tmpl w:val="AF34CD62"/>
    <w:lvl w:ilvl="0">
      <w:start w:val="1"/>
      <w:numFmt w:val="lowerRoman"/>
      <w:lvlText w:val="%1."/>
      <w:lvlJc w:val="righ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42E04D44"/>
    <w:multiLevelType w:val="hybridMultilevel"/>
    <w:tmpl w:val="FD346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C0D52"/>
    <w:multiLevelType w:val="hybridMultilevel"/>
    <w:tmpl w:val="AC72F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0068F"/>
    <w:multiLevelType w:val="hybridMultilevel"/>
    <w:tmpl w:val="3264786C"/>
    <w:lvl w:ilvl="0" w:tplc="B3125BD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B5FE0"/>
    <w:multiLevelType w:val="hybridMultilevel"/>
    <w:tmpl w:val="A84AC226"/>
    <w:lvl w:ilvl="0" w:tplc="483C96C6">
      <w:start w:val="2"/>
      <w:numFmt w:val="lowerLetter"/>
      <w:lvlText w:val="%1)."/>
      <w:lvlJc w:val="righ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F1235B"/>
    <w:multiLevelType w:val="hybridMultilevel"/>
    <w:tmpl w:val="2FEA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36C0D"/>
    <w:multiLevelType w:val="hybridMultilevel"/>
    <w:tmpl w:val="0380AF42"/>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7B52"/>
    <w:multiLevelType w:val="hybridMultilevel"/>
    <w:tmpl w:val="BA2E2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305D6"/>
    <w:multiLevelType w:val="hybridMultilevel"/>
    <w:tmpl w:val="83664920"/>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16"/>
  </w:num>
  <w:num w:numId="5">
    <w:abstractNumId w:val="7"/>
  </w:num>
  <w:num w:numId="6">
    <w:abstractNumId w:val="17"/>
  </w:num>
  <w:num w:numId="7">
    <w:abstractNumId w:val="21"/>
  </w:num>
  <w:num w:numId="8">
    <w:abstractNumId w:val="14"/>
  </w:num>
  <w:num w:numId="9">
    <w:abstractNumId w:val="9"/>
  </w:num>
  <w:num w:numId="10">
    <w:abstractNumId w:val="24"/>
  </w:num>
  <w:num w:numId="11">
    <w:abstractNumId w:val="20"/>
  </w:num>
  <w:num w:numId="12">
    <w:abstractNumId w:val="19"/>
  </w:num>
  <w:num w:numId="13">
    <w:abstractNumId w:val="6"/>
  </w:num>
  <w:num w:numId="14">
    <w:abstractNumId w:val="13"/>
  </w:num>
  <w:num w:numId="15">
    <w:abstractNumId w:val="10"/>
  </w:num>
  <w:num w:numId="16">
    <w:abstractNumId w:val="15"/>
  </w:num>
  <w:num w:numId="17">
    <w:abstractNumId w:val="0"/>
  </w:num>
  <w:num w:numId="18">
    <w:abstractNumId w:val="22"/>
  </w:num>
  <w:num w:numId="19">
    <w:abstractNumId w:val="18"/>
  </w:num>
  <w:num w:numId="20">
    <w:abstractNumId w:val="1"/>
  </w:num>
  <w:num w:numId="21">
    <w:abstractNumId w:val="1"/>
  </w:num>
  <w:num w:numId="22">
    <w:abstractNumId w:val="1"/>
  </w:num>
  <w:num w:numId="23">
    <w:abstractNumId w:val="1"/>
  </w:num>
  <w:num w:numId="24">
    <w:abstractNumId w:val="1"/>
  </w:num>
  <w:num w:numId="25">
    <w:abstractNumId w:val="11"/>
  </w:num>
  <w:num w:numId="26">
    <w:abstractNumId w:val="12"/>
  </w:num>
  <w:num w:numId="27">
    <w:abstractNumId w:val="5"/>
  </w:num>
  <w:num w:numId="28">
    <w:abstractNumId w:val="2"/>
  </w:num>
  <w:num w:numId="29">
    <w:abstractNumId w:val="23"/>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519F"/>
    <w:rsid w:val="00072A0D"/>
    <w:rsid w:val="000E192F"/>
    <w:rsid w:val="00114F16"/>
    <w:rsid w:val="001202CE"/>
    <w:rsid w:val="00127CCF"/>
    <w:rsid w:val="00154590"/>
    <w:rsid w:val="00166A9C"/>
    <w:rsid w:val="00192411"/>
    <w:rsid w:val="00201128"/>
    <w:rsid w:val="00211B51"/>
    <w:rsid w:val="0024152C"/>
    <w:rsid w:val="00250D44"/>
    <w:rsid w:val="00265F42"/>
    <w:rsid w:val="002A3C18"/>
    <w:rsid w:val="002F7EC2"/>
    <w:rsid w:val="003043A4"/>
    <w:rsid w:val="003123C0"/>
    <w:rsid w:val="00355603"/>
    <w:rsid w:val="0039486C"/>
    <w:rsid w:val="003D66BE"/>
    <w:rsid w:val="003E1611"/>
    <w:rsid w:val="003F60E3"/>
    <w:rsid w:val="003F6A69"/>
    <w:rsid w:val="004266CB"/>
    <w:rsid w:val="00435D03"/>
    <w:rsid w:val="004C7808"/>
    <w:rsid w:val="0052535C"/>
    <w:rsid w:val="005330F7"/>
    <w:rsid w:val="00551BC0"/>
    <w:rsid w:val="005547EE"/>
    <w:rsid w:val="00563598"/>
    <w:rsid w:val="0058075A"/>
    <w:rsid w:val="005F0D5C"/>
    <w:rsid w:val="0060754A"/>
    <w:rsid w:val="006422FD"/>
    <w:rsid w:val="006A7F5E"/>
    <w:rsid w:val="006C281D"/>
    <w:rsid w:val="006C5926"/>
    <w:rsid w:val="006F22B0"/>
    <w:rsid w:val="00723AB4"/>
    <w:rsid w:val="00767E0A"/>
    <w:rsid w:val="00790422"/>
    <w:rsid w:val="00795ED7"/>
    <w:rsid w:val="007B48DC"/>
    <w:rsid w:val="007D059F"/>
    <w:rsid w:val="00810C64"/>
    <w:rsid w:val="0083335E"/>
    <w:rsid w:val="008B37C7"/>
    <w:rsid w:val="00903B04"/>
    <w:rsid w:val="00943D15"/>
    <w:rsid w:val="00946BCC"/>
    <w:rsid w:val="00965F00"/>
    <w:rsid w:val="009F45DD"/>
    <w:rsid w:val="009F7E6D"/>
    <w:rsid w:val="00A23157"/>
    <w:rsid w:val="00A71ED2"/>
    <w:rsid w:val="00AC09AE"/>
    <w:rsid w:val="00B104EC"/>
    <w:rsid w:val="00B106FD"/>
    <w:rsid w:val="00B40E07"/>
    <w:rsid w:val="00B75CBC"/>
    <w:rsid w:val="00B85204"/>
    <w:rsid w:val="00B86332"/>
    <w:rsid w:val="00BB2D9A"/>
    <w:rsid w:val="00BC5707"/>
    <w:rsid w:val="00BE5188"/>
    <w:rsid w:val="00BF7838"/>
    <w:rsid w:val="00C61C51"/>
    <w:rsid w:val="00C62D3E"/>
    <w:rsid w:val="00C66278"/>
    <w:rsid w:val="00CC5FAD"/>
    <w:rsid w:val="00CC681E"/>
    <w:rsid w:val="00D70275"/>
    <w:rsid w:val="00D702AA"/>
    <w:rsid w:val="00DF783E"/>
    <w:rsid w:val="00E55A8F"/>
    <w:rsid w:val="00E607BD"/>
    <w:rsid w:val="00E77A9F"/>
    <w:rsid w:val="00E81B4A"/>
    <w:rsid w:val="00EC549E"/>
    <w:rsid w:val="00EF1D13"/>
    <w:rsid w:val="00F04234"/>
    <w:rsid w:val="00F147ED"/>
    <w:rsid w:val="00F8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821D"/>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NormalWeb">
    <w:name w:val="Normal (Web)"/>
    <w:basedOn w:val="Normal"/>
    <w:uiPriority w:val="99"/>
    <w:semiHidden/>
    <w:unhideWhenUsed/>
    <w:rsid w:val="00BB2D9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FootnoteText">
    <w:name w:val="footnote text"/>
    <w:basedOn w:val="Normal"/>
    <w:link w:val="FootnoteTextChar"/>
    <w:uiPriority w:val="99"/>
    <w:unhideWhenUsed/>
    <w:rsid w:val="009F45DD"/>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9F45DD"/>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779">
      <w:bodyDiv w:val="1"/>
      <w:marLeft w:val="0"/>
      <w:marRight w:val="0"/>
      <w:marTop w:val="0"/>
      <w:marBottom w:val="0"/>
      <w:divBdr>
        <w:top w:val="none" w:sz="0" w:space="0" w:color="auto"/>
        <w:left w:val="none" w:sz="0" w:space="0" w:color="auto"/>
        <w:bottom w:val="none" w:sz="0" w:space="0" w:color="auto"/>
        <w:right w:val="none" w:sz="0" w:space="0" w:color="auto"/>
      </w:divBdr>
      <w:divsChild>
        <w:div w:id="468667107">
          <w:marLeft w:val="0"/>
          <w:marRight w:val="0"/>
          <w:marTop w:val="0"/>
          <w:marBottom w:val="0"/>
          <w:divBdr>
            <w:top w:val="none" w:sz="0" w:space="0" w:color="auto"/>
            <w:left w:val="none" w:sz="0" w:space="0" w:color="auto"/>
            <w:bottom w:val="none" w:sz="0" w:space="0" w:color="auto"/>
            <w:right w:val="none" w:sz="0" w:space="0" w:color="auto"/>
          </w:divBdr>
          <w:divsChild>
            <w:div w:id="1341197410">
              <w:marLeft w:val="0"/>
              <w:marRight w:val="0"/>
              <w:marTop w:val="0"/>
              <w:marBottom w:val="0"/>
              <w:divBdr>
                <w:top w:val="none" w:sz="0" w:space="0" w:color="auto"/>
                <w:left w:val="none" w:sz="0" w:space="0" w:color="auto"/>
                <w:bottom w:val="none" w:sz="0" w:space="0" w:color="auto"/>
                <w:right w:val="none" w:sz="0" w:space="0" w:color="auto"/>
              </w:divBdr>
              <w:divsChild>
                <w:div w:id="20673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2239">
      <w:bodyDiv w:val="1"/>
      <w:marLeft w:val="0"/>
      <w:marRight w:val="0"/>
      <w:marTop w:val="0"/>
      <w:marBottom w:val="0"/>
      <w:divBdr>
        <w:top w:val="none" w:sz="0" w:space="0" w:color="auto"/>
        <w:left w:val="none" w:sz="0" w:space="0" w:color="auto"/>
        <w:bottom w:val="none" w:sz="0" w:space="0" w:color="auto"/>
        <w:right w:val="none" w:sz="0" w:space="0" w:color="auto"/>
      </w:divBdr>
      <w:divsChild>
        <w:div w:id="1381248240">
          <w:marLeft w:val="0"/>
          <w:marRight w:val="0"/>
          <w:marTop w:val="0"/>
          <w:marBottom w:val="0"/>
          <w:divBdr>
            <w:top w:val="none" w:sz="0" w:space="0" w:color="auto"/>
            <w:left w:val="none" w:sz="0" w:space="0" w:color="auto"/>
            <w:bottom w:val="none" w:sz="0" w:space="0" w:color="auto"/>
            <w:right w:val="none" w:sz="0" w:space="0" w:color="auto"/>
          </w:divBdr>
          <w:divsChild>
            <w:div w:id="1340230206">
              <w:marLeft w:val="0"/>
              <w:marRight w:val="0"/>
              <w:marTop w:val="0"/>
              <w:marBottom w:val="0"/>
              <w:divBdr>
                <w:top w:val="none" w:sz="0" w:space="0" w:color="auto"/>
                <w:left w:val="none" w:sz="0" w:space="0" w:color="auto"/>
                <w:bottom w:val="none" w:sz="0" w:space="0" w:color="auto"/>
                <w:right w:val="none" w:sz="0" w:space="0" w:color="auto"/>
              </w:divBdr>
              <w:divsChild>
                <w:div w:id="189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0093">
      <w:bodyDiv w:val="1"/>
      <w:marLeft w:val="0"/>
      <w:marRight w:val="0"/>
      <w:marTop w:val="0"/>
      <w:marBottom w:val="0"/>
      <w:divBdr>
        <w:top w:val="none" w:sz="0" w:space="0" w:color="auto"/>
        <w:left w:val="none" w:sz="0" w:space="0" w:color="auto"/>
        <w:bottom w:val="none" w:sz="0" w:space="0" w:color="auto"/>
        <w:right w:val="none" w:sz="0" w:space="0" w:color="auto"/>
      </w:divBdr>
      <w:divsChild>
        <w:div w:id="479885551">
          <w:marLeft w:val="0"/>
          <w:marRight w:val="0"/>
          <w:marTop w:val="0"/>
          <w:marBottom w:val="0"/>
          <w:divBdr>
            <w:top w:val="none" w:sz="0" w:space="0" w:color="auto"/>
            <w:left w:val="none" w:sz="0" w:space="0" w:color="auto"/>
            <w:bottom w:val="none" w:sz="0" w:space="0" w:color="auto"/>
            <w:right w:val="none" w:sz="0" w:space="0" w:color="auto"/>
          </w:divBdr>
          <w:divsChild>
            <w:div w:id="2078286194">
              <w:marLeft w:val="0"/>
              <w:marRight w:val="0"/>
              <w:marTop w:val="0"/>
              <w:marBottom w:val="0"/>
              <w:divBdr>
                <w:top w:val="none" w:sz="0" w:space="0" w:color="auto"/>
                <w:left w:val="none" w:sz="0" w:space="0" w:color="auto"/>
                <w:bottom w:val="none" w:sz="0" w:space="0" w:color="auto"/>
                <w:right w:val="none" w:sz="0" w:space="0" w:color="auto"/>
              </w:divBdr>
              <w:divsChild>
                <w:div w:id="3733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453">
      <w:bodyDiv w:val="1"/>
      <w:marLeft w:val="0"/>
      <w:marRight w:val="0"/>
      <w:marTop w:val="0"/>
      <w:marBottom w:val="0"/>
      <w:divBdr>
        <w:top w:val="none" w:sz="0" w:space="0" w:color="auto"/>
        <w:left w:val="none" w:sz="0" w:space="0" w:color="auto"/>
        <w:bottom w:val="none" w:sz="0" w:space="0" w:color="auto"/>
        <w:right w:val="none" w:sz="0" w:space="0" w:color="auto"/>
      </w:divBdr>
    </w:div>
    <w:div w:id="1195461364">
      <w:bodyDiv w:val="1"/>
      <w:marLeft w:val="0"/>
      <w:marRight w:val="0"/>
      <w:marTop w:val="0"/>
      <w:marBottom w:val="0"/>
      <w:divBdr>
        <w:top w:val="none" w:sz="0" w:space="0" w:color="auto"/>
        <w:left w:val="none" w:sz="0" w:space="0" w:color="auto"/>
        <w:bottom w:val="none" w:sz="0" w:space="0" w:color="auto"/>
        <w:right w:val="none" w:sz="0" w:space="0" w:color="auto"/>
      </w:divBdr>
      <w:divsChild>
        <w:div w:id="2083680002">
          <w:marLeft w:val="0"/>
          <w:marRight w:val="0"/>
          <w:marTop w:val="0"/>
          <w:marBottom w:val="0"/>
          <w:divBdr>
            <w:top w:val="none" w:sz="0" w:space="0" w:color="auto"/>
            <w:left w:val="none" w:sz="0" w:space="0" w:color="auto"/>
            <w:bottom w:val="none" w:sz="0" w:space="0" w:color="auto"/>
            <w:right w:val="none" w:sz="0" w:space="0" w:color="auto"/>
          </w:divBdr>
          <w:divsChild>
            <w:div w:id="767428405">
              <w:marLeft w:val="0"/>
              <w:marRight w:val="0"/>
              <w:marTop w:val="0"/>
              <w:marBottom w:val="0"/>
              <w:divBdr>
                <w:top w:val="none" w:sz="0" w:space="0" w:color="auto"/>
                <w:left w:val="none" w:sz="0" w:space="0" w:color="auto"/>
                <w:bottom w:val="none" w:sz="0" w:space="0" w:color="auto"/>
                <w:right w:val="none" w:sz="0" w:space="0" w:color="auto"/>
              </w:divBdr>
              <w:divsChild>
                <w:div w:id="7063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4824">
      <w:bodyDiv w:val="1"/>
      <w:marLeft w:val="0"/>
      <w:marRight w:val="0"/>
      <w:marTop w:val="0"/>
      <w:marBottom w:val="0"/>
      <w:divBdr>
        <w:top w:val="none" w:sz="0" w:space="0" w:color="auto"/>
        <w:left w:val="none" w:sz="0" w:space="0" w:color="auto"/>
        <w:bottom w:val="none" w:sz="0" w:space="0" w:color="auto"/>
        <w:right w:val="none" w:sz="0" w:space="0" w:color="auto"/>
      </w:divBdr>
      <w:divsChild>
        <w:div w:id="2108889132">
          <w:marLeft w:val="0"/>
          <w:marRight w:val="0"/>
          <w:marTop w:val="0"/>
          <w:marBottom w:val="0"/>
          <w:divBdr>
            <w:top w:val="none" w:sz="0" w:space="0" w:color="auto"/>
            <w:left w:val="none" w:sz="0" w:space="0" w:color="auto"/>
            <w:bottom w:val="none" w:sz="0" w:space="0" w:color="auto"/>
            <w:right w:val="none" w:sz="0" w:space="0" w:color="auto"/>
          </w:divBdr>
          <w:divsChild>
            <w:div w:id="1204756889">
              <w:marLeft w:val="0"/>
              <w:marRight w:val="0"/>
              <w:marTop w:val="0"/>
              <w:marBottom w:val="0"/>
              <w:divBdr>
                <w:top w:val="none" w:sz="0" w:space="0" w:color="auto"/>
                <w:left w:val="none" w:sz="0" w:space="0" w:color="auto"/>
                <w:bottom w:val="none" w:sz="0" w:space="0" w:color="auto"/>
                <w:right w:val="none" w:sz="0" w:space="0" w:color="auto"/>
              </w:divBdr>
              <w:divsChild>
                <w:div w:id="1821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6219">
      <w:bodyDiv w:val="1"/>
      <w:marLeft w:val="0"/>
      <w:marRight w:val="0"/>
      <w:marTop w:val="0"/>
      <w:marBottom w:val="0"/>
      <w:divBdr>
        <w:top w:val="none" w:sz="0" w:space="0" w:color="auto"/>
        <w:left w:val="none" w:sz="0" w:space="0" w:color="auto"/>
        <w:bottom w:val="none" w:sz="0" w:space="0" w:color="auto"/>
        <w:right w:val="none" w:sz="0" w:space="0" w:color="auto"/>
      </w:divBdr>
      <w:divsChild>
        <w:div w:id="1681546722">
          <w:marLeft w:val="0"/>
          <w:marRight w:val="0"/>
          <w:marTop w:val="0"/>
          <w:marBottom w:val="0"/>
          <w:divBdr>
            <w:top w:val="none" w:sz="0" w:space="0" w:color="auto"/>
            <w:left w:val="none" w:sz="0" w:space="0" w:color="auto"/>
            <w:bottom w:val="none" w:sz="0" w:space="0" w:color="auto"/>
            <w:right w:val="none" w:sz="0" w:space="0" w:color="auto"/>
          </w:divBdr>
          <w:divsChild>
            <w:div w:id="1013148535">
              <w:marLeft w:val="0"/>
              <w:marRight w:val="0"/>
              <w:marTop w:val="0"/>
              <w:marBottom w:val="0"/>
              <w:divBdr>
                <w:top w:val="none" w:sz="0" w:space="0" w:color="auto"/>
                <w:left w:val="none" w:sz="0" w:space="0" w:color="auto"/>
                <w:bottom w:val="none" w:sz="0" w:space="0" w:color="auto"/>
                <w:right w:val="none" w:sz="0" w:space="0" w:color="auto"/>
              </w:divBdr>
              <w:divsChild>
                <w:div w:id="5767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20133">
      <w:bodyDiv w:val="1"/>
      <w:marLeft w:val="0"/>
      <w:marRight w:val="0"/>
      <w:marTop w:val="0"/>
      <w:marBottom w:val="0"/>
      <w:divBdr>
        <w:top w:val="none" w:sz="0" w:space="0" w:color="auto"/>
        <w:left w:val="none" w:sz="0" w:space="0" w:color="auto"/>
        <w:bottom w:val="none" w:sz="0" w:space="0" w:color="auto"/>
        <w:right w:val="none" w:sz="0" w:space="0" w:color="auto"/>
      </w:divBdr>
      <w:divsChild>
        <w:div w:id="1939827635">
          <w:marLeft w:val="0"/>
          <w:marRight w:val="0"/>
          <w:marTop w:val="0"/>
          <w:marBottom w:val="0"/>
          <w:divBdr>
            <w:top w:val="none" w:sz="0" w:space="0" w:color="auto"/>
            <w:left w:val="none" w:sz="0" w:space="0" w:color="auto"/>
            <w:bottom w:val="none" w:sz="0" w:space="0" w:color="auto"/>
            <w:right w:val="none" w:sz="0" w:space="0" w:color="auto"/>
          </w:divBdr>
          <w:divsChild>
            <w:div w:id="1457409266">
              <w:marLeft w:val="0"/>
              <w:marRight w:val="0"/>
              <w:marTop w:val="0"/>
              <w:marBottom w:val="0"/>
              <w:divBdr>
                <w:top w:val="none" w:sz="0" w:space="0" w:color="auto"/>
                <w:left w:val="none" w:sz="0" w:space="0" w:color="auto"/>
                <w:bottom w:val="none" w:sz="0" w:space="0" w:color="auto"/>
                <w:right w:val="none" w:sz="0" w:space="0" w:color="auto"/>
              </w:divBdr>
              <w:divsChild>
                <w:div w:id="10897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0302">
      <w:bodyDiv w:val="1"/>
      <w:marLeft w:val="0"/>
      <w:marRight w:val="0"/>
      <w:marTop w:val="0"/>
      <w:marBottom w:val="0"/>
      <w:divBdr>
        <w:top w:val="none" w:sz="0" w:space="0" w:color="auto"/>
        <w:left w:val="none" w:sz="0" w:space="0" w:color="auto"/>
        <w:bottom w:val="none" w:sz="0" w:space="0" w:color="auto"/>
        <w:right w:val="none" w:sz="0" w:space="0" w:color="auto"/>
      </w:divBdr>
      <w:divsChild>
        <w:div w:id="334650408">
          <w:marLeft w:val="0"/>
          <w:marRight w:val="0"/>
          <w:marTop w:val="0"/>
          <w:marBottom w:val="0"/>
          <w:divBdr>
            <w:top w:val="none" w:sz="0" w:space="0" w:color="auto"/>
            <w:left w:val="none" w:sz="0" w:space="0" w:color="auto"/>
            <w:bottom w:val="none" w:sz="0" w:space="0" w:color="auto"/>
            <w:right w:val="none" w:sz="0" w:space="0" w:color="auto"/>
          </w:divBdr>
          <w:divsChild>
            <w:div w:id="1062405077">
              <w:marLeft w:val="0"/>
              <w:marRight w:val="0"/>
              <w:marTop w:val="0"/>
              <w:marBottom w:val="0"/>
              <w:divBdr>
                <w:top w:val="none" w:sz="0" w:space="0" w:color="auto"/>
                <w:left w:val="none" w:sz="0" w:space="0" w:color="auto"/>
                <w:bottom w:val="none" w:sz="0" w:space="0" w:color="auto"/>
                <w:right w:val="none" w:sz="0" w:space="0" w:color="auto"/>
              </w:divBdr>
              <w:divsChild>
                <w:div w:id="943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equator-principles.com/about/352/" TargetMode="External"/><Relationship Id="rId1" Type="http://schemas.openxmlformats.org/officeDocument/2006/relationships/hyperlink" Target="https://www.cms.int/sites/default/files/basic_page_documents/CMS-Guidelines-EIA-Marine%20Noise_TechnicalSupportInformation_FINAL20170918.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3449</Words>
  <Characters>18972</Characters>
  <Application>Microsoft Office Word</Application>
  <DocSecurity>0</DocSecurity>
  <Lines>403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5</cp:revision>
  <dcterms:created xsi:type="dcterms:W3CDTF">2019-12-20T12:42:00Z</dcterms:created>
  <dcterms:modified xsi:type="dcterms:W3CDTF">2020-01-02T10:33:00Z</dcterms:modified>
</cp:coreProperties>
</file>