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263AF"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E263AF">
              <w:rPr>
                <w:rFonts w:eastAsia="Arial" w:cs="Arial"/>
                <w:lang w:val="fr-FR"/>
              </w:rPr>
              <w:t>26.1.5</w:t>
            </w:r>
          </w:p>
          <w:p w:rsidR="00EC2A58" w:rsidRPr="00A02506" w:rsidRDefault="00E263AF"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4 octobre</w:t>
            </w:r>
            <w:r w:rsidR="00EC2A58" w:rsidRPr="00A02506">
              <w:rPr>
                <w:rFonts w:eastAsia="Arial" w:cs="Arial"/>
                <w:lang w:val="fr-FR"/>
              </w:rPr>
              <w:t xml:space="preserve"> 2019</w:t>
            </w:r>
          </w:p>
          <w:p w:rsidR="00EC2A58" w:rsidRPr="00E263AF"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E263AF"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E263AF">
        <w:rPr>
          <w:rFonts w:eastAsia="Arial" w:cs="Arial"/>
          <w:iCs/>
          <w:lang w:val="fr-FR"/>
        </w:rPr>
        <w:t xml:space="preserve">26.1 </w:t>
      </w:r>
      <w:r w:rsidRPr="00EC2A58">
        <w:rPr>
          <w:rFonts w:eastAsia="Arial" w:cs="Arial"/>
          <w:iCs/>
          <w:lang w:val="fr-FR"/>
        </w:rPr>
        <w:t>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870C5D" w:rsidRPr="00E263AF" w:rsidRDefault="00870C5D" w:rsidP="00E263A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right="-369"/>
        <w:jc w:val="center"/>
        <w:textAlignment w:val="baseline"/>
        <w:outlineLvl w:val="1"/>
        <w:rPr>
          <w:rFonts w:eastAsia="Times New Roman" w:cs="Arial"/>
          <w:b/>
          <w:lang w:val="fr-FR"/>
        </w:rPr>
      </w:pPr>
      <w:r w:rsidRPr="00870C5D">
        <w:rPr>
          <w:rFonts w:eastAsia="Times New Roman" w:cs="Arial"/>
          <w:b/>
          <w:lang w:val="fr-FR"/>
        </w:rPr>
        <w:t>PLANS D’ACTION POUR LES OISEAUX</w:t>
      </w:r>
    </w:p>
    <w:p w:rsidR="00EC2A58" w:rsidRPr="00EC2A58" w:rsidRDefault="00870C5D" w:rsidP="00870C5D">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352925" cy="203835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352925" cy="2038350"/>
                        </a:xfrm>
                        <a:prstGeom prst="rect">
                          <a:avLst/>
                        </a:prstGeom>
                        <a:solidFill>
                          <a:srgbClr val="FFFFFF"/>
                        </a:solidFill>
                        <a:ln w="3172">
                          <a:solidFill>
                            <a:srgbClr val="000000"/>
                          </a:solidFill>
                          <a:prstDash val="solid"/>
                        </a:ln>
                      </wps:spPr>
                      <wps:txbx>
                        <w:txbxContent>
                          <w:p w:rsidR="00EC2A58" w:rsidRPr="00E263AF" w:rsidRDefault="00EC2A58" w:rsidP="0026594E">
                            <w:pPr>
                              <w:spacing w:after="0" w:line="240" w:lineRule="auto"/>
                              <w:rPr>
                                <w:lang w:val="fr-FR"/>
                              </w:rPr>
                            </w:pPr>
                            <w:r>
                              <w:rPr>
                                <w:rFonts w:eastAsia="Arial" w:cs="Arial"/>
                                <w:lang w:val="fr-FR"/>
                              </w:rPr>
                              <w:t>Résumé:</w:t>
                            </w:r>
                          </w:p>
                          <w:p w:rsidR="00E263AF" w:rsidRDefault="00E263AF" w:rsidP="00E263AF">
                            <w:pPr>
                              <w:spacing w:after="0" w:line="240" w:lineRule="auto"/>
                              <w:rPr>
                                <w:rFonts w:cs="Arial"/>
                                <w:lang w:val="fr-FR"/>
                              </w:rPr>
                            </w:pPr>
                          </w:p>
                          <w:p w:rsidR="00E263AF" w:rsidRPr="00E263AF" w:rsidRDefault="00E263AF" w:rsidP="00E263AF">
                            <w:pPr>
                              <w:spacing w:after="0" w:line="240" w:lineRule="auto"/>
                              <w:jc w:val="both"/>
                              <w:rPr>
                                <w:rFonts w:cs="Arial"/>
                                <w:lang w:val="fr-FR"/>
                              </w:rPr>
                            </w:pPr>
                            <w:r w:rsidRPr="00E263AF">
                              <w:rPr>
                                <w:rFonts w:cs="Arial"/>
                                <w:lang w:val="fr-FR"/>
                              </w:rPr>
                              <w:t xml:space="preserve">Le présent document rend compte des progrès réalisés dans la mise en œuvre de la Résolution 12.12 </w:t>
                            </w:r>
                            <w:r w:rsidRPr="00E263AF">
                              <w:rPr>
                                <w:rFonts w:cs="Arial"/>
                                <w:i/>
                                <w:lang w:val="fr-FR"/>
                              </w:rPr>
                              <w:t>Plans d'action pour les oiseaux</w:t>
                            </w:r>
                            <w:r w:rsidRPr="00E263AF">
                              <w:rPr>
                                <w:rFonts w:cs="Arial"/>
                                <w:lang w:val="fr-FR"/>
                              </w:rPr>
                              <w:t xml:space="preserve"> et des </w:t>
                            </w:r>
                            <w:r>
                              <w:rPr>
                                <w:rFonts w:cs="Arial"/>
                                <w:lang w:val="fr-FR"/>
                              </w:rPr>
                              <w:t>D</w:t>
                            </w:r>
                            <w:r w:rsidRPr="00E263AF">
                              <w:rPr>
                                <w:rFonts w:cs="Arial"/>
                                <w:lang w:val="fr-FR"/>
                              </w:rPr>
                              <w:t xml:space="preserve">écisions connexes 12.20 et 12.21 </w:t>
                            </w:r>
                            <w:r w:rsidRPr="00E263AF">
                              <w:rPr>
                                <w:rFonts w:cs="Arial"/>
                                <w:i/>
                                <w:lang w:val="fr-FR"/>
                              </w:rPr>
                              <w:t>Plans d'action pour les oiseaux</w:t>
                            </w:r>
                            <w:r w:rsidRPr="00E263AF">
                              <w:rPr>
                                <w:rFonts w:cs="Arial"/>
                                <w:lang w:val="fr-FR"/>
                              </w:rPr>
                              <w:t>, ainsi que de la finalisation des plans d'action pour la tourterelle d</w:t>
                            </w:r>
                            <w:r>
                              <w:rPr>
                                <w:rFonts w:cs="Arial"/>
                                <w:lang w:val="fr-FR"/>
                              </w:rPr>
                              <w:t>es bois</w:t>
                            </w:r>
                            <w:r w:rsidRPr="00E263AF">
                              <w:rPr>
                                <w:rFonts w:cs="Arial"/>
                                <w:lang w:val="fr-FR"/>
                              </w:rPr>
                              <w:t xml:space="preserve">, le bruant </w:t>
                            </w:r>
                            <w:r>
                              <w:rPr>
                                <w:rFonts w:cs="Arial"/>
                                <w:lang w:val="fr-FR"/>
                              </w:rPr>
                              <w:t>auréole</w:t>
                            </w:r>
                            <w:r w:rsidRPr="00E263AF">
                              <w:rPr>
                                <w:rFonts w:cs="Arial"/>
                                <w:lang w:val="fr-FR"/>
                              </w:rPr>
                              <w:t>, l'</w:t>
                            </w:r>
                            <w:proofErr w:type="spellStart"/>
                            <w:r w:rsidRPr="00E263AF">
                              <w:rPr>
                                <w:rFonts w:cs="Arial"/>
                                <w:lang w:val="fr-FR"/>
                              </w:rPr>
                              <w:t>érismature</w:t>
                            </w:r>
                            <w:proofErr w:type="spellEnd"/>
                            <w:r w:rsidRPr="00E263AF">
                              <w:rPr>
                                <w:rFonts w:cs="Arial"/>
                                <w:lang w:val="fr-FR"/>
                              </w:rPr>
                              <w:t xml:space="preserve"> à tête blanche et le pélican </w:t>
                            </w:r>
                            <w:r>
                              <w:rPr>
                                <w:rFonts w:cs="Arial"/>
                                <w:lang w:val="fr-FR"/>
                              </w:rPr>
                              <w:t>d</w:t>
                            </w:r>
                            <w:r w:rsidRPr="00E263AF">
                              <w:rPr>
                                <w:rFonts w:cs="Arial"/>
                                <w:lang w:val="fr-FR"/>
                              </w:rPr>
                              <w:t xml:space="preserve">almate. Il propose le renouvellement de la </w:t>
                            </w:r>
                            <w:r>
                              <w:rPr>
                                <w:rFonts w:cs="Arial"/>
                                <w:lang w:val="fr-FR"/>
                              </w:rPr>
                              <w:t>D</w:t>
                            </w:r>
                            <w:r w:rsidRPr="00E263AF">
                              <w:rPr>
                                <w:rFonts w:cs="Arial"/>
                                <w:lang w:val="fr-FR"/>
                              </w:rPr>
                              <w:t xml:space="preserve">écision pertinente autorisant l'adoption entre les sessions du Plan d'action pour le Bruant </w:t>
                            </w:r>
                            <w:r>
                              <w:rPr>
                                <w:rFonts w:cs="Arial"/>
                                <w:lang w:val="fr-FR"/>
                              </w:rPr>
                              <w:t>auréole</w:t>
                            </w:r>
                            <w:r w:rsidRPr="00E263AF">
                              <w:rPr>
                                <w:rFonts w:cs="Arial"/>
                                <w:lang w:val="fr-FR"/>
                              </w:rPr>
                              <w:t xml:space="preserve"> par le Comité permanent.</w:t>
                            </w:r>
                          </w:p>
                          <w:p w:rsidR="00EC2A58" w:rsidRDefault="00EC2A58" w:rsidP="00E263AF">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42.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" strokeweight=".08811mm">
                <v:textbox>
                  <w:txbxContent>
                    <w:p w:rsidR="00EC2A58" w:rsidRPr="00E263AF" w:rsidRDefault="00EC2A58" w:rsidP="0026594E">
                      <w:pPr>
                        <w:spacing w:after="0" w:line="240" w:lineRule="auto"/>
                        <w:rPr>
                          <w:lang w:val="fr-FR"/>
                        </w:rPr>
                      </w:pPr>
                      <w:r>
                        <w:rPr>
                          <w:rFonts w:eastAsia="Arial" w:cs="Arial"/>
                          <w:lang w:val="fr-FR"/>
                        </w:rPr>
                        <w:t>Résumé:</w:t>
                      </w:r>
                    </w:p>
                    <w:p w:rsidR="00E263AF" w:rsidRDefault="00E263AF" w:rsidP="00E263AF">
                      <w:pPr>
                        <w:spacing w:after="0" w:line="240" w:lineRule="auto"/>
                        <w:rPr>
                          <w:rFonts w:cs="Arial"/>
                          <w:lang w:val="fr-FR"/>
                        </w:rPr>
                      </w:pPr>
                    </w:p>
                    <w:p w:rsidR="00E263AF" w:rsidRPr="00E263AF" w:rsidRDefault="00E263AF" w:rsidP="00E263AF">
                      <w:pPr>
                        <w:spacing w:after="0" w:line="240" w:lineRule="auto"/>
                        <w:jc w:val="both"/>
                        <w:rPr>
                          <w:rFonts w:cs="Arial"/>
                          <w:lang w:val="fr-FR"/>
                        </w:rPr>
                      </w:pPr>
                      <w:r w:rsidRPr="00E263AF">
                        <w:rPr>
                          <w:rFonts w:cs="Arial"/>
                          <w:lang w:val="fr-FR"/>
                        </w:rPr>
                        <w:t xml:space="preserve">Le présent document rend compte des progrès réalisés dans la mise en œuvre de la Résolution 12.12 </w:t>
                      </w:r>
                      <w:r w:rsidRPr="00E263AF">
                        <w:rPr>
                          <w:rFonts w:cs="Arial"/>
                          <w:i/>
                          <w:lang w:val="fr-FR"/>
                        </w:rPr>
                        <w:t>Plans d'action pour les oiseaux</w:t>
                      </w:r>
                      <w:r w:rsidRPr="00E263AF">
                        <w:rPr>
                          <w:rFonts w:cs="Arial"/>
                          <w:lang w:val="fr-FR"/>
                        </w:rPr>
                        <w:t xml:space="preserve"> et des </w:t>
                      </w:r>
                      <w:r>
                        <w:rPr>
                          <w:rFonts w:cs="Arial"/>
                          <w:lang w:val="fr-FR"/>
                        </w:rPr>
                        <w:t>D</w:t>
                      </w:r>
                      <w:r w:rsidRPr="00E263AF">
                        <w:rPr>
                          <w:rFonts w:cs="Arial"/>
                          <w:lang w:val="fr-FR"/>
                        </w:rPr>
                        <w:t xml:space="preserve">écisions connexes 12.20 et 12.21 </w:t>
                      </w:r>
                      <w:r w:rsidRPr="00E263AF">
                        <w:rPr>
                          <w:rFonts w:cs="Arial"/>
                          <w:i/>
                          <w:lang w:val="fr-FR"/>
                        </w:rPr>
                        <w:t>Plans d'action pour les oiseaux</w:t>
                      </w:r>
                      <w:r w:rsidRPr="00E263AF">
                        <w:rPr>
                          <w:rFonts w:cs="Arial"/>
                          <w:lang w:val="fr-FR"/>
                        </w:rPr>
                        <w:t>, ainsi que de la finalisation des plans d'action pour la tourterelle d</w:t>
                      </w:r>
                      <w:r>
                        <w:rPr>
                          <w:rFonts w:cs="Arial"/>
                          <w:lang w:val="fr-FR"/>
                        </w:rPr>
                        <w:t>es bois</w:t>
                      </w:r>
                      <w:r w:rsidRPr="00E263AF">
                        <w:rPr>
                          <w:rFonts w:cs="Arial"/>
                          <w:lang w:val="fr-FR"/>
                        </w:rPr>
                        <w:t xml:space="preserve">, le bruant </w:t>
                      </w:r>
                      <w:r>
                        <w:rPr>
                          <w:rFonts w:cs="Arial"/>
                          <w:lang w:val="fr-FR"/>
                        </w:rPr>
                        <w:t>auréole</w:t>
                      </w:r>
                      <w:r w:rsidRPr="00E263AF">
                        <w:rPr>
                          <w:rFonts w:cs="Arial"/>
                          <w:lang w:val="fr-FR"/>
                        </w:rPr>
                        <w:t>, l'</w:t>
                      </w:r>
                      <w:proofErr w:type="spellStart"/>
                      <w:r w:rsidRPr="00E263AF">
                        <w:rPr>
                          <w:rFonts w:cs="Arial"/>
                          <w:lang w:val="fr-FR"/>
                        </w:rPr>
                        <w:t>érismature</w:t>
                      </w:r>
                      <w:proofErr w:type="spellEnd"/>
                      <w:r w:rsidRPr="00E263AF">
                        <w:rPr>
                          <w:rFonts w:cs="Arial"/>
                          <w:lang w:val="fr-FR"/>
                        </w:rPr>
                        <w:t xml:space="preserve"> à tête blanche et le pélican </w:t>
                      </w:r>
                      <w:r>
                        <w:rPr>
                          <w:rFonts w:cs="Arial"/>
                          <w:lang w:val="fr-FR"/>
                        </w:rPr>
                        <w:t>d</w:t>
                      </w:r>
                      <w:r w:rsidRPr="00E263AF">
                        <w:rPr>
                          <w:rFonts w:cs="Arial"/>
                          <w:lang w:val="fr-FR"/>
                        </w:rPr>
                        <w:t xml:space="preserve">almate. Il propose le renouvellement de la </w:t>
                      </w:r>
                      <w:r>
                        <w:rPr>
                          <w:rFonts w:cs="Arial"/>
                          <w:lang w:val="fr-FR"/>
                        </w:rPr>
                        <w:t>D</w:t>
                      </w:r>
                      <w:r w:rsidRPr="00E263AF">
                        <w:rPr>
                          <w:rFonts w:cs="Arial"/>
                          <w:lang w:val="fr-FR"/>
                        </w:rPr>
                        <w:t xml:space="preserve">écision pertinente autorisant l'adoption entre les sessions du Plan d'action pour le Bruant </w:t>
                      </w:r>
                      <w:r>
                        <w:rPr>
                          <w:rFonts w:cs="Arial"/>
                          <w:lang w:val="fr-FR"/>
                        </w:rPr>
                        <w:t>auréole</w:t>
                      </w:r>
                      <w:r w:rsidRPr="00E263AF">
                        <w:rPr>
                          <w:rFonts w:cs="Arial"/>
                          <w:lang w:val="fr-FR"/>
                        </w:rPr>
                        <w:t xml:space="preserve"> par le Comité permanent.</w:t>
                      </w:r>
                    </w:p>
                    <w:p w:rsidR="00EC2A58" w:rsidRDefault="00EC2A58" w:rsidP="00E263AF">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870C5D" w:rsidRPr="00870C5D" w:rsidRDefault="00870C5D" w:rsidP="00870C5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fr-FR"/>
        </w:rPr>
      </w:pPr>
      <w:r w:rsidRPr="00870C5D">
        <w:rPr>
          <w:rFonts w:eastAsia="Times New Roman" w:cs="Arial"/>
          <w:b/>
          <w:caps/>
          <w:lang w:val="fr-FR"/>
        </w:rPr>
        <w:t>PLANS D’ACTION POUR LES OISEAUX</w:t>
      </w:r>
    </w:p>
    <w:p w:rsidR="00870C5D" w:rsidRPr="00870C5D" w:rsidRDefault="00870C5D" w:rsidP="00870C5D">
      <w:pPr>
        <w:suppressAutoHyphens/>
        <w:autoSpaceDN w:val="0"/>
        <w:spacing w:after="0" w:line="240" w:lineRule="auto"/>
        <w:textAlignment w:val="baseline"/>
        <w:rPr>
          <w:rFonts w:eastAsia="Calibri" w:cs="Arial"/>
          <w:lang w:val="fr-FR"/>
        </w:rPr>
      </w:pPr>
    </w:p>
    <w:p w:rsidR="00870C5D" w:rsidRPr="00870C5D" w:rsidRDefault="00870C5D" w:rsidP="00870C5D">
      <w:pPr>
        <w:suppressAutoHyphens/>
        <w:autoSpaceDN w:val="0"/>
        <w:spacing w:after="0" w:line="240" w:lineRule="auto"/>
        <w:textAlignment w:val="baseline"/>
        <w:rPr>
          <w:rFonts w:eastAsia="Calibri" w:cs="Arial"/>
          <w:lang w:val="fr-FR"/>
        </w:rPr>
      </w:pPr>
    </w:p>
    <w:p w:rsidR="00870C5D" w:rsidRPr="00870C5D" w:rsidRDefault="00870C5D" w:rsidP="00870C5D">
      <w:pPr>
        <w:suppressAutoHyphens/>
        <w:autoSpaceDN w:val="0"/>
        <w:spacing w:after="0" w:line="240" w:lineRule="auto"/>
        <w:jc w:val="both"/>
        <w:textAlignment w:val="baseline"/>
        <w:rPr>
          <w:rFonts w:eastAsia="Calibri" w:cs="Arial"/>
          <w:u w:val="single"/>
          <w:lang w:val="fr-FR"/>
        </w:rPr>
      </w:pPr>
      <w:r w:rsidRPr="00870C5D">
        <w:rPr>
          <w:rFonts w:eastAsia="Calibri" w:cs="Arial"/>
          <w:u w:val="single"/>
          <w:lang w:val="fr-FR"/>
        </w:rPr>
        <w:t>Contexte</w:t>
      </w:r>
    </w:p>
    <w:p w:rsidR="00870C5D" w:rsidRPr="00870C5D" w:rsidRDefault="00870C5D" w:rsidP="00870C5D">
      <w:pPr>
        <w:spacing w:after="0" w:line="240" w:lineRule="auto"/>
        <w:jc w:val="both"/>
        <w:rPr>
          <w:lang w:val="fr-FR"/>
        </w:rPr>
      </w:pPr>
    </w:p>
    <w:p w:rsidR="00870C5D" w:rsidRPr="00870C5D" w:rsidRDefault="00870C5D" w:rsidP="00870C5D">
      <w:pPr>
        <w:pStyle w:val="ListParagraph"/>
        <w:numPr>
          <w:ilvl w:val="0"/>
          <w:numId w:val="8"/>
        </w:numPr>
        <w:spacing w:after="0" w:line="240" w:lineRule="auto"/>
        <w:ind w:left="562" w:hanging="562"/>
        <w:jc w:val="both"/>
        <w:rPr>
          <w:b/>
          <w:lang w:val="fr-FR"/>
        </w:rPr>
      </w:pPr>
      <w:bookmarkStart w:id="0" w:name="_Hlk17371156"/>
      <w:r w:rsidRPr="00870C5D">
        <w:rPr>
          <w:lang w:val="fr-FR"/>
        </w:rPr>
        <w:t>Lors de sa 12</w:t>
      </w:r>
      <w:r w:rsidRPr="00870C5D">
        <w:rPr>
          <w:vertAlign w:val="superscript"/>
          <w:lang w:val="fr-FR"/>
        </w:rPr>
        <w:t>e</w:t>
      </w:r>
      <w:r w:rsidRPr="00870C5D">
        <w:rPr>
          <w:lang w:val="fr-FR"/>
        </w:rPr>
        <w:t xml:space="preserve"> Réunion (COP12, Manille, 2017), la Conférence des Parties a adopté les Décisions 12.20 à 12.21</w:t>
      </w:r>
      <w:r w:rsidRPr="00870C5D">
        <w:rPr>
          <w:rStyle w:val="Hyperlink"/>
          <w:rFonts w:cs="Arial"/>
          <w:i/>
          <w:lang w:val="fr-FR"/>
        </w:rPr>
        <w:t xml:space="preserve">Plans d’action pour les oiseaux, </w:t>
      </w:r>
      <w:bookmarkEnd w:id="0"/>
      <w:r w:rsidRPr="00870C5D">
        <w:rPr>
          <w:lang w:val="fr-FR"/>
        </w:rPr>
        <w:t>libellés comme suit :</w:t>
      </w:r>
    </w:p>
    <w:p w:rsidR="00870C5D" w:rsidRPr="00870C5D" w:rsidRDefault="00870C5D" w:rsidP="00870C5D">
      <w:pPr>
        <w:pStyle w:val="ListParagraph"/>
        <w:spacing w:line="240" w:lineRule="auto"/>
        <w:jc w:val="both"/>
        <w:rPr>
          <w:i/>
          <w:lang w:val="fr-FR"/>
        </w:rPr>
      </w:pPr>
    </w:p>
    <w:p w:rsidR="00870C5D" w:rsidRPr="00B95EEA" w:rsidRDefault="00870C5D" w:rsidP="00870C5D">
      <w:pPr>
        <w:pStyle w:val="ListParagraph"/>
        <w:spacing w:after="0" w:line="240" w:lineRule="auto"/>
        <w:ind w:left="0" w:firstLine="562"/>
        <w:jc w:val="both"/>
        <w:rPr>
          <w:b/>
          <w:i/>
          <w:sz w:val="20"/>
          <w:szCs w:val="20"/>
          <w:lang w:val="fr-FR"/>
        </w:rPr>
      </w:pPr>
      <w:r w:rsidRPr="00B95EEA">
        <w:rPr>
          <w:b/>
          <w:i/>
          <w:sz w:val="20"/>
          <w:szCs w:val="20"/>
          <w:lang w:val="fr-FR"/>
        </w:rPr>
        <w:t xml:space="preserve">12.20 </w:t>
      </w:r>
      <w:r w:rsidR="00B95EEA" w:rsidRPr="00B95EEA">
        <w:rPr>
          <w:b/>
          <w:i/>
          <w:sz w:val="20"/>
          <w:szCs w:val="20"/>
          <w:lang w:val="fr-FR"/>
        </w:rPr>
        <w:t xml:space="preserve">Adressé au </w:t>
      </w:r>
      <w:r w:rsidRPr="00B95EEA">
        <w:rPr>
          <w:b/>
          <w:i/>
          <w:sz w:val="20"/>
          <w:szCs w:val="20"/>
          <w:lang w:val="fr-FR"/>
        </w:rPr>
        <w:t>Secrétariat</w:t>
      </w:r>
    </w:p>
    <w:p w:rsidR="00870C5D" w:rsidRPr="00B95EEA" w:rsidRDefault="00870C5D" w:rsidP="00870C5D">
      <w:pPr>
        <w:pStyle w:val="ListParagraph"/>
        <w:spacing w:line="240" w:lineRule="auto"/>
        <w:ind w:left="360"/>
        <w:jc w:val="both"/>
        <w:rPr>
          <w:i/>
          <w:sz w:val="20"/>
          <w:szCs w:val="20"/>
          <w:lang w:val="fr-FR"/>
        </w:rPr>
      </w:pPr>
    </w:p>
    <w:p w:rsidR="00870C5D" w:rsidRPr="00B95EEA" w:rsidRDefault="00870C5D" w:rsidP="00B95EEA">
      <w:pPr>
        <w:pStyle w:val="ListParagraph"/>
        <w:spacing w:after="0" w:line="240" w:lineRule="auto"/>
        <w:ind w:left="567" w:firstLine="562"/>
        <w:jc w:val="both"/>
        <w:rPr>
          <w:i/>
          <w:sz w:val="20"/>
          <w:szCs w:val="20"/>
          <w:lang w:val="fr-FR"/>
        </w:rPr>
      </w:pPr>
      <w:r w:rsidRPr="00B95EEA">
        <w:rPr>
          <w:i/>
          <w:sz w:val="20"/>
          <w:szCs w:val="20"/>
          <w:lang w:val="fr-FR"/>
        </w:rPr>
        <w:t>Le Secrétariat</w:t>
      </w:r>
    </w:p>
    <w:p w:rsidR="00870C5D" w:rsidRPr="00B95EEA" w:rsidRDefault="00870C5D" w:rsidP="00870C5D">
      <w:pPr>
        <w:pStyle w:val="ListParagraph"/>
        <w:spacing w:after="0" w:line="240" w:lineRule="auto"/>
        <w:ind w:left="0" w:firstLine="562"/>
        <w:jc w:val="both"/>
        <w:rPr>
          <w:i/>
          <w:sz w:val="20"/>
          <w:szCs w:val="20"/>
          <w:lang w:val="fr-FR"/>
        </w:rPr>
      </w:pPr>
    </w:p>
    <w:p w:rsidR="00870C5D" w:rsidRPr="00B95EEA" w:rsidRDefault="00870C5D" w:rsidP="00B95EEA">
      <w:pPr>
        <w:pStyle w:val="ListParagraph"/>
        <w:spacing w:after="0" w:line="240" w:lineRule="auto"/>
        <w:ind w:left="1701" w:hanging="567"/>
        <w:jc w:val="both"/>
        <w:rPr>
          <w:i/>
          <w:sz w:val="20"/>
          <w:szCs w:val="20"/>
          <w:lang w:val="fr-FR"/>
        </w:rPr>
      </w:pPr>
      <w:r w:rsidRPr="00B95EEA">
        <w:rPr>
          <w:i/>
          <w:sz w:val="20"/>
          <w:szCs w:val="20"/>
          <w:lang w:val="fr-FR"/>
        </w:rPr>
        <w:t>a)</w:t>
      </w:r>
      <w:r w:rsidRPr="00B95EEA">
        <w:rPr>
          <w:i/>
          <w:sz w:val="20"/>
          <w:szCs w:val="20"/>
          <w:lang w:val="fr-FR"/>
        </w:rPr>
        <w:tab/>
        <w:t>porte les Plans d’action à l’attention de tous les États de l’aire de répartition et organisations intergouvernementales, invite les États de l’aire de répartition qui ne sont pas encore Parties à la CMS à ratifier ou à accéder à la Convention (ou au moins soutenir le plan d’action pertinent), et suivre la mise en œuvre de ces plans d’action au cours de la période intersessions jusqu’à la 13e Réunion de la Conférence des Parties;</w:t>
      </w:r>
    </w:p>
    <w:p w:rsidR="00870C5D" w:rsidRPr="00B95EEA" w:rsidRDefault="00870C5D" w:rsidP="00B95EEA">
      <w:pPr>
        <w:pStyle w:val="ListParagraph"/>
        <w:spacing w:after="0" w:line="240" w:lineRule="auto"/>
        <w:ind w:left="1701" w:hanging="567"/>
        <w:jc w:val="both"/>
        <w:rPr>
          <w:i/>
          <w:sz w:val="20"/>
          <w:szCs w:val="20"/>
          <w:lang w:val="fr-FR"/>
        </w:rPr>
      </w:pPr>
    </w:p>
    <w:p w:rsidR="00870C5D" w:rsidRDefault="00870C5D" w:rsidP="00B95EEA">
      <w:pPr>
        <w:pStyle w:val="ListParagraph"/>
        <w:spacing w:after="0" w:line="240" w:lineRule="auto"/>
        <w:ind w:left="1701" w:hanging="567"/>
        <w:jc w:val="both"/>
        <w:rPr>
          <w:i/>
          <w:sz w:val="20"/>
          <w:szCs w:val="20"/>
          <w:lang w:val="fr-FR"/>
        </w:rPr>
      </w:pPr>
      <w:r w:rsidRPr="00B95EEA">
        <w:rPr>
          <w:i/>
          <w:sz w:val="20"/>
          <w:szCs w:val="20"/>
          <w:lang w:val="fr-FR"/>
        </w:rPr>
        <w:t>b)</w:t>
      </w:r>
      <w:r w:rsidR="00B95EEA">
        <w:rPr>
          <w:i/>
          <w:sz w:val="20"/>
          <w:szCs w:val="20"/>
          <w:lang w:val="fr-FR"/>
        </w:rPr>
        <w:tab/>
      </w:r>
      <w:r w:rsidRPr="00B95EEA">
        <w:rPr>
          <w:i/>
          <w:sz w:val="20"/>
          <w:szCs w:val="20"/>
          <w:lang w:val="fr-FR"/>
        </w:rPr>
        <w:t>coordonne avec le Secrétariat du Partenariat sur l’itinéraire aérien Asie orientale</w:t>
      </w:r>
      <w:r w:rsidR="00B95EEA">
        <w:rPr>
          <w:i/>
          <w:sz w:val="20"/>
          <w:szCs w:val="20"/>
          <w:lang w:val="fr-FR"/>
        </w:rPr>
        <w:t>-Australasie</w:t>
      </w:r>
      <w:r w:rsidRPr="00B95EEA">
        <w:rPr>
          <w:i/>
          <w:sz w:val="20"/>
          <w:szCs w:val="20"/>
          <w:lang w:val="fr-FR"/>
        </w:rPr>
        <w:t xml:space="preserve"> (EAAFP) dans le cadre de la mise en œuvre des Plans d’action pour le fuligule de Baer et le courlis de Sibérie au cours de la période intersessions en amont de la 13</w:t>
      </w:r>
      <w:r w:rsidRPr="00B95EEA">
        <w:rPr>
          <w:i/>
          <w:sz w:val="20"/>
          <w:szCs w:val="20"/>
          <w:vertAlign w:val="superscript"/>
          <w:lang w:val="fr-FR"/>
        </w:rPr>
        <w:t>e</w:t>
      </w:r>
      <w:r w:rsidRPr="00B95EEA">
        <w:rPr>
          <w:i/>
          <w:sz w:val="20"/>
          <w:szCs w:val="20"/>
          <w:lang w:val="fr-FR"/>
        </w:rPr>
        <w:t xml:space="preserve"> Réunion de la Conférence des Parties.</w:t>
      </w:r>
    </w:p>
    <w:p w:rsidR="00B95EEA" w:rsidRPr="00B95EEA" w:rsidRDefault="00B95EEA" w:rsidP="00B95EEA">
      <w:pPr>
        <w:pStyle w:val="ListParagraph"/>
        <w:spacing w:after="0" w:line="240" w:lineRule="auto"/>
        <w:ind w:left="1701" w:hanging="567"/>
        <w:jc w:val="both"/>
        <w:rPr>
          <w:i/>
          <w:sz w:val="20"/>
          <w:szCs w:val="20"/>
          <w:lang w:val="fr-FR"/>
        </w:rPr>
      </w:pPr>
    </w:p>
    <w:p w:rsidR="00870C5D" w:rsidRPr="00B95EEA" w:rsidRDefault="00870C5D" w:rsidP="00870C5D">
      <w:pPr>
        <w:pStyle w:val="ListParagraph"/>
        <w:spacing w:after="0" w:line="240" w:lineRule="auto"/>
        <w:ind w:left="0" w:firstLine="562"/>
        <w:jc w:val="both"/>
        <w:rPr>
          <w:b/>
          <w:i/>
          <w:sz w:val="20"/>
          <w:szCs w:val="20"/>
          <w:lang w:val="fr-FR"/>
        </w:rPr>
      </w:pPr>
      <w:r w:rsidRPr="00B95EEA">
        <w:rPr>
          <w:b/>
          <w:i/>
          <w:sz w:val="20"/>
          <w:szCs w:val="20"/>
          <w:lang w:val="fr-FR"/>
        </w:rPr>
        <w:t xml:space="preserve">12.21 </w:t>
      </w:r>
      <w:r w:rsidR="00B95EEA" w:rsidRPr="00B95EEA">
        <w:rPr>
          <w:b/>
          <w:i/>
          <w:sz w:val="20"/>
          <w:szCs w:val="20"/>
          <w:lang w:val="fr-FR"/>
        </w:rPr>
        <w:t>Adressé au</w:t>
      </w:r>
      <w:r w:rsidRPr="00B95EEA">
        <w:rPr>
          <w:b/>
          <w:i/>
          <w:sz w:val="20"/>
          <w:szCs w:val="20"/>
          <w:lang w:val="fr-FR"/>
        </w:rPr>
        <w:t xml:space="preserve"> Comité permanent</w:t>
      </w:r>
    </w:p>
    <w:p w:rsidR="00870C5D" w:rsidRPr="00B95EEA" w:rsidRDefault="00870C5D" w:rsidP="00870C5D">
      <w:pPr>
        <w:pStyle w:val="ListParagraph"/>
        <w:spacing w:after="0" w:line="240" w:lineRule="auto"/>
        <w:ind w:left="0" w:firstLine="562"/>
        <w:jc w:val="both"/>
        <w:rPr>
          <w:i/>
          <w:sz w:val="20"/>
          <w:szCs w:val="20"/>
          <w:lang w:val="fr-FR"/>
        </w:rPr>
      </w:pPr>
    </w:p>
    <w:p w:rsidR="00870C5D" w:rsidRPr="00B95EEA" w:rsidRDefault="00870C5D" w:rsidP="00B95EEA">
      <w:pPr>
        <w:pStyle w:val="ListParagraph"/>
        <w:spacing w:after="0" w:line="240" w:lineRule="auto"/>
        <w:ind w:left="1134"/>
        <w:jc w:val="both"/>
        <w:rPr>
          <w:i/>
          <w:sz w:val="20"/>
          <w:szCs w:val="20"/>
          <w:lang w:val="fr-FR"/>
        </w:rPr>
      </w:pPr>
      <w:r w:rsidRPr="00B95EEA">
        <w:rPr>
          <w:i/>
          <w:sz w:val="20"/>
          <w:szCs w:val="20"/>
          <w:lang w:val="fr-FR"/>
        </w:rPr>
        <w:t xml:space="preserve">Le Comité permanent est autorisé à adopter les plans d’action pour la tourterelle des bois, le bruant auréole, le pélican </w:t>
      </w:r>
      <w:r w:rsidR="00B95EEA">
        <w:rPr>
          <w:i/>
          <w:sz w:val="20"/>
          <w:szCs w:val="20"/>
          <w:lang w:val="fr-FR"/>
        </w:rPr>
        <w:t>dalmate</w:t>
      </w:r>
      <w:r w:rsidRPr="00B95EEA">
        <w:rPr>
          <w:i/>
          <w:sz w:val="20"/>
          <w:szCs w:val="20"/>
          <w:lang w:val="fr-FR"/>
        </w:rPr>
        <w:t xml:space="preserve"> et l’</w:t>
      </w:r>
      <w:proofErr w:type="spellStart"/>
      <w:r w:rsidRPr="00B95EEA">
        <w:rPr>
          <w:i/>
          <w:sz w:val="20"/>
          <w:szCs w:val="20"/>
          <w:lang w:val="fr-FR"/>
        </w:rPr>
        <w:t>érismature</w:t>
      </w:r>
      <w:proofErr w:type="spellEnd"/>
      <w:r w:rsidRPr="00B95EEA">
        <w:rPr>
          <w:i/>
          <w:sz w:val="20"/>
          <w:szCs w:val="20"/>
          <w:lang w:val="fr-FR"/>
        </w:rPr>
        <w:t xml:space="preserve"> à tête blanche, une fois finalisés, dans la période intersession entre les 12</w:t>
      </w:r>
      <w:r w:rsidRPr="00B95EEA">
        <w:rPr>
          <w:i/>
          <w:sz w:val="20"/>
          <w:szCs w:val="20"/>
          <w:vertAlign w:val="superscript"/>
          <w:lang w:val="fr-FR"/>
        </w:rPr>
        <w:t>e</w:t>
      </w:r>
      <w:r w:rsidRPr="00B95EEA">
        <w:rPr>
          <w:i/>
          <w:sz w:val="20"/>
          <w:szCs w:val="20"/>
          <w:lang w:val="fr-FR"/>
        </w:rPr>
        <w:t xml:space="preserve"> et 13</w:t>
      </w:r>
      <w:r w:rsidRPr="00B95EEA">
        <w:rPr>
          <w:i/>
          <w:sz w:val="20"/>
          <w:szCs w:val="20"/>
          <w:vertAlign w:val="superscript"/>
          <w:lang w:val="fr-FR"/>
        </w:rPr>
        <w:t>e</w:t>
      </w:r>
      <w:r w:rsidRPr="00B95EEA">
        <w:rPr>
          <w:i/>
          <w:sz w:val="20"/>
          <w:szCs w:val="20"/>
          <w:lang w:val="fr-FR"/>
        </w:rPr>
        <w:t xml:space="preserve"> réunions de la Conférence des Parties.</w:t>
      </w:r>
    </w:p>
    <w:p w:rsidR="00870C5D" w:rsidRPr="00B95EEA" w:rsidRDefault="00870C5D" w:rsidP="00870C5D">
      <w:pPr>
        <w:spacing w:after="0" w:line="240" w:lineRule="auto"/>
        <w:jc w:val="both"/>
        <w:rPr>
          <w:lang w:val="fr-FR"/>
        </w:rPr>
      </w:pPr>
    </w:p>
    <w:p w:rsidR="00870C5D" w:rsidRPr="00870C5D" w:rsidRDefault="00870C5D" w:rsidP="00870C5D">
      <w:pPr>
        <w:pStyle w:val="ListParagraph"/>
        <w:numPr>
          <w:ilvl w:val="0"/>
          <w:numId w:val="8"/>
        </w:numPr>
        <w:spacing w:after="0" w:line="240" w:lineRule="auto"/>
        <w:ind w:left="562" w:hanging="562"/>
        <w:jc w:val="both"/>
        <w:rPr>
          <w:lang w:val="fr-FR"/>
        </w:rPr>
      </w:pPr>
      <w:r w:rsidRPr="00B95EEA">
        <w:rPr>
          <w:lang w:val="fr-FR"/>
        </w:rPr>
        <w:t xml:space="preserve">Dans le cadre de la </w:t>
      </w:r>
      <w:hyperlink r:id="rId8" w:history="1">
        <w:r w:rsidRPr="00B95EEA">
          <w:rPr>
            <w:rStyle w:val="Hyperlink"/>
            <w:color w:val="auto"/>
            <w:u w:val="none"/>
            <w:lang w:val="fr-FR"/>
          </w:rPr>
          <w:t>Résolution 12.12 Plans d’action pour les oiseaux</w:t>
        </w:r>
      </w:hyperlink>
      <w:r w:rsidRPr="00870C5D">
        <w:rPr>
          <w:lang w:val="fr-FR"/>
        </w:rPr>
        <w:t>, la COP12 a adopté des plans d’action pour le fuligule de Baer (</w:t>
      </w:r>
      <w:proofErr w:type="spellStart"/>
      <w:r w:rsidRPr="00870C5D">
        <w:rPr>
          <w:i/>
          <w:lang w:val="fr-FR"/>
        </w:rPr>
        <w:t>Aythia</w:t>
      </w:r>
      <w:proofErr w:type="spellEnd"/>
      <w:r w:rsidRPr="00870C5D">
        <w:rPr>
          <w:i/>
          <w:lang w:val="fr-FR"/>
        </w:rPr>
        <w:t xml:space="preserve"> baeri</w:t>
      </w:r>
      <w:r w:rsidRPr="00870C5D">
        <w:rPr>
          <w:lang w:val="fr-FR"/>
        </w:rPr>
        <w:t>), le courlis de Sibérie (</w:t>
      </w:r>
      <w:r w:rsidRPr="00870C5D">
        <w:rPr>
          <w:i/>
          <w:lang w:val="fr-FR"/>
        </w:rPr>
        <w:t xml:space="preserve">Numenius </w:t>
      </w:r>
      <w:proofErr w:type="spellStart"/>
      <w:r w:rsidRPr="00870C5D">
        <w:rPr>
          <w:i/>
          <w:lang w:val="fr-FR"/>
        </w:rPr>
        <w:t>madagascariensis</w:t>
      </w:r>
      <w:proofErr w:type="spellEnd"/>
      <w:r w:rsidRPr="00870C5D">
        <w:rPr>
          <w:lang w:val="fr-FR"/>
        </w:rPr>
        <w:t>) et le rollier d’Europe (</w:t>
      </w:r>
      <w:proofErr w:type="spellStart"/>
      <w:r w:rsidRPr="00870C5D">
        <w:rPr>
          <w:i/>
          <w:lang w:val="fr-FR"/>
        </w:rPr>
        <w:t>Coracias</w:t>
      </w:r>
      <w:proofErr w:type="spellEnd"/>
      <w:r w:rsidRPr="00870C5D">
        <w:rPr>
          <w:i/>
          <w:lang w:val="fr-FR"/>
        </w:rPr>
        <w:t xml:space="preserve"> </w:t>
      </w:r>
      <w:proofErr w:type="spellStart"/>
      <w:r w:rsidRPr="00870C5D">
        <w:rPr>
          <w:i/>
          <w:lang w:val="fr-FR"/>
        </w:rPr>
        <w:t>garrulus</w:t>
      </w:r>
      <w:proofErr w:type="spellEnd"/>
      <w:r w:rsidRPr="00870C5D">
        <w:rPr>
          <w:lang w:val="fr-FR"/>
        </w:rPr>
        <w:t>), et plusieurs mesures relatives à leur application par les Parties et non Parties. La COP12 a également pris note de l’élaboration de plans d’action pour la tourterelle des bois (</w:t>
      </w:r>
      <w:proofErr w:type="spellStart"/>
      <w:r w:rsidRPr="00870C5D">
        <w:rPr>
          <w:i/>
          <w:lang w:val="fr-FR"/>
        </w:rPr>
        <w:t>Streptopelia</w:t>
      </w:r>
      <w:r w:rsidRPr="00870C5D">
        <w:rPr>
          <w:lang w:val="fr-FR"/>
        </w:rPr>
        <w:t>turtur</w:t>
      </w:r>
      <w:proofErr w:type="spellEnd"/>
      <w:r w:rsidRPr="00870C5D">
        <w:rPr>
          <w:lang w:val="fr-FR"/>
        </w:rPr>
        <w:t>), le bruant auréole (</w:t>
      </w:r>
      <w:proofErr w:type="spellStart"/>
      <w:r w:rsidRPr="00870C5D">
        <w:rPr>
          <w:i/>
          <w:lang w:val="fr-FR"/>
        </w:rPr>
        <w:t>Emberiza</w:t>
      </w:r>
      <w:r w:rsidRPr="00870C5D">
        <w:rPr>
          <w:lang w:val="fr-FR"/>
        </w:rPr>
        <w:t>aureola</w:t>
      </w:r>
      <w:proofErr w:type="spellEnd"/>
      <w:r w:rsidRPr="00870C5D">
        <w:rPr>
          <w:lang w:val="fr-FR"/>
        </w:rPr>
        <w:t>), l’</w:t>
      </w:r>
      <w:proofErr w:type="spellStart"/>
      <w:r w:rsidRPr="00870C5D">
        <w:rPr>
          <w:lang w:val="fr-FR"/>
        </w:rPr>
        <w:t>érismature</w:t>
      </w:r>
      <w:proofErr w:type="spellEnd"/>
      <w:r w:rsidRPr="00870C5D">
        <w:rPr>
          <w:lang w:val="fr-FR"/>
        </w:rPr>
        <w:t xml:space="preserve"> à tête blanche (</w:t>
      </w:r>
      <w:proofErr w:type="spellStart"/>
      <w:r w:rsidRPr="00870C5D">
        <w:rPr>
          <w:i/>
          <w:lang w:val="fr-FR"/>
        </w:rPr>
        <w:t>Oxyura</w:t>
      </w:r>
      <w:proofErr w:type="spellEnd"/>
      <w:r w:rsidRPr="00870C5D">
        <w:rPr>
          <w:i/>
          <w:lang w:val="fr-FR"/>
        </w:rPr>
        <w:t xml:space="preserve"> </w:t>
      </w:r>
      <w:proofErr w:type="spellStart"/>
      <w:r w:rsidRPr="00870C5D">
        <w:rPr>
          <w:i/>
          <w:lang w:val="fr-FR"/>
        </w:rPr>
        <w:t>leucocephala</w:t>
      </w:r>
      <w:proofErr w:type="spellEnd"/>
      <w:r w:rsidRPr="00870C5D">
        <w:rPr>
          <w:lang w:val="fr-FR"/>
        </w:rPr>
        <w:t xml:space="preserve">) et le pélican frisé </w:t>
      </w:r>
      <w:r w:rsidRPr="00870C5D">
        <w:rPr>
          <w:i/>
          <w:lang w:val="fr-FR"/>
        </w:rPr>
        <w:t>(</w:t>
      </w:r>
      <w:proofErr w:type="spellStart"/>
      <w:r w:rsidRPr="00870C5D">
        <w:rPr>
          <w:i/>
          <w:lang w:val="fr-FR"/>
        </w:rPr>
        <w:t>Pelecanus</w:t>
      </w:r>
      <w:proofErr w:type="spellEnd"/>
      <w:r w:rsidRPr="00870C5D">
        <w:rPr>
          <w:i/>
          <w:lang w:val="fr-FR"/>
        </w:rPr>
        <w:t xml:space="preserve"> </w:t>
      </w:r>
      <w:proofErr w:type="spellStart"/>
      <w:r w:rsidRPr="00870C5D">
        <w:rPr>
          <w:i/>
          <w:lang w:val="fr-FR"/>
        </w:rPr>
        <w:t>crispus</w:t>
      </w:r>
      <w:proofErr w:type="spellEnd"/>
      <w:r w:rsidRPr="00870C5D">
        <w:rPr>
          <w:lang w:val="fr-FR"/>
        </w:rPr>
        <w:t xml:space="preserve">).  </w:t>
      </w:r>
    </w:p>
    <w:p w:rsidR="00870C5D" w:rsidRPr="00870C5D" w:rsidRDefault="00870C5D" w:rsidP="00870C5D">
      <w:pPr>
        <w:pStyle w:val="ListParagraph"/>
        <w:spacing w:after="0" w:line="240" w:lineRule="auto"/>
        <w:ind w:left="360"/>
        <w:jc w:val="both"/>
        <w:rPr>
          <w:lang w:val="fr-FR"/>
        </w:rPr>
      </w:pPr>
    </w:p>
    <w:p w:rsidR="00870C5D" w:rsidRPr="00870C5D" w:rsidRDefault="00870C5D" w:rsidP="00870C5D">
      <w:pPr>
        <w:spacing w:after="0" w:line="240" w:lineRule="auto"/>
        <w:jc w:val="both"/>
        <w:rPr>
          <w:u w:val="single"/>
          <w:lang w:val="fr-FR"/>
        </w:rPr>
      </w:pPr>
      <w:r w:rsidRPr="00870C5D">
        <w:rPr>
          <w:u w:val="single"/>
          <w:lang w:val="fr-FR"/>
        </w:rPr>
        <w:t>Activités de mise en œuvre de la Résolution 12.12 et des Décisions 12.20 à 12.21</w:t>
      </w:r>
    </w:p>
    <w:p w:rsidR="00870C5D" w:rsidRPr="00870C5D" w:rsidRDefault="00870C5D" w:rsidP="00870C5D">
      <w:pPr>
        <w:spacing w:after="0" w:line="240" w:lineRule="auto"/>
        <w:jc w:val="both"/>
        <w:rPr>
          <w:lang w:val="fr-FR"/>
        </w:rPr>
      </w:pPr>
    </w:p>
    <w:p w:rsidR="00870C5D" w:rsidRPr="00870C5D" w:rsidRDefault="00870C5D" w:rsidP="00870C5D">
      <w:pPr>
        <w:spacing w:after="0" w:line="240" w:lineRule="auto"/>
        <w:jc w:val="both"/>
        <w:rPr>
          <w:i/>
          <w:lang w:val="fr-FR"/>
        </w:rPr>
      </w:pPr>
      <w:r w:rsidRPr="00870C5D">
        <w:rPr>
          <w:i/>
          <w:lang w:val="fr-FR"/>
        </w:rPr>
        <w:t>Processus de finalisation et d’adoption des plans d’action depuis la COP12</w:t>
      </w:r>
    </w:p>
    <w:p w:rsidR="00870C5D" w:rsidRPr="00870C5D" w:rsidRDefault="00870C5D" w:rsidP="00870C5D">
      <w:pPr>
        <w:pStyle w:val="ListParagraph"/>
        <w:spacing w:after="0" w:line="240" w:lineRule="auto"/>
        <w:ind w:left="540"/>
        <w:jc w:val="both"/>
        <w:rPr>
          <w:lang w:val="fr-FR"/>
        </w:rPr>
      </w:pPr>
    </w:p>
    <w:p w:rsidR="00870C5D" w:rsidRPr="00870C5D" w:rsidRDefault="00870C5D" w:rsidP="00870C5D">
      <w:pPr>
        <w:pStyle w:val="ListParagraph"/>
        <w:numPr>
          <w:ilvl w:val="0"/>
          <w:numId w:val="8"/>
        </w:numPr>
        <w:spacing w:after="0" w:line="240" w:lineRule="auto"/>
        <w:ind w:left="562" w:hanging="562"/>
        <w:jc w:val="both"/>
        <w:rPr>
          <w:lang w:val="fr-FR"/>
        </w:rPr>
      </w:pPr>
      <w:r w:rsidRPr="00870C5D">
        <w:rPr>
          <w:lang w:val="fr-FR"/>
        </w:rPr>
        <w:t xml:space="preserve">Les Plans d’action internationaux par espèce (ISSAP) </w:t>
      </w:r>
      <w:r w:rsidRPr="00870C5D">
        <w:rPr>
          <w:rFonts w:cs="Arial"/>
          <w:lang w:val="fr-FR"/>
        </w:rPr>
        <w:t>pour la tourterelle des bois, l’</w:t>
      </w:r>
      <w:proofErr w:type="spellStart"/>
      <w:r w:rsidRPr="00870C5D">
        <w:rPr>
          <w:rFonts w:cs="Arial"/>
          <w:lang w:val="fr-FR"/>
        </w:rPr>
        <w:t>érismature</w:t>
      </w:r>
      <w:proofErr w:type="spellEnd"/>
      <w:r w:rsidRPr="00870C5D">
        <w:rPr>
          <w:rFonts w:cs="Arial"/>
          <w:lang w:val="fr-FR"/>
        </w:rPr>
        <w:t xml:space="preserve"> à tête blanche et le pélican frisé </w:t>
      </w:r>
      <w:r w:rsidRPr="00870C5D">
        <w:rPr>
          <w:lang w:val="fr-FR"/>
        </w:rPr>
        <w:t xml:space="preserve"> ont été préparés dans le cadre du projet préparatoire LIFE (LIFE14 PRE/UK/000002) du programme </w:t>
      </w:r>
      <w:proofErr w:type="spellStart"/>
      <w:r w:rsidRPr="00870C5D">
        <w:rPr>
          <w:lang w:val="fr-FR"/>
        </w:rPr>
        <w:t>EuroSAP</w:t>
      </w:r>
      <w:proofErr w:type="spellEnd"/>
      <w:r w:rsidRPr="00870C5D">
        <w:rPr>
          <w:lang w:val="fr-FR"/>
        </w:rPr>
        <w:t xml:space="preserve">, coordonné par </w:t>
      </w:r>
      <w:proofErr w:type="spellStart"/>
      <w:r w:rsidRPr="00870C5D">
        <w:rPr>
          <w:lang w:val="fr-FR"/>
        </w:rPr>
        <w:t>BirdLife</w:t>
      </w:r>
      <w:proofErr w:type="spellEnd"/>
      <w:r w:rsidRPr="00870C5D">
        <w:rPr>
          <w:lang w:val="fr-FR"/>
        </w:rPr>
        <w:t xml:space="preserve"> International et cofinancé par la Direction générale de l’environnement de la Commission européenne et le Secrétariat de l’Accord sur la conservation des oiseaux d’eau migrateurs d’Afrique-Eurasie (PNUE/AEWA), grâce à une subvention du Ministère italien de l’environnement et de la protection du territoire et de la mer. </w:t>
      </w:r>
      <w:r w:rsidRPr="00870C5D">
        <w:rPr>
          <w:rFonts w:eastAsia="Calibri" w:cs="Arial"/>
          <w:lang w:val="fr-FR"/>
        </w:rPr>
        <w:t>La sous-espèce désignée comme la tourterelle des bois (</w:t>
      </w:r>
      <w:proofErr w:type="spellStart"/>
      <w:r w:rsidRPr="00870C5D">
        <w:rPr>
          <w:rFonts w:eastAsia="Calibri" w:cs="Arial"/>
          <w:i/>
          <w:lang w:val="fr-FR"/>
        </w:rPr>
        <w:t>Streptopelia</w:t>
      </w:r>
      <w:proofErr w:type="spellEnd"/>
      <w:r w:rsidRPr="00870C5D">
        <w:rPr>
          <w:rFonts w:eastAsia="Calibri" w:cs="Arial"/>
          <w:i/>
          <w:lang w:val="fr-FR"/>
        </w:rPr>
        <w:t xml:space="preserve"> </w:t>
      </w:r>
      <w:proofErr w:type="spellStart"/>
      <w:r w:rsidRPr="00870C5D">
        <w:rPr>
          <w:rFonts w:eastAsia="Calibri" w:cs="Arial"/>
          <w:i/>
          <w:lang w:val="fr-FR"/>
        </w:rPr>
        <w:t>turtur</w:t>
      </w:r>
      <w:proofErr w:type="spellEnd"/>
      <w:r w:rsidRPr="00870C5D">
        <w:rPr>
          <w:rFonts w:eastAsia="Calibri" w:cs="Arial"/>
          <w:lang w:val="fr-FR"/>
        </w:rPr>
        <w:t xml:space="preserve">) est inscrite à l’Annexe II de la CMS. </w:t>
      </w:r>
      <w:r w:rsidRPr="00870C5D">
        <w:rPr>
          <w:lang w:val="fr-FR"/>
        </w:rPr>
        <w:t>L’</w:t>
      </w:r>
      <w:proofErr w:type="spellStart"/>
      <w:r w:rsidRPr="00870C5D">
        <w:rPr>
          <w:lang w:val="fr-FR"/>
        </w:rPr>
        <w:t>érismature</w:t>
      </w:r>
      <w:proofErr w:type="spellEnd"/>
      <w:r w:rsidRPr="00870C5D">
        <w:rPr>
          <w:lang w:val="fr-FR"/>
        </w:rPr>
        <w:t xml:space="preserve"> à tête blanche et le pélican frisé figurent tous deux aux Annexes I et II de la CMS.</w:t>
      </w:r>
    </w:p>
    <w:p w:rsidR="00B95EEA" w:rsidRDefault="00B95EEA" w:rsidP="00870C5D">
      <w:pPr>
        <w:pStyle w:val="ListParagraph"/>
        <w:spacing w:after="0" w:line="240" w:lineRule="auto"/>
        <w:ind w:left="562" w:hanging="562"/>
        <w:jc w:val="both"/>
        <w:rPr>
          <w:lang w:val="fr-FR"/>
        </w:rPr>
      </w:pPr>
      <w:r>
        <w:rPr>
          <w:lang w:val="fr-FR"/>
        </w:rPr>
        <w:br w:type="page"/>
      </w:r>
    </w:p>
    <w:p w:rsidR="00870C5D" w:rsidRPr="00870C5D" w:rsidRDefault="00870C5D" w:rsidP="00870C5D">
      <w:pPr>
        <w:pStyle w:val="ListParagraph"/>
        <w:spacing w:after="0" w:line="240" w:lineRule="auto"/>
        <w:ind w:left="562" w:hanging="562"/>
        <w:jc w:val="both"/>
        <w:rPr>
          <w:lang w:val="fr-FR"/>
        </w:rPr>
      </w:pPr>
    </w:p>
    <w:p w:rsidR="00870C5D" w:rsidRPr="00870C5D" w:rsidRDefault="00870C5D" w:rsidP="00870C5D">
      <w:pPr>
        <w:pStyle w:val="ListParagraph"/>
        <w:numPr>
          <w:ilvl w:val="0"/>
          <w:numId w:val="8"/>
        </w:numPr>
        <w:spacing w:after="0" w:line="240" w:lineRule="auto"/>
        <w:ind w:left="562" w:hanging="562"/>
        <w:jc w:val="both"/>
        <w:rPr>
          <w:lang w:val="fr-FR"/>
        </w:rPr>
      </w:pPr>
      <w:r w:rsidRPr="00870C5D">
        <w:rPr>
          <w:lang w:val="fr-FR"/>
        </w:rPr>
        <w:t>Les versions préliminaires des trois plans d’action pour la</w:t>
      </w:r>
      <w:r w:rsidRPr="00870C5D">
        <w:rPr>
          <w:rFonts w:cs="Arial"/>
          <w:lang w:val="fr-FR"/>
        </w:rPr>
        <w:t xml:space="preserve"> tourterelle des bois</w:t>
      </w:r>
      <w:r w:rsidRPr="00870C5D">
        <w:rPr>
          <w:lang w:val="fr-FR"/>
        </w:rPr>
        <w:t>, l’</w:t>
      </w:r>
      <w:proofErr w:type="spellStart"/>
      <w:r w:rsidRPr="00870C5D">
        <w:rPr>
          <w:rFonts w:cs="Arial"/>
          <w:lang w:val="fr-FR"/>
        </w:rPr>
        <w:t>érismature</w:t>
      </w:r>
      <w:proofErr w:type="spellEnd"/>
      <w:r w:rsidRPr="00870C5D">
        <w:rPr>
          <w:rFonts w:cs="Arial"/>
          <w:lang w:val="fr-FR"/>
        </w:rPr>
        <w:t xml:space="preserve"> à tête blanche</w:t>
      </w:r>
      <w:r w:rsidRPr="00870C5D">
        <w:rPr>
          <w:lang w:val="fr-FR"/>
        </w:rPr>
        <w:t xml:space="preserve"> et le pélican frisé ont fait l’objet de consultations approfondies avec des experts et des responsables gouvernementaux des États de l’aire de répartition des espèces. Le Secrétariat a fourni des informations détaillées sur les processus de développement et l’adoption de chacun de ces plans d’action par les États de l’aire de répartition de l’Union européenne (UE) dans le document </w:t>
      </w:r>
      <w:hyperlink r:id="rId9" w:history="1">
        <w:r w:rsidRPr="00870C5D">
          <w:rPr>
            <w:rStyle w:val="Hyperlink"/>
            <w:lang w:val="fr-FR"/>
          </w:rPr>
          <w:t>UNEP/CMS/StC48/Doc.18</w:t>
        </w:r>
      </w:hyperlink>
      <w:r w:rsidRPr="00870C5D">
        <w:rPr>
          <w:lang w:val="fr-FR"/>
        </w:rPr>
        <w:t xml:space="preserve">. </w:t>
      </w:r>
      <w:r w:rsidRPr="00870C5D">
        <w:rPr>
          <w:rFonts w:eastAsia="Calibri" w:cs="Arial"/>
          <w:lang w:val="fr-FR"/>
        </w:rPr>
        <w:t xml:space="preserve">Le Secrétariat a assisté à la présentation et aux discussions sur ces plans d’action lors de la </w:t>
      </w:r>
      <w:r w:rsidRPr="00870C5D">
        <w:rPr>
          <w:rFonts w:eastAsia="Calibri" w:cs="Arial"/>
          <w:i/>
          <w:lang w:val="fr-FR"/>
        </w:rPr>
        <w:t>conférence : Regards sur les voies de migration</w:t>
      </w:r>
      <w:r w:rsidRPr="00870C5D">
        <w:rPr>
          <w:rFonts w:eastAsia="Calibri" w:cs="Arial"/>
          <w:lang w:val="fr-FR"/>
        </w:rPr>
        <w:t xml:space="preserve">, qui s’est tenue à Bruxelles le 24 mai 2018. </w:t>
      </w:r>
      <w:r w:rsidRPr="00870C5D">
        <w:rPr>
          <w:lang w:val="fr-FR"/>
        </w:rPr>
        <w:t>Les versions finales des trois plans d’action ont été adoptées par la 48</w:t>
      </w:r>
      <w:r w:rsidRPr="00870C5D">
        <w:rPr>
          <w:vertAlign w:val="superscript"/>
          <w:lang w:val="fr-FR"/>
        </w:rPr>
        <w:t>e</w:t>
      </w:r>
      <w:r w:rsidRPr="00870C5D">
        <w:rPr>
          <w:lang w:val="fr-FR"/>
        </w:rPr>
        <w:t xml:space="preserve"> réunion du Comité permanent de la CMS. </w:t>
      </w:r>
      <w:r w:rsidRPr="00870C5D">
        <w:rPr>
          <w:rFonts w:eastAsia="Calibri" w:cs="Arial"/>
          <w:lang w:val="fr-FR"/>
        </w:rPr>
        <w:t xml:space="preserve">Le Plan d’action pour la tourterelle des bois a été approuvé avec la mise en garde d’un avertissement reflétant les réserves de certains États de l’aire de répartition au sein de l’UE sur un moratoire temporaire proposé sur la chasse à la tourterelle des bois. </w:t>
      </w:r>
      <w:r w:rsidRPr="00870C5D">
        <w:rPr>
          <w:lang w:val="fr-FR"/>
        </w:rPr>
        <w:t>Les plans d’action pour l’</w:t>
      </w:r>
      <w:proofErr w:type="spellStart"/>
      <w:r w:rsidRPr="00870C5D">
        <w:rPr>
          <w:lang w:val="fr-FR"/>
        </w:rPr>
        <w:t>érismature</w:t>
      </w:r>
      <w:proofErr w:type="spellEnd"/>
      <w:r w:rsidRPr="00870C5D">
        <w:rPr>
          <w:lang w:val="fr-FR"/>
        </w:rPr>
        <w:t xml:space="preserve"> à tête blanche et pour le pélican frisé ont également été adoptés lors de la </w:t>
      </w:r>
      <w:r w:rsidRPr="00870C5D">
        <w:rPr>
          <w:rFonts w:eastAsia="Times New Roman" w:cs="Arial"/>
          <w:lang w:val="fr-FR"/>
        </w:rPr>
        <w:t>7</w:t>
      </w:r>
      <w:r w:rsidRPr="00870C5D">
        <w:rPr>
          <w:rFonts w:eastAsia="Times New Roman" w:cs="Arial"/>
          <w:vertAlign w:val="superscript"/>
          <w:lang w:val="fr-FR"/>
        </w:rPr>
        <w:t>e</w:t>
      </w:r>
      <w:r w:rsidRPr="00870C5D">
        <w:rPr>
          <w:rFonts w:eastAsia="Times New Roman" w:cs="Arial"/>
          <w:lang w:val="fr-FR"/>
        </w:rPr>
        <w:t xml:space="preserve"> session de la Réunion des Parties </w:t>
      </w:r>
      <w:r w:rsidRPr="00870C5D">
        <w:rPr>
          <w:lang w:val="fr-FR"/>
        </w:rPr>
        <w:t>à l’AEWA, tenue du 4 au 8 décembre 2018 à Durban, en Afrique du Sud.</w:t>
      </w:r>
    </w:p>
    <w:p w:rsidR="00870C5D" w:rsidRPr="00870C5D" w:rsidRDefault="00870C5D" w:rsidP="00870C5D">
      <w:pPr>
        <w:pStyle w:val="ListParagraph"/>
        <w:spacing w:after="0" w:line="240" w:lineRule="auto"/>
        <w:ind w:left="540"/>
        <w:jc w:val="both"/>
        <w:rPr>
          <w:lang w:val="fr-FR"/>
        </w:rPr>
      </w:pPr>
    </w:p>
    <w:p w:rsidR="00870C5D" w:rsidRPr="00870C5D" w:rsidRDefault="00870C5D" w:rsidP="00870C5D">
      <w:pPr>
        <w:pStyle w:val="ListParagraph"/>
        <w:numPr>
          <w:ilvl w:val="0"/>
          <w:numId w:val="8"/>
        </w:numPr>
        <w:spacing w:after="0" w:line="240" w:lineRule="auto"/>
        <w:ind w:left="562" w:hanging="562"/>
        <w:jc w:val="both"/>
        <w:rPr>
          <w:lang w:val="fr-FR"/>
        </w:rPr>
      </w:pPr>
      <w:r w:rsidRPr="00870C5D">
        <w:rPr>
          <w:lang w:val="fr-FR"/>
        </w:rPr>
        <w:t>Le Plan d’action pour le pélican frisé a également été adopté par la 10</w:t>
      </w:r>
      <w:r w:rsidRPr="00870C5D">
        <w:rPr>
          <w:vertAlign w:val="superscript"/>
          <w:lang w:val="fr-FR"/>
        </w:rPr>
        <w:t>e</w:t>
      </w:r>
      <w:r w:rsidRPr="00870C5D">
        <w:rPr>
          <w:lang w:val="fr-FR"/>
        </w:rPr>
        <w:t xml:space="preserve"> réunion des partenaires du </w:t>
      </w:r>
      <w:r w:rsidRPr="00870C5D">
        <w:rPr>
          <w:rFonts w:eastAsia="Times New Roman" w:cs="Arial"/>
          <w:lang w:val="fr-FR"/>
        </w:rPr>
        <w:t>Partenariat sur les voies de migration Asie de l’Est et Australasie (EAAFP MOP10)</w:t>
      </w:r>
      <w:r w:rsidRPr="00870C5D">
        <w:rPr>
          <w:lang w:val="fr-FR"/>
        </w:rPr>
        <w:t xml:space="preserve">, qui s’est tenue du 10 au 14 décembre 2018 à </w:t>
      </w:r>
      <w:proofErr w:type="spellStart"/>
      <w:r w:rsidRPr="00870C5D">
        <w:rPr>
          <w:lang w:val="fr-FR"/>
        </w:rPr>
        <w:t>Changjiang</w:t>
      </w:r>
      <w:proofErr w:type="spellEnd"/>
      <w:r w:rsidRPr="00870C5D">
        <w:rPr>
          <w:lang w:val="fr-FR"/>
        </w:rPr>
        <w:t>, dans l’île de Hainan, en Chine.</w:t>
      </w:r>
    </w:p>
    <w:p w:rsidR="00870C5D" w:rsidRPr="00870C5D" w:rsidRDefault="00870C5D" w:rsidP="00870C5D">
      <w:pPr>
        <w:pStyle w:val="ListParagraph"/>
        <w:spacing w:after="0" w:line="240" w:lineRule="auto"/>
        <w:ind w:left="562" w:hanging="562"/>
        <w:jc w:val="both"/>
        <w:rPr>
          <w:lang w:val="fr-FR"/>
        </w:rPr>
      </w:pPr>
    </w:p>
    <w:p w:rsidR="00870C5D" w:rsidRPr="00870C5D" w:rsidRDefault="00870C5D" w:rsidP="00870C5D">
      <w:pPr>
        <w:pStyle w:val="ListParagraph"/>
        <w:numPr>
          <w:ilvl w:val="0"/>
          <w:numId w:val="8"/>
        </w:numPr>
        <w:spacing w:after="0" w:line="240" w:lineRule="auto"/>
        <w:ind w:left="562" w:hanging="562"/>
        <w:jc w:val="both"/>
        <w:rPr>
          <w:lang w:val="fr-FR"/>
        </w:rPr>
      </w:pPr>
      <w:r w:rsidRPr="00870C5D">
        <w:rPr>
          <w:lang w:val="fr-FR"/>
        </w:rPr>
        <w:t>Après un atelier de planification qui s’est tenu en novembre 2016 en Chine, des travaux supplémentaires ont été entrepris concernant l’élaboration du Plan d’action pour le bruant auréole, y compris sur ses éléments scientifiques, ainsi qu’un processus de consultation complet et rigoureux. Le plan d’action n’a pas encore été finalisé au moment de la rédaction de ce rapport. En conséquence, le Secrétariat recommande à la Conférence des Parties de renouveler la Décision 12.21, y compris les amendements proposés, c’est-à-dire d’autoriser le Comité permanent à adopter le Plan d’action pour le bruant auréole, une fois finalisé, pendant la période intersessions entre les 13</w:t>
      </w:r>
      <w:r w:rsidRPr="00870C5D">
        <w:rPr>
          <w:vertAlign w:val="superscript"/>
          <w:lang w:val="fr-FR"/>
        </w:rPr>
        <w:t>e</w:t>
      </w:r>
      <w:r w:rsidRPr="00870C5D">
        <w:rPr>
          <w:lang w:val="fr-FR"/>
        </w:rPr>
        <w:t xml:space="preserve"> et 14</w:t>
      </w:r>
      <w:r w:rsidRPr="00870C5D">
        <w:rPr>
          <w:vertAlign w:val="superscript"/>
          <w:lang w:val="fr-FR"/>
        </w:rPr>
        <w:t>e</w:t>
      </w:r>
      <w:r w:rsidRPr="00870C5D">
        <w:rPr>
          <w:lang w:val="fr-FR"/>
        </w:rPr>
        <w:t xml:space="preserve"> réunions de la Conférence des Parties. Le Secrétariat surveille le processus d’élaboration et de finalisation de ce plan d’action.</w:t>
      </w:r>
    </w:p>
    <w:p w:rsidR="00870C5D" w:rsidRPr="00870C5D" w:rsidRDefault="00870C5D" w:rsidP="00870C5D">
      <w:pPr>
        <w:pStyle w:val="ListParagraph"/>
        <w:spacing w:after="0" w:line="240" w:lineRule="auto"/>
        <w:ind w:left="540"/>
        <w:jc w:val="both"/>
        <w:rPr>
          <w:lang w:val="fr-FR"/>
        </w:rPr>
      </w:pPr>
    </w:p>
    <w:p w:rsidR="00870C5D" w:rsidRDefault="00870C5D" w:rsidP="00870C5D">
      <w:pPr>
        <w:spacing w:after="0" w:line="240" w:lineRule="auto"/>
        <w:jc w:val="both"/>
        <w:rPr>
          <w:i/>
        </w:rPr>
      </w:pPr>
      <w:r>
        <w:rPr>
          <w:i/>
        </w:rPr>
        <w:t xml:space="preserve">Publication des plans </w:t>
      </w:r>
      <w:proofErr w:type="spellStart"/>
      <w:r>
        <w:rPr>
          <w:i/>
        </w:rPr>
        <w:t>d’action</w:t>
      </w:r>
      <w:proofErr w:type="spellEnd"/>
    </w:p>
    <w:p w:rsidR="00870C5D" w:rsidRDefault="00870C5D" w:rsidP="00870C5D">
      <w:pPr>
        <w:spacing w:after="0" w:line="240" w:lineRule="auto"/>
        <w:jc w:val="both"/>
        <w:rPr>
          <w:i/>
        </w:rPr>
      </w:pPr>
    </w:p>
    <w:p w:rsidR="00870C5D" w:rsidRPr="00870C5D" w:rsidRDefault="00870C5D" w:rsidP="00870C5D">
      <w:pPr>
        <w:pStyle w:val="ListParagraph"/>
        <w:numPr>
          <w:ilvl w:val="0"/>
          <w:numId w:val="8"/>
        </w:numPr>
        <w:spacing w:after="0" w:line="240" w:lineRule="auto"/>
        <w:ind w:left="562" w:hanging="562"/>
        <w:jc w:val="both"/>
        <w:rPr>
          <w:lang w:val="fr-FR"/>
        </w:rPr>
      </w:pPr>
      <w:r w:rsidRPr="00870C5D">
        <w:rPr>
          <w:lang w:val="fr-FR"/>
        </w:rPr>
        <w:t xml:space="preserve">Les plans d’action adoptés par la COP ne sont pour l’instant disponibles qu’en anglais. Des versions en français et en espagnol suivront en fonction des ressources disponibles. </w:t>
      </w:r>
      <w:r w:rsidRPr="00870C5D">
        <w:rPr>
          <w:rFonts w:cs="Arial"/>
          <w:lang w:val="fr-FR"/>
        </w:rPr>
        <w:t xml:space="preserve">Les plans d’action seront également publiés dans les </w:t>
      </w:r>
      <w:r w:rsidRPr="00870C5D">
        <w:rPr>
          <w:rFonts w:cs="Arial"/>
          <w:i/>
          <w:lang w:val="fr-FR"/>
        </w:rPr>
        <w:t xml:space="preserve">séries techniques </w:t>
      </w:r>
      <w:proofErr w:type="spellStart"/>
      <w:r w:rsidRPr="00870C5D">
        <w:rPr>
          <w:rFonts w:cs="Arial"/>
          <w:i/>
          <w:lang w:val="fr-FR"/>
        </w:rPr>
        <w:t>CMS-AEWA</w:t>
      </w:r>
      <w:r w:rsidRPr="00870C5D">
        <w:rPr>
          <w:rFonts w:cs="Arial"/>
          <w:lang w:val="fr-FR"/>
        </w:rPr>
        <w:t>.Les</w:t>
      </w:r>
      <w:proofErr w:type="spellEnd"/>
      <w:r w:rsidRPr="00870C5D">
        <w:rPr>
          <w:rFonts w:cs="Arial"/>
          <w:lang w:val="fr-FR"/>
        </w:rPr>
        <w:t xml:space="preserve"> versions adoptées sont disponibles sur le site Web de la CMS :</w:t>
      </w:r>
    </w:p>
    <w:p w:rsidR="00870C5D" w:rsidRPr="00870C5D" w:rsidRDefault="00870C5D" w:rsidP="00870C5D">
      <w:pPr>
        <w:pStyle w:val="ListParagraph"/>
        <w:spacing w:after="0" w:line="240" w:lineRule="auto"/>
        <w:ind w:left="562" w:hanging="562"/>
        <w:jc w:val="both"/>
        <w:rPr>
          <w:lang w:val="fr-FR"/>
        </w:rPr>
      </w:pPr>
    </w:p>
    <w:p w:rsidR="00870C5D" w:rsidRPr="00870C5D" w:rsidRDefault="00870C5D" w:rsidP="00870C5D">
      <w:pPr>
        <w:pStyle w:val="ListParagraph"/>
        <w:spacing w:after="0" w:line="240" w:lineRule="auto"/>
        <w:ind w:left="1124" w:hanging="562"/>
        <w:jc w:val="both"/>
        <w:rPr>
          <w:i/>
          <w:lang w:val="fr-FR"/>
        </w:rPr>
      </w:pPr>
      <w:hyperlink r:id="rId10" w:history="1">
        <w:r w:rsidRPr="00870C5D">
          <w:rPr>
            <w:rStyle w:val="Hyperlink"/>
            <w:rFonts w:eastAsia="Times New Roman" w:cs="Arial"/>
            <w:i/>
            <w:lang w:val="fr-FR"/>
          </w:rPr>
          <w:t>Plan d’action pour le fuligule de Baer</w:t>
        </w:r>
      </w:hyperlink>
      <w:r w:rsidRPr="00870C5D">
        <w:rPr>
          <w:rFonts w:eastAsia="Times New Roman" w:cs="Arial"/>
          <w:i/>
          <w:lang w:val="fr-FR"/>
        </w:rPr>
        <w:t> ;</w:t>
      </w:r>
    </w:p>
    <w:p w:rsidR="00870C5D" w:rsidRPr="00870C5D" w:rsidRDefault="00870C5D" w:rsidP="00870C5D">
      <w:pPr>
        <w:pStyle w:val="ListParagraph"/>
        <w:spacing w:after="0" w:line="240" w:lineRule="auto"/>
        <w:ind w:left="1124" w:hanging="562"/>
        <w:jc w:val="both"/>
        <w:rPr>
          <w:rFonts w:eastAsia="Times New Roman" w:cs="Arial"/>
          <w:i/>
          <w:lang w:val="fr-FR"/>
        </w:rPr>
      </w:pPr>
      <w:hyperlink r:id="rId11" w:history="1">
        <w:r w:rsidRPr="00870C5D">
          <w:rPr>
            <w:rStyle w:val="Hyperlink"/>
            <w:rFonts w:eastAsia="Times New Roman" w:cs="Arial"/>
            <w:i/>
            <w:lang w:val="fr-FR"/>
          </w:rPr>
          <w:t>Plan d’action pour le courlis de Sibérie</w:t>
        </w:r>
      </w:hyperlink>
      <w:r w:rsidRPr="00870C5D">
        <w:rPr>
          <w:rFonts w:eastAsia="Times New Roman" w:cs="Arial"/>
          <w:i/>
          <w:lang w:val="fr-FR"/>
        </w:rPr>
        <w:t> ;</w:t>
      </w:r>
    </w:p>
    <w:p w:rsidR="00870C5D" w:rsidRPr="00870C5D" w:rsidRDefault="00870C5D" w:rsidP="00870C5D">
      <w:pPr>
        <w:pStyle w:val="ListParagraph"/>
        <w:spacing w:after="0" w:line="240" w:lineRule="auto"/>
        <w:ind w:left="1124" w:hanging="562"/>
        <w:jc w:val="both"/>
        <w:rPr>
          <w:rFonts w:eastAsia="Times New Roman" w:cs="Arial"/>
          <w:i/>
          <w:lang w:val="fr-FR"/>
        </w:rPr>
      </w:pPr>
      <w:hyperlink r:id="rId12" w:history="1">
        <w:r w:rsidRPr="00870C5D">
          <w:rPr>
            <w:rStyle w:val="Hyperlink"/>
            <w:rFonts w:eastAsia="Times New Roman" w:cs="Arial"/>
            <w:i/>
            <w:lang w:val="fr-FR"/>
          </w:rPr>
          <w:t>Plan d’action pour le rollier d’Europe</w:t>
        </w:r>
      </w:hyperlink>
      <w:r w:rsidRPr="00870C5D">
        <w:rPr>
          <w:rFonts w:eastAsia="Times New Roman" w:cs="Arial"/>
          <w:i/>
          <w:lang w:val="fr-FR"/>
        </w:rPr>
        <w:t> ;</w:t>
      </w:r>
    </w:p>
    <w:p w:rsidR="00870C5D" w:rsidRPr="00870C5D" w:rsidRDefault="00870C5D" w:rsidP="00870C5D">
      <w:pPr>
        <w:widowControl w:val="0"/>
        <w:autoSpaceDE w:val="0"/>
        <w:autoSpaceDN w:val="0"/>
        <w:adjustRightInd w:val="0"/>
        <w:spacing w:after="0" w:line="240" w:lineRule="auto"/>
        <w:ind w:left="1124" w:hanging="562"/>
        <w:jc w:val="both"/>
        <w:rPr>
          <w:rFonts w:eastAsia="Times New Roman" w:cs="Arial"/>
          <w:i/>
          <w:u w:val="single"/>
          <w:lang w:val="fr-FR"/>
        </w:rPr>
      </w:pPr>
      <w:hyperlink r:id="rId13" w:history="1">
        <w:r w:rsidRPr="00870C5D">
          <w:rPr>
            <w:rStyle w:val="Hyperlink"/>
            <w:rFonts w:eastAsia="Times New Roman" w:cs="Arial"/>
            <w:i/>
            <w:lang w:val="fr-FR"/>
          </w:rPr>
          <w:t>Plan d’action pour l’</w:t>
        </w:r>
        <w:proofErr w:type="spellStart"/>
        <w:r w:rsidRPr="00870C5D">
          <w:rPr>
            <w:rStyle w:val="Hyperlink"/>
            <w:rFonts w:eastAsia="Times New Roman" w:cs="Arial"/>
            <w:i/>
            <w:lang w:val="fr-FR"/>
          </w:rPr>
          <w:t>érismature</w:t>
        </w:r>
        <w:proofErr w:type="spellEnd"/>
        <w:r w:rsidRPr="00870C5D">
          <w:rPr>
            <w:rStyle w:val="Hyperlink"/>
            <w:rFonts w:eastAsia="Times New Roman" w:cs="Arial"/>
            <w:i/>
            <w:lang w:val="fr-FR"/>
          </w:rPr>
          <w:t xml:space="preserve"> à tête blanche</w:t>
        </w:r>
      </w:hyperlink>
      <w:r w:rsidRPr="00870C5D">
        <w:rPr>
          <w:rFonts w:eastAsia="Times New Roman" w:cs="Arial"/>
          <w:i/>
          <w:u w:val="single"/>
          <w:lang w:val="fr-FR"/>
        </w:rPr>
        <w:t> ;</w:t>
      </w:r>
    </w:p>
    <w:p w:rsidR="00870C5D" w:rsidRPr="00870C5D" w:rsidRDefault="00870C5D" w:rsidP="00870C5D">
      <w:pPr>
        <w:widowControl w:val="0"/>
        <w:autoSpaceDE w:val="0"/>
        <w:autoSpaceDN w:val="0"/>
        <w:adjustRightInd w:val="0"/>
        <w:spacing w:after="0" w:line="240" w:lineRule="auto"/>
        <w:ind w:left="1124" w:hanging="562"/>
        <w:jc w:val="both"/>
        <w:rPr>
          <w:rFonts w:eastAsia="Times New Roman" w:cs="Arial"/>
          <w:i/>
          <w:u w:val="single"/>
          <w:lang w:val="fr-FR"/>
        </w:rPr>
      </w:pPr>
      <w:hyperlink r:id="rId14" w:history="1">
        <w:r w:rsidRPr="00870C5D">
          <w:rPr>
            <w:rStyle w:val="Hyperlink"/>
            <w:rFonts w:eastAsia="Times New Roman" w:cs="Arial"/>
            <w:i/>
            <w:lang w:val="fr-FR"/>
          </w:rPr>
          <w:t>Plan d’action pour la tourterelle des bois</w:t>
        </w:r>
      </w:hyperlink>
      <w:r w:rsidRPr="00870C5D">
        <w:rPr>
          <w:rFonts w:eastAsia="Times New Roman" w:cs="Arial"/>
          <w:i/>
          <w:u w:val="single"/>
          <w:lang w:val="fr-FR"/>
        </w:rPr>
        <w:t> ;</w:t>
      </w:r>
    </w:p>
    <w:p w:rsidR="00870C5D" w:rsidRPr="00870C5D" w:rsidRDefault="00870C5D" w:rsidP="00870C5D">
      <w:pPr>
        <w:widowControl w:val="0"/>
        <w:autoSpaceDE w:val="0"/>
        <w:autoSpaceDN w:val="0"/>
        <w:adjustRightInd w:val="0"/>
        <w:spacing w:after="0" w:line="240" w:lineRule="auto"/>
        <w:ind w:left="1124" w:hanging="562"/>
        <w:jc w:val="both"/>
        <w:rPr>
          <w:rFonts w:eastAsia="Times New Roman" w:cs="Arial"/>
          <w:i/>
          <w:lang w:val="fr-FR"/>
        </w:rPr>
      </w:pPr>
      <w:hyperlink r:id="rId15" w:history="1">
        <w:r w:rsidRPr="00870C5D">
          <w:rPr>
            <w:rStyle w:val="Hyperlink"/>
            <w:rFonts w:eastAsia="Times New Roman" w:cs="Arial"/>
            <w:i/>
            <w:lang w:val="fr-FR"/>
          </w:rPr>
          <w:t>Plan d’action pour le pélican frisé</w:t>
        </w:r>
      </w:hyperlink>
      <w:r w:rsidRPr="00870C5D">
        <w:rPr>
          <w:rFonts w:eastAsia="Times New Roman" w:cs="Arial"/>
          <w:i/>
          <w:u w:val="single"/>
          <w:lang w:val="fr-FR"/>
        </w:rPr>
        <w:t>.</w:t>
      </w:r>
    </w:p>
    <w:p w:rsidR="00870C5D" w:rsidRPr="00870C5D" w:rsidRDefault="00870C5D" w:rsidP="00870C5D">
      <w:pPr>
        <w:spacing w:after="0" w:line="240" w:lineRule="auto"/>
        <w:jc w:val="both"/>
        <w:rPr>
          <w:i/>
          <w:u w:val="single"/>
          <w:lang w:val="fr-FR"/>
        </w:rPr>
      </w:pPr>
    </w:p>
    <w:p w:rsidR="00870C5D" w:rsidRPr="00870C5D" w:rsidRDefault="00870C5D" w:rsidP="00870C5D">
      <w:pPr>
        <w:spacing w:after="0" w:line="240" w:lineRule="auto"/>
        <w:jc w:val="both"/>
        <w:rPr>
          <w:lang w:val="fr-FR"/>
        </w:rPr>
      </w:pPr>
      <w:r w:rsidRPr="00870C5D">
        <w:rPr>
          <w:i/>
          <w:lang w:val="fr-FR"/>
        </w:rPr>
        <w:t>Soutien à la mise en œuvre et au suivi des plans d’action</w:t>
      </w:r>
    </w:p>
    <w:p w:rsidR="00870C5D" w:rsidRPr="00870C5D" w:rsidRDefault="00870C5D" w:rsidP="00870C5D">
      <w:pPr>
        <w:pStyle w:val="ListParagraph"/>
        <w:spacing w:after="0" w:line="240" w:lineRule="auto"/>
        <w:ind w:left="540"/>
        <w:jc w:val="both"/>
        <w:rPr>
          <w:lang w:val="fr-FR"/>
        </w:rPr>
      </w:pPr>
    </w:p>
    <w:p w:rsidR="00870C5D" w:rsidRPr="00870C5D" w:rsidRDefault="00870C5D" w:rsidP="00870C5D">
      <w:pPr>
        <w:pStyle w:val="ListParagraph"/>
        <w:numPr>
          <w:ilvl w:val="0"/>
          <w:numId w:val="8"/>
        </w:numPr>
        <w:spacing w:after="0" w:line="240" w:lineRule="auto"/>
        <w:ind w:left="562" w:hanging="562"/>
        <w:jc w:val="both"/>
        <w:rPr>
          <w:rFonts w:eastAsia="Calibri" w:cs="Arial"/>
          <w:lang w:val="fr-FR"/>
        </w:rPr>
      </w:pPr>
      <w:r w:rsidRPr="00870C5D">
        <w:rPr>
          <w:rFonts w:eastAsia="Calibri" w:cs="Arial"/>
          <w:lang w:val="fr-FR"/>
        </w:rPr>
        <w:t xml:space="preserve">Le Secrétariat de la CMS a soutenu et suivi la mise en œuvre des plans d’action adoptés par la COP12 au cours de la période intersessions, en coordination avec les États de l’aire de répartition et les cadres internationaux et organisations compétents, en particulier avec le Secrétariat de l’AEWA et le Secrétariat de l’EAAFP, conformément à la Décision 12.20. Le Secrétariat de la CMS a également déployé des efforts pour encourager l’adhésion </w:t>
      </w:r>
      <w:bookmarkStart w:id="1" w:name="_Hlk20303365"/>
      <w:r w:rsidRPr="00870C5D">
        <w:rPr>
          <w:rFonts w:eastAsia="Calibri" w:cs="Arial"/>
          <w:lang w:val="fr-FR"/>
        </w:rPr>
        <w:t xml:space="preserve">à la Convention </w:t>
      </w:r>
      <w:bookmarkEnd w:id="1"/>
      <w:r w:rsidRPr="00870C5D">
        <w:rPr>
          <w:rFonts w:eastAsia="Calibri" w:cs="Arial"/>
          <w:lang w:val="fr-FR"/>
        </w:rPr>
        <w:t xml:space="preserve">d’États de l’aire de répartition non parties et pour soutenir les plans d’action et initiatives pertinents. </w:t>
      </w:r>
    </w:p>
    <w:p w:rsidR="00B95EEA" w:rsidRDefault="00B95EEA" w:rsidP="00870C5D">
      <w:pPr>
        <w:pStyle w:val="ListParagraph"/>
        <w:spacing w:after="0" w:line="240" w:lineRule="auto"/>
        <w:ind w:left="540"/>
        <w:jc w:val="both"/>
        <w:rPr>
          <w:rFonts w:eastAsia="Calibri" w:cs="Arial"/>
          <w:lang w:val="fr-FR"/>
        </w:rPr>
      </w:pPr>
      <w:r>
        <w:rPr>
          <w:rFonts w:eastAsia="Calibri" w:cs="Arial"/>
          <w:lang w:val="fr-FR"/>
        </w:rPr>
        <w:br w:type="page"/>
      </w:r>
    </w:p>
    <w:p w:rsidR="00870C5D" w:rsidRPr="00870C5D" w:rsidRDefault="00870C5D" w:rsidP="00870C5D">
      <w:pPr>
        <w:pStyle w:val="ListParagraph"/>
        <w:spacing w:after="0" w:line="240" w:lineRule="auto"/>
        <w:ind w:left="540"/>
        <w:jc w:val="both"/>
        <w:rPr>
          <w:rFonts w:eastAsia="Calibri" w:cs="Arial"/>
          <w:lang w:val="fr-FR"/>
        </w:rPr>
      </w:pPr>
    </w:p>
    <w:p w:rsidR="00870C5D" w:rsidRPr="00870C5D" w:rsidRDefault="00870C5D" w:rsidP="00870C5D">
      <w:pPr>
        <w:spacing w:after="0" w:line="240" w:lineRule="auto"/>
        <w:jc w:val="both"/>
        <w:rPr>
          <w:rFonts w:eastAsia="Calibri" w:cs="Arial"/>
          <w:i/>
          <w:lang w:val="fr-FR"/>
        </w:rPr>
      </w:pPr>
      <w:r w:rsidRPr="00870C5D">
        <w:rPr>
          <w:rFonts w:eastAsia="Calibri" w:cs="Arial"/>
          <w:i/>
          <w:lang w:val="fr-FR"/>
        </w:rPr>
        <w:t xml:space="preserve">Plans d’action au titre de la CMS, de l’AEWA et de l’EAAFP: fuligule de Baer, courlis de Sibérie et pélican frisé </w:t>
      </w:r>
    </w:p>
    <w:p w:rsidR="00870C5D" w:rsidRPr="00870C5D" w:rsidRDefault="00870C5D" w:rsidP="00870C5D">
      <w:pPr>
        <w:spacing w:after="0" w:line="240" w:lineRule="auto"/>
        <w:jc w:val="both"/>
        <w:rPr>
          <w:rFonts w:eastAsia="Calibri" w:cs="Arial"/>
          <w:lang w:val="fr-FR"/>
        </w:rPr>
      </w:pPr>
    </w:p>
    <w:p w:rsidR="00870C5D" w:rsidRPr="00870C5D" w:rsidRDefault="00870C5D" w:rsidP="00870C5D">
      <w:pPr>
        <w:pStyle w:val="ListParagraph"/>
        <w:numPr>
          <w:ilvl w:val="0"/>
          <w:numId w:val="8"/>
        </w:numPr>
        <w:spacing w:after="0" w:line="240" w:lineRule="auto"/>
        <w:ind w:left="562" w:hanging="562"/>
        <w:jc w:val="both"/>
        <w:rPr>
          <w:rFonts w:eastAsia="Calibri" w:cs="Arial"/>
          <w:lang w:val="fr-FR"/>
        </w:rPr>
      </w:pPr>
      <w:r w:rsidRPr="00870C5D">
        <w:rPr>
          <w:rFonts w:eastAsia="Calibri" w:cs="Arial"/>
          <w:lang w:val="fr-FR"/>
        </w:rPr>
        <w:t xml:space="preserve">En 2015, le groupe de travail sur le fuligule de Baer été créé dans le cadre de l’EAAFP. Afin de promouvoir la mise en œuvre du Plan d’action pour la fuligule de Baer, un atelier international sur la conservation du fuligule de Baer s’est tenu les 19 et 20 mars 2018 dans la Réserve naturelle du lac Hengshui, organisée par l’Université forestière de Beijing, le Gouvernement municipal de Hengshui, la Réserve naturelle nationale du lac Hengshui, la </w:t>
      </w:r>
      <w:proofErr w:type="spellStart"/>
      <w:r w:rsidRPr="00870C5D">
        <w:rPr>
          <w:rFonts w:eastAsia="Calibri" w:cs="Arial"/>
          <w:lang w:val="fr-FR"/>
        </w:rPr>
        <w:t>School</w:t>
      </w:r>
      <w:proofErr w:type="spellEnd"/>
      <w:r w:rsidRPr="00870C5D">
        <w:rPr>
          <w:rFonts w:eastAsia="Calibri" w:cs="Arial"/>
          <w:lang w:val="fr-FR"/>
        </w:rPr>
        <w:t xml:space="preserve"> of Nature Conservation, l’Université forestière de Beijing et l’Université de Hengshui, soutenue par l’Administration forestière nationale chinoise, l’association de conservation de la faune de Chine et le Département forestier de la province du Hebei. Le Groupe de travail sur le fuligule de Baer de l’EAAFP, le </w:t>
      </w:r>
      <w:proofErr w:type="spellStart"/>
      <w:r w:rsidRPr="00870C5D">
        <w:rPr>
          <w:rFonts w:eastAsia="Calibri" w:cs="Arial"/>
          <w:lang w:val="fr-FR"/>
        </w:rPr>
        <w:t>Wildfowl</w:t>
      </w:r>
      <w:proofErr w:type="spellEnd"/>
      <w:r w:rsidRPr="00870C5D">
        <w:rPr>
          <w:rFonts w:eastAsia="Calibri" w:cs="Arial"/>
          <w:lang w:val="fr-FR"/>
        </w:rPr>
        <w:t xml:space="preserve"> and </w:t>
      </w:r>
      <w:proofErr w:type="spellStart"/>
      <w:r w:rsidRPr="00870C5D">
        <w:rPr>
          <w:rFonts w:eastAsia="Calibri" w:cs="Arial"/>
          <w:lang w:val="fr-FR"/>
        </w:rPr>
        <w:t>Wetlands</w:t>
      </w:r>
      <w:proofErr w:type="spellEnd"/>
      <w:r w:rsidRPr="00870C5D">
        <w:rPr>
          <w:rFonts w:eastAsia="Calibri" w:cs="Arial"/>
          <w:lang w:val="fr-FR"/>
        </w:rPr>
        <w:t xml:space="preserve"> Trust et le bureau chinois de </w:t>
      </w:r>
      <w:proofErr w:type="spellStart"/>
      <w:r w:rsidRPr="00870C5D">
        <w:rPr>
          <w:rFonts w:eastAsia="Calibri" w:cs="Arial"/>
          <w:lang w:val="fr-FR"/>
        </w:rPr>
        <w:t>Wetlands</w:t>
      </w:r>
      <w:proofErr w:type="spellEnd"/>
      <w:r w:rsidRPr="00870C5D">
        <w:rPr>
          <w:rFonts w:eastAsia="Calibri" w:cs="Arial"/>
          <w:lang w:val="fr-FR"/>
        </w:rPr>
        <w:t xml:space="preserve"> International étaient les co-organisateurs de la réunion. Des représentants des principaux États de l’aire de répartition situés dans la voie de migration : Bangladesh, Chine, Fédération de Russie, Inde, Japon, Mongolie, Myanmar, République de Corée, République populaire démocratique de Corée, et Thaïlande, ont participé à l’atelier. Plus précisément, les délégués ont discuté de l’état du fuligule de Baer, de ses besoins en matière de conservation et des menaces qui pèsent sur lui dans les pays de l’aire de répartition, de l’identification des lacunes en matière d’information, des priorités de recherche et de conservation et de l’élaboration des plans d’action nationaux. Des améliorations supplémentaires et la promotion des activités identifiées dans le Plan d’action ainsi que les engagements pour sa mise en œuvre ont été résumés dans la </w:t>
      </w:r>
      <w:hyperlink r:id="rId16" w:history="1">
        <w:r w:rsidRPr="00870C5D">
          <w:rPr>
            <w:rStyle w:val="Hyperlink"/>
            <w:rFonts w:eastAsia="Calibri" w:cs="Arial"/>
            <w:i/>
            <w:lang w:val="fr-FR"/>
          </w:rPr>
          <w:t>Déclaration de Hengshui</w:t>
        </w:r>
      </w:hyperlink>
      <w:r w:rsidRPr="00870C5D">
        <w:rPr>
          <w:rFonts w:eastAsia="Calibri" w:cs="Arial"/>
          <w:lang w:val="fr-FR"/>
        </w:rPr>
        <w:t>.</w:t>
      </w:r>
    </w:p>
    <w:p w:rsidR="00870C5D" w:rsidRPr="00870C5D" w:rsidRDefault="00870C5D" w:rsidP="00870C5D">
      <w:pPr>
        <w:pStyle w:val="ListParagraph"/>
        <w:spacing w:after="0" w:line="240" w:lineRule="auto"/>
        <w:ind w:left="562" w:hanging="562"/>
        <w:jc w:val="both"/>
        <w:rPr>
          <w:rFonts w:eastAsia="Calibri" w:cs="Arial"/>
          <w:lang w:val="fr-FR"/>
        </w:rPr>
      </w:pPr>
    </w:p>
    <w:p w:rsidR="00870C5D" w:rsidRPr="00870C5D" w:rsidRDefault="00870C5D" w:rsidP="00870C5D">
      <w:pPr>
        <w:pStyle w:val="ListParagraph"/>
        <w:numPr>
          <w:ilvl w:val="0"/>
          <w:numId w:val="8"/>
        </w:numPr>
        <w:spacing w:after="0" w:line="240" w:lineRule="auto"/>
        <w:ind w:left="562" w:hanging="562"/>
        <w:jc w:val="both"/>
        <w:rPr>
          <w:rFonts w:eastAsia="Calibri" w:cs="Arial"/>
          <w:lang w:val="fr-FR"/>
        </w:rPr>
      </w:pPr>
      <w:r w:rsidRPr="00870C5D">
        <w:rPr>
          <w:rFonts w:eastAsia="Calibri" w:cs="Arial"/>
          <w:lang w:val="fr-FR"/>
        </w:rPr>
        <w:t xml:space="preserve">Le Secrétariat de la CMS était représenté à la MOP10 de l’EAAFP, promouvant la création d’un Groupe de travail intergouvernemental chargé de lutter contre la chasse, la capture et le commerce illégaux des oiseaux migrateurs dans la voie de migration Asie de l’Est-Australasie (ITTEA), qui est proposé pour compléter et collaborer avec le Groupe de travail existant sur la chasse, la capture et le commerce illicites d’oiseaux d’eau migrateurs dans l’EAAF (voir également le document UNEP/CMS/COP13/26.1.1. </w:t>
      </w:r>
      <w:r w:rsidRPr="00870C5D">
        <w:rPr>
          <w:rFonts w:eastAsia="Calibri" w:cs="Arial"/>
          <w:i/>
          <w:lang w:val="fr-FR"/>
        </w:rPr>
        <w:t>Chasse, capture et commerce illégaux d’oiseaux migrateurs</w:t>
      </w:r>
      <w:r w:rsidRPr="00870C5D">
        <w:rPr>
          <w:rFonts w:eastAsia="Calibri" w:cs="Arial"/>
          <w:lang w:val="fr-FR"/>
        </w:rPr>
        <w:t>). S’attaquer au problème de la chasse et de la capture illégaux revêt une importance particulière pour la bonne mise en œuvre des Plans d’action pour le fuligule de Baer et le courlis de Sibérie.</w:t>
      </w:r>
    </w:p>
    <w:p w:rsidR="00870C5D" w:rsidRPr="00870C5D" w:rsidRDefault="00870C5D" w:rsidP="00870C5D">
      <w:pPr>
        <w:pStyle w:val="ListParagraph"/>
        <w:spacing w:after="0" w:line="240" w:lineRule="auto"/>
        <w:ind w:left="562" w:hanging="562"/>
        <w:jc w:val="both"/>
        <w:rPr>
          <w:rFonts w:eastAsia="Calibri" w:cs="Arial"/>
          <w:lang w:val="fr-FR"/>
        </w:rPr>
      </w:pPr>
    </w:p>
    <w:p w:rsidR="00870C5D" w:rsidRPr="00870C5D" w:rsidRDefault="00870C5D" w:rsidP="00870C5D">
      <w:pPr>
        <w:pStyle w:val="ListParagraph"/>
        <w:numPr>
          <w:ilvl w:val="0"/>
          <w:numId w:val="8"/>
        </w:numPr>
        <w:spacing w:after="0" w:line="240" w:lineRule="auto"/>
        <w:ind w:left="562" w:hanging="562"/>
        <w:jc w:val="both"/>
        <w:rPr>
          <w:rFonts w:eastAsia="Calibri" w:cs="Arial"/>
          <w:lang w:val="fr-FR"/>
        </w:rPr>
      </w:pPr>
      <w:r w:rsidRPr="00870C5D">
        <w:rPr>
          <w:rFonts w:eastAsia="Calibri" w:cs="Arial"/>
          <w:lang w:val="fr-FR"/>
        </w:rPr>
        <w:t>Depuis la MOP10 de l’EAAFP, le secrétariat de la CMS fait partie du comité de gestion de l’EAAFP. La participation comprend l’examen de documents élaborés dans le cadre de l’EAAFP, tels que le plan de travail du sous-comité technique de l’EAAFP, en rapport avec les plans d’action adoptés à la fois par la CMS et par l’EAAFP.</w:t>
      </w:r>
    </w:p>
    <w:p w:rsidR="00870C5D" w:rsidRPr="00870C5D" w:rsidRDefault="00870C5D" w:rsidP="00870C5D">
      <w:pPr>
        <w:pStyle w:val="ListParagraph"/>
        <w:spacing w:after="0" w:line="240" w:lineRule="auto"/>
        <w:ind w:left="562" w:hanging="562"/>
        <w:jc w:val="both"/>
        <w:rPr>
          <w:rFonts w:eastAsia="Calibri" w:cs="Arial"/>
          <w:lang w:val="fr-FR"/>
        </w:rPr>
      </w:pPr>
    </w:p>
    <w:p w:rsidR="00870C5D" w:rsidRPr="00870C5D" w:rsidRDefault="00870C5D" w:rsidP="00870C5D">
      <w:pPr>
        <w:pStyle w:val="ListParagraph"/>
        <w:numPr>
          <w:ilvl w:val="0"/>
          <w:numId w:val="8"/>
        </w:numPr>
        <w:spacing w:after="0" w:line="240" w:lineRule="auto"/>
        <w:ind w:left="562" w:hanging="562"/>
        <w:jc w:val="both"/>
        <w:rPr>
          <w:rFonts w:eastAsia="Calibri" w:cs="Arial"/>
          <w:lang w:val="fr-FR"/>
        </w:rPr>
      </w:pPr>
      <w:r w:rsidRPr="00870C5D">
        <w:rPr>
          <w:lang w:val="fr-FR"/>
        </w:rPr>
        <w:t xml:space="preserve">Afin de soutenir la mise en œuvre du plan d’action pour le pélican frisé en ce qui concerne sa sous-population dans la voie de migration Asie de l’Est-Australasie, un Groupe de travail de l’EAAFP sur le pélican frisé a été créé lors de </w:t>
      </w:r>
      <w:r w:rsidRPr="00870C5D">
        <w:rPr>
          <w:i/>
          <w:lang w:val="fr-FR"/>
        </w:rPr>
        <w:t>la réunion de consultation internationale sur la stratégie de conservation du pélican frisé dans la voie de migration Asie de l’Est-Australasie</w:t>
      </w:r>
      <w:r w:rsidRPr="00870C5D">
        <w:rPr>
          <w:lang w:val="fr-FR"/>
        </w:rPr>
        <w:t xml:space="preserve">, tenue les 17 et 18 juillet 2019 dans la province de </w:t>
      </w:r>
      <w:proofErr w:type="spellStart"/>
      <w:r w:rsidRPr="00870C5D">
        <w:rPr>
          <w:lang w:val="fr-FR"/>
        </w:rPr>
        <w:t>Khovd</w:t>
      </w:r>
      <w:proofErr w:type="spellEnd"/>
      <w:r w:rsidRPr="00870C5D">
        <w:rPr>
          <w:lang w:val="fr-FR"/>
        </w:rPr>
        <w:t xml:space="preserve"> en Mongolie, à l’invitation du ministère de l’Environnement et du Tourisme de Mongolie, du bureau du gouvernement de la province de </w:t>
      </w:r>
      <w:proofErr w:type="spellStart"/>
      <w:r w:rsidRPr="00870C5D">
        <w:rPr>
          <w:lang w:val="fr-FR"/>
        </w:rPr>
        <w:t>Khovd</w:t>
      </w:r>
      <w:proofErr w:type="spellEnd"/>
      <w:r w:rsidRPr="00870C5D">
        <w:rPr>
          <w:lang w:val="fr-FR"/>
        </w:rPr>
        <w:t xml:space="preserve">, du parc national du lac </w:t>
      </w:r>
      <w:proofErr w:type="spellStart"/>
      <w:r w:rsidRPr="00870C5D">
        <w:rPr>
          <w:lang w:val="fr-FR"/>
        </w:rPr>
        <w:t>Khar</w:t>
      </w:r>
      <w:proofErr w:type="spellEnd"/>
      <w:r w:rsidRPr="00870C5D">
        <w:rPr>
          <w:lang w:val="fr-FR"/>
        </w:rPr>
        <w:t xml:space="preserve"> Us et du Centre de conservation de la Mongolie et </w:t>
      </w:r>
      <w:proofErr w:type="spellStart"/>
      <w:r w:rsidRPr="00870C5D">
        <w:rPr>
          <w:lang w:val="fr-FR"/>
        </w:rPr>
        <w:t>co-organisé</w:t>
      </w:r>
      <w:proofErr w:type="spellEnd"/>
      <w:r w:rsidRPr="00870C5D">
        <w:rPr>
          <w:lang w:val="fr-FR"/>
        </w:rPr>
        <w:t xml:space="preserve"> par l’Université </w:t>
      </w:r>
      <w:proofErr w:type="spellStart"/>
      <w:r w:rsidRPr="00870C5D">
        <w:rPr>
          <w:lang w:val="fr-FR"/>
        </w:rPr>
        <w:t>Khovd</w:t>
      </w:r>
      <w:proofErr w:type="spellEnd"/>
      <w:r w:rsidRPr="00870C5D">
        <w:rPr>
          <w:lang w:val="fr-FR"/>
        </w:rPr>
        <w:t>, avec le soutien du secrétariat de l’EAAFP, du Fonds mondial pour la nature (WWF) Mongolie et du WWF Chine. La réunion a examiné les informations sur l’état de la population de l’espèce dans chaque État de l’aire de répartition, les menaces, les mesures de conservation et les plans de mise en œuvre pour le pélican frisé en Asie de l’Est et en Mongolie.</w:t>
      </w:r>
    </w:p>
    <w:p w:rsidR="00B95EEA" w:rsidRDefault="00B95EEA" w:rsidP="00870C5D">
      <w:pPr>
        <w:pStyle w:val="ListParagraph"/>
        <w:spacing w:after="0" w:line="240" w:lineRule="auto"/>
        <w:ind w:left="562" w:hanging="562"/>
        <w:jc w:val="both"/>
        <w:rPr>
          <w:rFonts w:eastAsia="Calibri" w:cs="Arial"/>
          <w:lang w:val="fr-FR"/>
        </w:rPr>
      </w:pPr>
      <w:r>
        <w:rPr>
          <w:rFonts w:eastAsia="Calibri" w:cs="Arial"/>
          <w:lang w:val="fr-FR"/>
        </w:rPr>
        <w:br w:type="page"/>
      </w:r>
    </w:p>
    <w:p w:rsidR="00870C5D" w:rsidRPr="00870C5D" w:rsidRDefault="00870C5D" w:rsidP="00870C5D">
      <w:pPr>
        <w:pStyle w:val="ListParagraph"/>
        <w:spacing w:after="0" w:line="240" w:lineRule="auto"/>
        <w:ind w:left="562" w:hanging="562"/>
        <w:jc w:val="both"/>
        <w:rPr>
          <w:rFonts w:eastAsia="Calibri" w:cs="Arial"/>
          <w:lang w:val="fr-FR"/>
        </w:rPr>
      </w:pPr>
    </w:p>
    <w:p w:rsidR="00870C5D" w:rsidRPr="00870C5D" w:rsidRDefault="00870C5D" w:rsidP="00870C5D">
      <w:pPr>
        <w:pStyle w:val="ListParagraph"/>
        <w:numPr>
          <w:ilvl w:val="0"/>
          <w:numId w:val="8"/>
        </w:numPr>
        <w:spacing w:after="0" w:line="240" w:lineRule="auto"/>
        <w:ind w:left="562" w:hanging="562"/>
        <w:jc w:val="both"/>
        <w:rPr>
          <w:rFonts w:eastAsia="Calibri" w:cs="Arial"/>
          <w:lang w:val="fr-FR"/>
        </w:rPr>
      </w:pPr>
      <w:r w:rsidRPr="00870C5D">
        <w:rPr>
          <w:lang w:val="fr-FR"/>
        </w:rPr>
        <w:t xml:space="preserve">Grâce aux contributions volontaires reçues du gouvernement australien, en septembre 2019, le Secrétariat de la CMS a conclu un accord de financement à petite échelle avec </w:t>
      </w:r>
      <w:proofErr w:type="spellStart"/>
      <w:r w:rsidRPr="00870C5D">
        <w:rPr>
          <w:lang w:val="fr-FR"/>
        </w:rPr>
        <w:t>BirdsRussia</w:t>
      </w:r>
      <w:proofErr w:type="spellEnd"/>
      <w:r w:rsidRPr="00870C5D">
        <w:rPr>
          <w:lang w:val="fr-FR"/>
        </w:rPr>
        <w:t xml:space="preserve">, une organisation non gouvernementale à but non lucratif en tant que partenaire d’exécution afin de fournir des fonds de contrepartie pour l’exécution du projet </w:t>
      </w:r>
      <w:r w:rsidRPr="00870C5D">
        <w:rPr>
          <w:i/>
          <w:lang w:val="fr-FR"/>
        </w:rPr>
        <w:t>Évaluation de l’impact de la chasse aux oiseaux de rivage au Kamchatka en recourant aux méthodes des questionnaires</w:t>
      </w:r>
      <w:r w:rsidRPr="00870C5D">
        <w:rPr>
          <w:lang w:val="fr-FR"/>
        </w:rPr>
        <w:t>. La recherche débouchera sur des éléments du Plan d’action pour le courlis de Sibérie et s’alignera sur les priorités en matière de lutte contre la chasse, la capture et le commerce illégaux d’oiseaux d’eau dans l’EAAF et sera instructif pour le processus du Groupe de travail ITTEA.</w:t>
      </w:r>
    </w:p>
    <w:p w:rsidR="00870C5D" w:rsidRPr="00870C5D" w:rsidRDefault="00870C5D" w:rsidP="00870C5D">
      <w:pPr>
        <w:pStyle w:val="ListParagraph"/>
        <w:spacing w:after="0" w:line="240" w:lineRule="auto"/>
        <w:ind w:left="540"/>
        <w:jc w:val="both"/>
        <w:rPr>
          <w:rFonts w:eastAsia="Calibri" w:cs="Arial"/>
          <w:i/>
          <w:lang w:val="fr-FR"/>
        </w:rPr>
      </w:pPr>
    </w:p>
    <w:p w:rsidR="00870C5D" w:rsidRPr="00870C5D" w:rsidRDefault="00870C5D" w:rsidP="00870C5D">
      <w:pPr>
        <w:spacing w:after="0" w:line="240" w:lineRule="auto"/>
        <w:jc w:val="both"/>
        <w:rPr>
          <w:rFonts w:eastAsia="Calibri" w:cs="Arial"/>
          <w:i/>
          <w:lang w:val="fr-FR"/>
        </w:rPr>
      </w:pPr>
      <w:r w:rsidRPr="00870C5D">
        <w:rPr>
          <w:rFonts w:eastAsia="Calibri" w:cs="Arial"/>
          <w:i/>
          <w:lang w:val="fr-FR"/>
        </w:rPr>
        <w:t xml:space="preserve">Plans d’action au titre de la CMS et de l’AEWA : </w:t>
      </w:r>
      <w:proofErr w:type="spellStart"/>
      <w:r w:rsidRPr="00870C5D">
        <w:rPr>
          <w:rFonts w:eastAsia="Calibri" w:cs="Arial"/>
          <w:i/>
          <w:lang w:val="fr-FR"/>
        </w:rPr>
        <w:t>érismature</w:t>
      </w:r>
      <w:proofErr w:type="spellEnd"/>
      <w:r w:rsidRPr="00870C5D">
        <w:rPr>
          <w:rFonts w:eastAsia="Calibri" w:cs="Arial"/>
          <w:i/>
          <w:lang w:val="fr-FR"/>
        </w:rPr>
        <w:t xml:space="preserve"> à tête blanche et pélican frisé</w:t>
      </w:r>
    </w:p>
    <w:p w:rsidR="00870C5D" w:rsidRPr="00870C5D" w:rsidRDefault="00870C5D" w:rsidP="00870C5D">
      <w:pPr>
        <w:pStyle w:val="ListParagraph"/>
        <w:spacing w:after="0" w:line="240" w:lineRule="auto"/>
        <w:ind w:left="540"/>
        <w:jc w:val="both"/>
        <w:rPr>
          <w:rFonts w:eastAsia="Calibri" w:cs="Arial"/>
          <w:lang w:val="fr-FR"/>
        </w:rPr>
      </w:pPr>
    </w:p>
    <w:p w:rsidR="00870C5D" w:rsidRPr="00870C5D" w:rsidRDefault="00870C5D" w:rsidP="00870C5D">
      <w:pPr>
        <w:pStyle w:val="ListParagraph"/>
        <w:numPr>
          <w:ilvl w:val="0"/>
          <w:numId w:val="8"/>
        </w:numPr>
        <w:spacing w:after="0" w:line="240" w:lineRule="auto"/>
        <w:ind w:left="562" w:hanging="562"/>
        <w:jc w:val="both"/>
        <w:rPr>
          <w:rFonts w:eastAsia="Calibri" w:cs="Arial"/>
          <w:lang w:val="fr-FR"/>
        </w:rPr>
      </w:pPr>
      <w:r w:rsidRPr="00870C5D">
        <w:rPr>
          <w:lang w:val="fr-FR"/>
        </w:rPr>
        <w:t>Le mécanisme de l’AEWA est le principal processus de soutien à la mise en œuvre des plans d’action pour l’</w:t>
      </w:r>
      <w:proofErr w:type="spellStart"/>
      <w:r w:rsidRPr="00870C5D">
        <w:rPr>
          <w:lang w:val="fr-FR"/>
        </w:rPr>
        <w:t>érismature</w:t>
      </w:r>
      <w:proofErr w:type="spellEnd"/>
      <w:r w:rsidRPr="00870C5D">
        <w:rPr>
          <w:lang w:val="fr-FR"/>
        </w:rPr>
        <w:t xml:space="preserve"> à tête blanche et le pélican frisé. Le Secrétariat de l’AEWA convoque des Groupes de travail pour superviser la mise en œuvre de chaque plan d’action et soutient leur coordination. Un groupe de travail sur le Plan d’action pour l’</w:t>
      </w:r>
      <w:proofErr w:type="spellStart"/>
      <w:r w:rsidRPr="00870C5D">
        <w:rPr>
          <w:lang w:val="fr-FR"/>
        </w:rPr>
        <w:t>érismature</w:t>
      </w:r>
      <w:proofErr w:type="spellEnd"/>
      <w:r w:rsidRPr="00870C5D">
        <w:rPr>
          <w:lang w:val="fr-FR"/>
        </w:rPr>
        <w:t xml:space="preserve"> à tête blanche existait déjà avant la révision du plan d’action. En ce qui concerne le Plan d’action pour le pélican frisé, le Secrétariat de l’AEWA est actuellement à la recherche d’un coordinateur. Le groupe de travail se réunira après la nomination d’un coordinateur. Le Secrétariat de la CMS est en liaison continue avec le Secrétariat de l’AEWA en ce qui concerne le suivi de la mise en œuvre de ces plans d’action.</w:t>
      </w:r>
    </w:p>
    <w:p w:rsidR="00870C5D" w:rsidRPr="00870C5D" w:rsidRDefault="00870C5D" w:rsidP="00870C5D">
      <w:pPr>
        <w:spacing w:after="0" w:line="240" w:lineRule="auto"/>
        <w:jc w:val="both"/>
        <w:rPr>
          <w:lang w:val="fr-FR"/>
        </w:rPr>
      </w:pPr>
    </w:p>
    <w:p w:rsidR="00870C5D" w:rsidRPr="00870C5D" w:rsidRDefault="00870C5D" w:rsidP="00870C5D">
      <w:pPr>
        <w:spacing w:after="0" w:line="240" w:lineRule="auto"/>
        <w:jc w:val="both"/>
        <w:rPr>
          <w:rFonts w:eastAsia="Calibri" w:cs="Arial"/>
          <w:i/>
          <w:lang w:val="fr-FR"/>
        </w:rPr>
      </w:pPr>
      <w:r w:rsidRPr="00870C5D">
        <w:rPr>
          <w:rFonts w:eastAsia="Calibri" w:cs="Arial"/>
          <w:i/>
          <w:lang w:val="fr-FR"/>
        </w:rPr>
        <w:t>Plans d’action dans le cadre de la CMS : rollier d’Europe et tourterelle des bois</w:t>
      </w:r>
    </w:p>
    <w:p w:rsidR="00870C5D" w:rsidRPr="00870C5D" w:rsidRDefault="00870C5D" w:rsidP="00870C5D">
      <w:pPr>
        <w:spacing w:after="0" w:line="240" w:lineRule="auto"/>
        <w:jc w:val="both"/>
        <w:rPr>
          <w:lang w:val="fr-FR"/>
        </w:rPr>
      </w:pPr>
    </w:p>
    <w:p w:rsidR="00870C5D" w:rsidRPr="00870C5D" w:rsidRDefault="00870C5D" w:rsidP="00870C5D">
      <w:pPr>
        <w:pStyle w:val="ListParagraph"/>
        <w:numPr>
          <w:ilvl w:val="0"/>
          <w:numId w:val="8"/>
        </w:numPr>
        <w:spacing w:after="0" w:line="240" w:lineRule="auto"/>
        <w:ind w:left="562" w:hanging="562"/>
        <w:jc w:val="both"/>
        <w:rPr>
          <w:lang w:val="fr-FR"/>
        </w:rPr>
      </w:pPr>
      <w:r w:rsidRPr="00870C5D">
        <w:rPr>
          <w:lang w:val="fr-FR"/>
        </w:rPr>
        <w:t>Parallèlement aux activités du Groupe de travail sur les oiseaux terrestres migrateurs de la région Afrique-Eurasie (le Groupe de travail sur les oiseaux terrestres) et de son comité de pilotage, le Secrétariat de la CMS a encouragé et suivi la mise en œuvre des Plans d’action pour le rollier d’Europe et la tourterelle des bois. Certains membres du Groupe de travail sur les oiseaux terrestres participent au Groupe d’étude international sur les tourterelles des bois, qui constitue un mécanisme supplémentaire pour promouvoir la mise en œuvre de ce dernier. Pour plus de détails sur le Groupe de travail sur les oiseaux terrestres, voir également le document UNEP/CMS/COP13/26.1.2</w:t>
      </w:r>
      <w:bookmarkStart w:id="2" w:name="_Hlk20303667"/>
      <w:r w:rsidRPr="00870C5D">
        <w:rPr>
          <w:i/>
          <w:lang w:val="fr-FR"/>
        </w:rPr>
        <w:t>Pland’action pour les oiseaux terrestres migrateurs dans la région Afrique-Eurasie (AEMLAP)</w:t>
      </w:r>
      <w:bookmarkEnd w:id="2"/>
      <w:r w:rsidRPr="00870C5D">
        <w:rPr>
          <w:lang w:val="fr-FR"/>
        </w:rPr>
        <w:t>.</w:t>
      </w:r>
    </w:p>
    <w:p w:rsidR="00870C5D" w:rsidRPr="00870C5D" w:rsidRDefault="00870C5D" w:rsidP="00870C5D">
      <w:pPr>
        <w:spacing w:after="0" w:line="240" w:lineRule="auto"/>
        <w:ind w:left="562" w:hanging="562"/>
        <w:jc w:val="both"/>
        <w:rPr>
          <w:rFonts w:cs="Arial"/>
          <w:u w:val="single"/>
          <w:lang w:val="fr-FR"/>
        </w:rPr>
      </w:pPr>
    </w:p>
    <w:p w:rsidR="00870C5D" w:rsidRDefault="00B95EEA" w:rsidP="00870C5D">
      <w:pPr>
        <w:spacing w:after="0" w:line="240" w:lineRule="auto"/>
        <w:jc w:val="both"/>
        <w:rPr>
          <w:rFonts w:cs="Arial"/>
          <w:u w:val="single"/>
        </w:rPr>
      </w:pPr>
      <w:r>
        <w:rPr>
          <w:rFonts w:cs="Arial"/>
          <w:u w:val="single"/>
        </w:rPr>
        <w:t xml:space="preserve">Actions </w:t>
      </w:r>
      <w:proofErr w:type="spellStart"/>
      <w:r w:rsidR="00870C5D">
        <w:rPr>
          <w:rFonts w:cs="Arial"/>
          <w:u w:val="single"/>
        </w:rPr>
        <w:t>recommandées</w:t>
      </w:r>
      <w:proofErr w:type="spellEnd"/>
    </w:p>
    <w:p w:rsidR="00870C5D" w:rsidRDefault="00870C5D" w:rsidP="00870C5D">
      <w:pPr>
        <w:spacing w:after="0" w:line="240" w:lineRule="auto"/>
        <w:jc w:val="both"/>
      </w:pPr>
    </w:p>
    <w:p w:rsidR="00870C5D" w:rsidRPr="00870C5D" w:rsidRDefault="00B95EEA" w:rsidP="00870C5D">
      <w:pPr>
        <w:pStyle w:val="ListParagraph"/>
        <w:numPr>
          <w:ilvl w:val="0"/>
          <w:numId w:val="8"/>
        </w:numPr>
        <w:spacing w:after="0" w:line="240" w:lineRule="auto"/>
        <w:ind w:left="562" w:hanging="562"/>
        <w:jc w:val="both"/>
        <w:rPr>
          <w:rFonts w:cs="Arial"/>
          <w:lang w:val="fr-FR"/>
        </w:rPr>
      </w:pPr>
      <w:r>
        <w:rPr>
          <w:rFonts w:cs="Arial"/>
          <w:lang w:val="fr-FR"/>
        </w:rPr>
        <w:t xml:space="preserve">Il est recommandé à </w:t>
      </w:r>
      <w:r w:rsidR="00870C5D" w:rsidRPr="00870C5D">
        <w:rPr>
          <w:rFonts w:cs="Arial"/>
          <w:lang w:val="fr-FR"/>
        </w:rPr>
        <w:t>la Conférence des Parties :</w:t>
      </w:r>
    </w:p>
    <w:p w:rsidR="00870C5D" w:rsidRPr="00870C5D" w:rsidRDefault="00870C5D" w:rsidP="00870C5D">
      <w:pPr>
        <w:spacing w:after="0"/>
        <w:ind w:firstLine="144"/>
        <w:jc w:val="both"/>
        <w:rPr>
          <w:rFonts w:cs="Arial"/>
          <w:lang w:val="fr-FR"/>
        </w:rPr>
      </w:pPr>
    </w:p>
    <w:p w:rsidR="00870C5D" w:rsidRPr="00870C5D" w:rsidRDefault="00B95EEA" w:rsidP="00B95EEA">
      <w:pPr>
        <w:numPr>
          <w:ilvl w:val="0"/>
          <w:numId w:val="9"/>
        </w:numPr>
        <w:autoSpaceDN w:val="0"/>
        <w:spacing w:after="0" w:line="240" w:lineRule="auto"/>
        <w:ind w:left="1134" w:hanging="567"/>
        <w:contextualSpacing/>
        <w:jc w:val="both"/>
        <w:rPr>
          <w:rFonts w:cs="Arial"/>
          <w:lang w:val="fr-FR"/>
        </w:rPr>
      </w:pPr>
      <w:r>
        <w:rPr>
          <w:rFonts w:cs="Arial"/>
          <w:lang w:val="fr-FR"/>
        </w:rPr>
        <w:t>d’</w:t>
      </w:r>
      <w:r w:rsidR="00870C5D" w:rsidRPr="00870C5D">
        <w:rPr>
          <w:rFonts w:cs="Arial"/>
          <w:lang w:val="fr-FR"/>
        </w:rPr>
        <w:t xml:space="preserve">adopter le projet d’amendements à la Résolution 12.12 figurant à l’Annexe </w:t>
      </w:r>
      <w:r>
        <w:rPr>
          <w:rFonts w:cs="Arial"/>
          <w:lang w:val="fr-FR"/>
        </w:rPr>
        <w:t>1</w:t>
      </w:r>
      <w:r w:rsidR="00870C5D" w:rsidRPr="00870C5D">
        <w:rPr>
          <w:rFonts w:cs="Arial"/>
          <w:lang w:val="fr-FR"/>
        </w:rPr>
        <w:t xml:space="preserve"> de ce document ;</w:t>
      </w:r>
    </w:p>
    <w:p w:rsidR="00870C5D" w:rsidRPr="00870C5D" w:rsidRDefault="00870C5D" w:rsidP="00B95EEA">
      <w:pPr>
        <w:autoSpaceDN w:val="0"/>
        <w:spacing w:after="0" w:line="240" w:lineRule="auto"/>
        <w:ind w:left="1134" w:hanging="567"/>
        <w:contextualSpacing/>
        <w:jc w:val="both"/>
        <w:rPr>
          <w:rFonts w:cs="Arial"/>
          <w:lang w:val="fr-FR"/>
        </w:rPr>
      </w:pPr>
    </w:p>
    <w:p w:rsidR="00870C5D" w:rsidRPr="00870C5D" w:rsidRDefault="00B95EEA" w:rsidP="00B95EEA">
      <w:pPr>
        <w:numPr>
          <w:ilvl w:val="0"/>
          <w:numId w:val="9"/>
        </w:numPr>
        <w:autoSpaceDN w:val="0"/>
        <w:spacing w:after="0" w:line="240" w:lineRule="auto"/>
        <w:ind w:left="1134" w:hanging="567"/>
        <w:contextualSpacing/>
        <w:jc w:val="both"/>
        <w:rPr>
          <w:rFonts w:cs="Arial"/>
          <w:lang w:val="fr-FR"/>
        </w:rPr>
      </w:pPr>
      <w:r>
        <w:rPr>
          <w:lang w:val="fr-FR"/>
        </w:rPr>
        <w:t>d’</w:t>
      </w:r>
      <w:r w:rsidR="00870C5D" w:rsidRPr="00870C5D">
        <w:rPr>
          <w:lang w:val="fr-FR"/>
        </w:rPr>
        <w:t>adopter les projets de Décisions figurant à l’Annexe</w:t>
      </w:r>
      <w:r>
        <w:rPr>
          <w:lang w:val="fr-FR"/>
        </w:rPr>
        <w:t xml:space="preserve"> 2</w:t>
      </w:r>
      <w:r w:rsidR="00870C5D" w:rsidRPr="00870C5D">
        <w:rPr>
          <w:lang w:val="fr-FR"/>
        </w:rPr>
        <w:t xml:space="preserve"> de ce document qui modifient les Décisions 12.20 et 12.21</w:t>
      </w:r>
      <w:r w:rsidR="00870C5D" w:rsidRPr="00870C5D">
        <w:rPr>
          <w:rFonts w:cs="Arial"/>
          <w:lang w:val="fr-FR"/>
        </w:rPr>
        <w:t>.</w:t>
      </w:r>
    </w:p>
    <w:p w:rsidR="00870C5D" w:rsidRDefault="00870C5D" w:rsidP="00EF7FC8">
      <w:pPr>
        <w:pStyle w:val="FourthnumberingA"/>
        <w:numPr>
          <w:ilvl w:val="0"/>
          <w:numId w:val="0"/>
        </w:numPr>
        <w:sectPr w:rsidR="00870C5D" w:rsidSect="00D71837">
          <w:headerReference w:type="even" r:id="rId17"/>
          <w:headerReference w:type="default" r:id="rId18"/>
          <w:footerReference w:type="even" r:id="rId19"/>
          <w:footerReference w:type="default" r:id="rId20"/>
          <w:headerReference w:type="first" r:id="rId21"/>
          <w:pgSz w:w="11906" w:h="16838" w:code="9"/>
          <w:pgMar w:top="1134" w:right="1134" w:bottom="1134" w:left="1134" w:header="720" w:footer="720" w:gutter="0"/>
          <w:cols w:space="720"/>
          <w:titlePg/>
          <w:docGrid w:linePitch="360"/>
        </w:sectPr>
      </w:pPr>
    </w:p>
    <w:p w:rsidR="00870C5D" w:rsidRPr="00B95EEA" w:rsidRDefault="00870C5D" w:rsidP="00B95EEA">
      <w:pPr>
        <w:tabs>
          <w:tab w:val="left" w:pos="2250"/>
        </w:tabs>
        <w:jc w:val="right"/>
        <w:rPr>
          <w:lang w:val="fr-FR"/>
        </w:rPr>
      </w:pPr>
      <w:r w:rsidRPr="00870C5D">
        <w:rPr>
          <w:rFonts w:cs="Arial"/>
          <w:b/>
          <w:lang w:val="fr-FR"/>
        </w:rPr>
        <w:lastRenderedPageBreak/>
        <w:t xml:space="preserve">ANNEXE </w:t>
      </w:r>
      <w:r w:rsidR="00B95EEA">
        <w:rPr>
          <w:rFonts w:cs="Arial"/>
          <w:b/>
          <w:lang w:val="fr-FR"/>
        </w:rPr>
        <w:t>1</w:t>
      </w:r>
    </w:p>
    <w:p w:rsidR="00870C5D" w:rsidRPr="00870C5D" w:rsidRDefault="00870C5D" w:rsidP="00870C5D">
      <w:pPr>
        <w:spacing w:after="0" w:line="240" w:lineRule="auto"/>
        <w:jc w:val="both"/>
        <w:rPr>
          <w:lang w:val="fr-FR"/>
        </w:rPr>
      </w:pPr>
    </w:p>
    <w:p w:rsidR="00870C5D" w:rsidRPr="00870C5D" w:rsidRDefault="00870C5D" w:rsidP="00870C5D">
      <w:pPr>
        <w:spacing w:after="0" w:line="240" w:lineRule="auto"/>
        <w:jc w:val="center"/>
        <w:rPr>
          <w:lang w:val="fr-FR"/>
        </w:rPr>
      </w:pPr>
      <w:r w:rsidRPr="00870C5D">
        <w:rPr>
          <w:lang w:val="fr-FR"/>
        </w:rPr>
        <w:t>PROPOSITION D’AMENDEMENTS À LA RÉSOLUTION 12.12</w:t>
      </w:r>
    </w:p>
    <w:p w:rsidR="00870C5D" w:rsidRPr="00870C5D" w:rsidRDefault="00870C5D" w:rsidP="00870C5D">
      <w:pPr>
        <w:spacing w:after="0" w:line="240" w:lineRule="auto"/>
        <w:jc w:val="center"/>
        <w:rPr>
          <w:lang w:val="fr-FR"/>
        </w:rPr>
      </w:pPr>
    </w:p>
    <w:p w:rsidR="00870C5D" w:rsidRPr="00870C5D" w:rsidRDefault="00870C5D" w:rsidP="00870C5D">
      <w:pPr>
        <w:spacing w:after="0" w:line="240" w:lineRule="auto"/>
        <w:jc w:val="center"/>
        <w:rPr>
          <w:lang w:val="fr-FR"/>
        </w:rPr>
      </w:pPr>
      <w:r w:rsidRPr="00870C5D">
        <w:rPr>
          <w:rFonts w:cs="Arial"/>
          <w:i/>
          <w:iCs/>
          <w:sz w:val="21"/>
          <w:lang w:val="fr-FR"/>
        </w:rPr>
        <w:t xml:space="preserve">NB : le nouveau texte proposé est </w:t>
      </w:r>
      <w:r w:rsidRPr="00870C5D">
        <w:rPr>
          <w:rFonts w:cs="Arial"/>
          <w:i/>
          <w:iCs/>
          <w:sz w:val="21"/>
          <w:u w:val="single"/>
          <w:lang w:val="fr-FR"/>
        </w:rPr>
        <w:t>souligné.</w:t>
      </w:r>
      <w:r w:rsidRPr="00870C5D">
        <w:rPr>
          <w:rFonts w:cs="Arial"/>
          <w:i/>
          <w:iCs/>
          <w:sz w:val="21"/>
          <w:lang w:val="fr-FR"/>
        </w:rPr>
        <w:t xml:space="preserve">  Le texte à supprimer est </w:t>
      </w:r>
      <w:r w:rsidRPr="00870C5D">
        <w:rPr>
          <w:rFonts w:cs="Arial"/>
          <w:i/>
          <w:iCs/>
          <w:strike/>
          <w:sz w:val="21"/>
          <w:lang w:val="fr-FR"/>
        </w:rPr>
        <w:t>barré</w:t>
      </w:r>
      <w:r w:rsidRPr="00870C5D">
        <w:rPr>
          <w:rFonts w:cs="Arial"/>
          <w:i/>
          <w:iCs/>
          <w:sz w:val="21"/>
          <w:lang w:val="fr-FR"/>
        </w:rPr>
        <w:t>.</w:t>
      </w:r>
    </w:p>
    <w:p w:rsidR="00870C5D" w:rsidRPr="00870C5D" w:rsidRDefault="00870C5D" w:rsidP="00870C5D">
      <w:pPr>
        <w:spacing w:after="0" w:line="240" w:lineRule="auto"/>
        <w:jc w:val="center"/>
        <w:rPr>
          <w:b/>
          <w:lang w:val="fr-FR"/>
        </w:rPr>
      </w:pPr>
    </w:p>
    <w:p w:rsidR="00870C5D" w:rsidRPr="00870C5D" w:rsidRDefault="00870C5D" w:rsidP="00870C5D">
      <w:pPr>
        <w:spacing w:after="0" w:line="240" w:lineRule="auto"/>
        <w:jc w:val="center"/>
        <w:rPr>
          <w:b/>
          <w:lang w:val="fr-FR"/>
        </w:rPr>
      </w:pPr>
      <w:r w:rsidRPr="00870C5D">
        <w:rPr>
          <w:b/>
          <w:lang w:val="fr-FR"/>
        </w:rPr>
        <w:t>PLANS D’ACTION POUR LES OISEAUX</w:t>
      </w:r>
    </w:p>
    <w:p w:rsidR="00870C5D" w:rsidRPr="00870C5D" w:rsidRDefault="00870C5D" w:rsidP="00870C5D">
      <w:pPr>
        <w:spacing w:after="0" w:line="240" w:lineRule="auto"/>
        <w:jc w:val="both"/>
        <w:rPr>
          <w:lang w:val="fr-FR"/>
        </w:rPr>
      </w:pPr>
    </w:p>
    <w:p w:rsidR="00870C5D" w:rsidRPr="00870C5D" w:rsidRDefault="00870C5D" w:rsidP="00870C5D">
      <w:pPr>
        <w:widowControl w:val="0"/>
        <w:autoSpaceDE w:val="0"/>
        <w:autoSpaceDN w:val="0"/>
        <w:adjustRightInd w:val="0"/>
        <w:spacing w:after="0" w:line="240" w:lineRule="auto"/>
        <w:jc w:val="both"/>
        <w:rPr>
          <w:rFonts w:eastAsia="Times New Roman" w:cs="Arial"/>
          <w:lang w:val="fr-FR"/>
        </w:rPr>
      </w:pPr>
      <w:r w:rsidRPr="00870C5D">
        <w:rPr>
          <w:rFonts w:eastAsia="Times New Roman" w:cs="Arial"/>
          <w:i/>
          <w:lang w:val="fr-FR"/>
        </w:rPr>
        <w:t xml:space="preserve">Rappelant </w:t>
      </w:r>
      <w:r w:rsidRPr="00870C5D">
        <w:rPr>
          <w:rFonts w:eastAsia="Times New Roman" w:cs="Arial"/>
          <w:lang w:val="fr-FR"/>
        </w:rPr>
        <w:t>la Résolution 11.14</w:t>
      </w:r>
      <w:r>
        <w:rPr>
          <w:rStyle w:val="FootnoteReference"/>
          <w:rFonts w:eastAsia="Times New Roman" w:cs="Arial"/>
          <w:u w:val="single"/>
        </w:rPr>
        <w:footnoteReference w:id="1"/>
      </w:r>
      <w:r w:rsidRPr="00870C5D">
        <w:rPr>
          <w:rFonts w:eastAsia="Times New Roman" w:cs="Arial"/>
          <w:strike/>
          <w:lang w:val="fr-FR"/>
        </w:rPr>
        <w:t xml:space="preserve">sur </w:t>
      </w:r>
      <w:proofErr w:type="spellStart"/>
      <w:r w:rsidRPr="00870C5D">
        <w:rPr>
          <w:rFonts w:eastAsia="Times New Roman" w:cs="Arial"/>
          <w:strike/>
          <w:lang w:val="fr-FR"/>
        </w:rPr>
        <w:t>un</w:t>
      </w:r>
      <w:r w:rsidRPr="00870C5D">
        <w:rPr>
          <w:rFonts w:eastAsia="Times New Roman" w:cs="Arial"/>
          <w:i/>
          <w:lang w:val="fr-FR"/>
        </w:rPr>
        <w:t>Programme</w:t>
      </w:r>
      <w:proofErr w:type="spellEnd"/>
      <w:r w:rsidRPr="00870C5D">
        <w:rPr>
          <w:rFonts w:eastAsia="Times New Roman" w:cs="Arial"/>
          <w:i/>
          <w:lang w:val="fr-FR"/>
        </w:rPr>
        <w:t xml:space="preserve"> de travail sur les oiseaux migrateurs et les voies de migration</w:t>
      </w:r>
      <w:r w:rsidRPr="00870C5D">
        <w:rPr>
          <w:rFonts w:eastAsia="Times New Roman" w:cs="Arial"/>
          <w:lang w:val="fr-FR"/>
        </w:rPr>
        <w:t>, qui recommande l’élaboration, l’adoption et la mise en œuvre de plans d’action par espèce pour les espèces prioritaires, conformément aux priorités de la CMS pour les Actions concertées et en coopération, dont le bruant auréole, le fuligule de Baer et le courlis de Sibérie,</w:t>
      </w:r>
    </w:p>
    <w:p w:rsidR="00870C5D" w:rsidRPr="00870C5D" w:rsidRDefault="00870C5D" w:rsidP="00870C5D">
      <w:pPr>
        <w:widowControl w:val="0"/>
        <w:autoSpaceDE w:val="0"/>
        <w:autoSpaceDN w:val="0"/>
        <w:adjustRightInd w:val="0"/>
        <w:spacing w:after="0" w:line="240" w:lineRule="auto"/>
        <w:jc w:val="both"/>
        <w:rPr>
          <w:rFonts w:eastAsia="Times New Roman" w:cs="Arial"/>
          <w:i/>
          <w:lang w:val="fr-FR"/>
        </w:rPr>
      </w:pPr>
    </w:p>
    <w:p w:rsidR="00870C5D" w:rsidRPr="00870C5D" w:rsidRDefault="00870C5D" w:rsidP="00870C5D">
      <w:pPr>
        <w:widowControl w:val="0"/>
        <w:autoSpaceDE w:val="0"/>
        <w:autoSpaceDN w:val="0"/>
        <w:adjustRightInd w:val="0"/>
        <w:spacing w:after="0" w:line="240" w:lineRule="auto"/>
        <w:jc w:val="both"/>
        <w:rPr>
          <w:rFonts w:eastAsia="Times New Roman" w:cs="Arial"/>
          <w:lang w:val="fr-FR"/>
        </w:rPr>
      </w:pPr>
      <w:r w:rsidRPr="00870C5D">
        <w:rPr>
          <w:rFonts w:eastAsia="Times New Roman" w:cs="Arial"/>
          <w:i/>
          <w:lang w:val="fr-FR"/>
        </w:rPr>
        <w:t xml:space="preserve">Rappelant également </w:t>
      </w:r>
      <w:r w:rsidRPr="00870C5D">
        <w:rPr>
          <w:rFonts w:eastAsia="Times New Roman" w:cs="Arial"/>
          <w:lang w:val="fr-FR"/>
        </w:rPr>
        <w:t xml:space="preserve">la Résolution 11.17(Rev.COP12) </w:t>
      </w:r>
      <w:r w:rsidRPr="00870C5D">
        <w:rPr>
          <w:rFonts w:eastAsia="Times New Roman" w:cs="Arial"/>
          <w:strike/>
          <w:lang w:val="fr-FR"/>
        </w:rPr>
        <w:t xml:space="preserve">sur </w:t>
      </w:r>
      <w:proofErr w:type="spellStart"/>
      <w:r w:rsidRPr="00870C5D">
        <w:rPr>
          <w:rFonts w:eastAsia="Times New Roman" w:cs="Arial"/>
          <w:strike/>
          <w:lang w:val="fr-FR"/>
        </w:rPr>
        <w:t>un</w:t>
      </w:r>
      <w:r w:rsidRPr="00870C5D">
        <w:rPr>
          <w:rFonts w:eastAsia="Times New Roman" w:cs="Arial"/>
          <w:i/>
          <w:lang w:val="fr-FR"/>
        </w:rPr>
        <w:t>Plan</w:t>
      </w:r>
      <w:proofErr w:type="spellEnd"/>
      <w:r w:rsidRPr="00870C5D">
        <w:rPr>
          <w:rFonts w:eastAsia="Times New Roman" w:cs="Arial"/>
          <w:i/>
          <w:lang w:val="fr-FR"/>
        </w:rPr>
        <w:t xml:space="preserve"> d’action pour les oiseaux terrestres migrateurs d’Afrique-Eurasie</w:t>
      </w:r>
      <w:r w:rsidRPr="00870C5D">
        <w:rPr>
          <w:rFonts w:eastAsia="Times New Roman" w:cs="Arial"/>
          <w:lang w:val="fr-FR"/>
        </w:rPr>
        <w:t>, qui demande au Groupe de travail sur les oiseaux terrestres et au Conseil scientifique, avec le soutien du Secrétariat de la CMS, d’élaborer, en tant qu’enjeu émergent, des Plans d’action pour le bruant auréole, la tourterelle des bois et le rollier d’Europe,</w:t>
      </w:r>
    </w:p>
    <w:p w:rsidR="00870C5D" w:rsidRPr="00870C5D" w:rsidRDefault="00870C5D" w:rsidP="00870C5D">
      <w:pPr>
        <w:widowControl w:val="0"/>
        <w:autoSpaceDE w:val="0"/>
        <w:autoSpaceDN w:val="0"/>
        <w:adjustRightInd w:val="0"/>
        <w:spacing w:after="0" w:line="240" w:lineRule="auto"/>
        <w:jc w:val="both"/>
        <w:rPr>
          <w:rFonts w:eastAsia="Times New Roman" w:cs="Arial"/>
          <w:i/>
          <w:lang w:val="fr-FR"/>
        </w:rPr>
      </w:pPr>
    </w:p>
    <w:p w:rsidR="00870C5D" w:rsidRPr="00870C5D" w:rsidRDefault="00870C5D" w:rsidP="00870C5D">
      <w:pPr>
        <w:widowControl w:val="0"/>
        <w:autoSpaceDE w:val="0"/>
        <w:autoSpaceDN w:val="0"/>
        <w:adjustRightInd w:val="0"/>
        <w:spacing w:after="0" w:line="240" w:lineRule="auto"/>
        <w:jc w:val="both"/>
        <w:rPr>
          <w:rFonts w:eastAsia="Times New Roman" w:cs="Arial"/>
          <w:lang w:val="fr-FR"/>
        </w:rPr>
      </w:pPr>
      <w:r w:rsidRPr="00870C5D">
        <w:rPr>
          <w:rFonts w:eastAsia="Times New Roman" w:cs="Arial"/>
          <w:i/>
          <w:lang w:val="fr-FR"/>
        </w:rPr>
        <w:t xml:space="preserve">Notant </w:t>
      </w:r>
      <w:r w:rsidRPr="00870C5D">
        <w:rPr>
          <w:rFonts w:eastAsia="Times New Roman" w:cs="Arial"/>
          <w:lang w:val="fr-FR"/>
        </w:rPr>
        <w:t>que le courlis de Sibérie a été désigné pour des Actions concertées pour la période 2015-2017 au travers de la Résolution 11.13</w:t>
      </w:r>
      <w:r>
        <w:rPr>
          <w:rStyle w:val="FootnoteReference"/>
          <w:rFonts w:eastAsia="Times New Roman" w:cs="Arial"/>
          <w:u w:val="single"/>
        </w:rPr>
        <w:footnoteReference w:id="2"/>
      </w:r>
      <w:r w:rsidRPr="00870C5D">
        <w:rPr>
          <w:rFonts w:eastAsia="Times New Roman" w:cs="Arial"/>
          <w:lang w:val="fr-FR"/>
        </w:rPr>
        <w:t xml:space="preserve"> sur les Actions concertées et en coopération,</w:t>
      </w:r>
    </w:p>
    <w:p w:rsidR="00870C5D" w:rsidRPr="00870C5D" w:rsidRDefault="00870C5D" w:rsidP="00870C5D">
      <w:pPr>
        <w:widowControl w:val="0"/>
        <w:autoSpaceDE w:val="0"/>
        <w:autoSpaceDN w:val="0"/>
        <w:adjustRightInd w:val="0"/>
        <w:spacing w:after="0" w:line="240" w:lineRule="auto"/>
        <w:jc w:val="both"/>
        <w:rPr>
          <w:rFonts w:eastAsia="Times New Roman" w:cs="Arial"/>
          <w:i/>
          <w:lang w:val="fr-FR"/>
        </w:rPr>
      </w:pPr>
    </w:p>
    <w:p w:rsidR="00870C5D" w:rsidRPr="00870C5D" w:rsidRDefault="00870C5D" w:rsidP="00870C5D">
      <w:pPr>
        <w:widowControl w:val="0"/>
        <w:autoSpaceDE w:val="0"/>
        <w:autoSpaceDN w:val="0"/>
        <w:adjustRightInd w:val="0"/>
        <w:spacing w:after="0" w:line="240" w:lineRule="auto"/>
        <w:jc w:val="both"/>
        <w:rPr>
          <w:rFonts w:eastAsia="Times New Roman" w:cs="Arial"/>
          <w:lang w:val="fr-FR"/>
        </w:rPr>
      </w:pPr>
      <w:r w:rsidRPr="00870C5D">
        <w:rPr>
          <w:rFonts w:eastAsia="Times New Roman" w:cs="Arial"/>
          <w:i/>
          <w:lang w:val="fr-FR"/>
        </w:rPr>
        <w:t>Notant également</w:t>
      </w:r>
      <w:r w:rsidRPr="00870C5D">
        <w:rPr>
          <w:rFonts w:eastAsia="Times New Roman" w:cs="Arial"/>
          <w:lang w:val="fr-FR"/>
        </w:rPr>
        <w:t xml:space="preserve"> que le Plan d’action pour le fuligule de Baer a été adopté lors de la 8</w:t>
      </w:r>
      <w:r w:rsidRPr="00870C5D">
        <w:rPr>
          <w:rFonts w:eastAsia="Times New Roman" w:cs="Arial"/>
          <w:vertAlign w:val="superscript"/>
          <w:lang w:val="fr-FR"/>
        </w:rPr>
        <w:t>e</w:t>
      </w:r>
      <w:r w:rsidRPr="00870C5D">
        <w:rPr>
          <w:rFonts w:eastAsia="Times New Roman" w:cs="Arial"/>
          <w:lang w:val="fr-FR"/>
        </w:rPr>
        <w:t xml:space="preserve"> Réunion des partenaires du Partenariat sur l’itinéraire aérien Asie orientale-Australasie (E</w:t>
      </w:r>
      <w:r w:rsidRPr="00870C5D">
        <w:rPr>
          <w:rFonts w:eastAsia="Times New Roman" w:cs="Arial"/>
          <w:strike/>
          <w:lang w:val="fr-FR"/>
        </w:rPr>
        <w:t>E</w:t>
      </w:r>
      <w:r w:rsidRPr="00870C5D">
        <w:rPr>
          <w:rFonts w:eastAsia="Times New Roman" w:cs="Arial"/>
          <w:u w:val="single"/>
          <w:lang w:val="fr-FR"/>
        </w:rPr>
        <w:t>A</w:t>
      </w:r>
      <w:r w:rsidRPr="00870C5D">
        <w:rPr>
          <w:rFonts w:eastAsia="Times New Roman" w:cs="Arial"/>
          <w:lang w:val="fr-FR"/>
        </w:rPr>
        <w:t>FP) au Japon en 2015 ;</w:t>
      </w:r>
      <w:r w:rsidRPr="00870C5D">
        <w:rPr>
          <w:rFonts w:eastAsia="Times New Roman" w:cs="Arial"/>
          <w:strike/>
          <w:lang w:val="fr-FR"/>
        </w:rPr>
        <w:t xml:space="preserve"> et</w:t>
      </w:r>
      <w:r w:rsidRPr="00870C5D">
        <w:rPr>
          <w:rFonts w:eastAsia="Times New Roman" w:cs="Arial"/>
          <w:lang w:val="fr-FR"/>
        </w:rPr>
        <w:t xml:space="preserve"> que le Plan d’action pour le courlis de Sibérie a été adopté lors de la 9</w:t>
      </w:r>
      <w:r w:rsidRPr="00870C5D">
        <w:rPr>
          <w:rFonts w:eastAsia="Times New Roman" w:cs="Arial"/>
          <w:vertAlign w:val="superscript"/>
          <w:lang w:val="fr-FR"/>
        </w:rPr>
        <w:t>e</w:t>
      </w:r>
      <w:r w:rsidRPr="00870C5D">
        <w:rPr>
          <w:rFonts w:eastAsia="Times New Roman" w:cs="Arial"/>
          <w:lang w:val="fr-FR"/>
        </w:rPr>
        <w:t xml:space="preserve"> Réunion des partenaires de l’E</w:t>
      </w:r>
      <w:r w:rsidRPr="00870C5D">
        <w:rPr>
          <w:rFonts w:eastAsia="Times New Roman" w:cs="Arial"/>
          <w:strike/>
          <w:lang w:val="fr-FR"/>
        </w:rPr>
        <w:t>E</w:t>
      </w:r>
      <w:r w:rsidRPr="00870C5D">
        <w:rPr>
          <w:rFonts w:eastAsia="Times New Roman" w:cs="Arial"/>
          <w:u w:val="single"/>
          <w:lang w:val="fr-FR"/>
        </w:rPr>
        <w:t>A</w:t>
      </w:r>
      <w:r w:rsidRPr="00870C5D">
        <w:rPr>
          <w:rFonts w:eastAsia="Times New Roman" w:cs="Arial"/>
          <w:lang w:val="fr-FR"/>
        </w:rPr>
        <w:t xml:space="preserve">FP </w:t>
      </w:r>
      <w:proofErr w:type="spellStart"/>
      <w:r w:rsidRPr="00870C5D">
        <w:rPr>
          <w:rFonts w:eastAsia="Times New Roman" w:cs="Arial"/>
          <w:lang w:val="fr-FR"/>
        </w:rPr>
        <w:t>àSingapour</w:t>
      </w:r>
      <w:proofErr w:type="spellEnd"/>
      <w:r w:rsidRPr="00870C5D">
        <w:rPr>
          <w:rFonts w:eastAsia="Times New Roman" w:cs="Arial"/>
          <w:lang w:val="fr-FR"/>
        </w:rPr>
        <w:t xml:space="preserve"> en 2017,</w:t>
      </w:r>
      <w:r w:rsidRPr="00870C5D">
        <w:rPr>
          <w:rFonts w:eastAsia="Times New Roman" w:cs="Arial"/>
          <w:u w:val="single"/>
          <w:lang w:val="fr-FR"/>
        </w:rPr>
        <w:t xml:space="preserve"> que le Plan d’action pour le pélican frisé a été adopté par la 10</w:t>
      </w:r>
      <w:r w:rsidRPr="00870C5D">
        <w:rPr>
          <w:rFonts w:eastAsia="Times New Roman" w:cs="Arial"/>
          <w:u w:val="single"/>
          <w:vertAlign w:val="superscript"/>
          <w:lang w:val="fr-FR"/>
        </w:rPr>
        <w:t>e</w:t>
      </w:r>
      <w:r w:rsidRPr="00870C5D">
        <w:rPr>
          <w:rFonts w:eastAsia="Times New Roman" w:cs="Arial"/>
          <w:u w:val="single"/>
          <w:lang w:val="fr-FR"/>
        </w:rPr>
        <w:t xml:space="preserve"> Réunion des partenaires de l’EAAFP à </w:t>
      </w:r>
      <w:proofErr w:type="spellStart"/>
      <w:r w:rsidRPr="00870C5D">
        <w:rPr>
          <w:rFonts w:eastAsia="Times New Roman" w:cs="Arial"/>
          <w:u w:val="single"/>
          <w:lang w:val="fr-FR"/>
        </w:rPr>
        <w:t>Changjiang</w:t>
      </w:r>
      <w:proofErr w:type="spellEnd"/>
      <w:r w:rsidRPr="00870C5D">
        <w:rPr>
          <w:rFonts w:eastAsia="Times New Roman" w:cs="Arial"/>
          <w:u w:val="single"/>
          <w:lang w:val="fr-FR"/>
        </w:rPr>
        <w:t>, en Chine, en 2018, et que les Plans d’action pour l’</w:t>
      </w:r>
      <w:proofErr w:type="spellStart"/>
      <w:r w:rsidRPr="00870C5D">
        <w:rPr>
          <w:rFonts w:eastAsia="Times New Roman" w:cs="Arial"/>
          <w:u w:val="single"/>
          <w:lang w:val="fr-FR"/>
        </w:rPr>
        <w:t>érismature</w:t>
      </w:r>
      <w:proofErr w:type="spellEnd"/>
      <w:r w:rsidRPr="00870C5D">
        <w:rPr>
          <w:rFonts w:eastAsia="Times New Roman" w:cs="Arial"/>
          <w:u w:val="single"/>
          <w:lang w:val="fr-FR"/>
        </w:rPr>
        <w:t xml:space="preserve"> à tête blanche et le pélican frisé ont été adoptés lors de la 7</w:t>
      </w:r>
      <w:r w:rsidRPr="00870C5D">
        <w:rPr>
          <w:rFonts w:eastAsia="Times New Roman" w:cs="Arial"/>
          <w:u w:val="single"/>
          <w:vertAlign w:val="superscript"/>
          <w:lang w:val="fr-FR"/>
        </w:rPr>
        <w:t>e</w:t>
      </w:r>
      <w:r w:rsidRPr="00870C5D">
        <w:rPr>
          <w:rFonts w:eastAsia="Times New Roman" w:cs="Arial"/>
          <w:u w:val="single"/>
          <w:lang w:val="fr-FR"/>
        </w:rPr>
        <w:t xml:space="preserve"> session de la Réunion des Parties à l’</w:t>
      </w:r>
      <w:r w:rsidRPr="00870C5D">
        <w:rPr>
          <w:u w:val="single"/>
          <w:lang w:val="fr-FR"/>
        </w:rPr>
        <w:t>Accord sur la conservation des oiseaux d’eau migrateurs d’Afrique-Eurasie (AEWA) à Durban, Afrique du Sud, en 2018,</w:t>
      </w:r>
    </w:p>
    <w:p w:rsidR="00870C5D" w:rsidRPr="00870C5D" w:rsidRDefault="00870C5D" w:rsidP="00870C5D">
      <w:pPr>
        <w:widowControl w:val="0"/>
        <w:autoSpaceDE w:val="0"/>
        <w:autoSpaceDN w:val="0"/>
        <w:adjustRightInd w:val="0"/>
        <w:spacing w:after="0" w:line="240" w:lineRule="auto"/>
        <w:jc w:val="both"/>
        <w:rPr>
          <w:rFonts w:eastAsia="Times New Roman" w:cs="Arial"/>
          <w:i/>
          <w:lang w:val="fr-FR"/>
        </w:rPr>
      </w:pPr>
    </w:p>
    <w:p w:rsidR="00870C5D" w:rsidRDefault="00870C5D" w:rsidP="00870C5D">
      <w:pPr>
        <w:widowControl w:val="0"/>
        <w:autoSpaceDE w:val="0"/>
        <w:autoSpaceDN w:val="0"/>
        <w:adjustRightInd w:val="0"/>
        <w:spacing w:after="0" w:line="240" w:lineRule="auto"/>
        <w:jc w:val="both"/>
        <w:rPr>
          <w:rFonts w:eastAsia="Times New Roman" w:cs="Arial"/>
          <w:lang w:val="fr-FR"/>
        </w:rPr>
      </w:pPr>
      <w:r w:rsidRPr="00870C5D">
        <w:rPr>
          <w:rFonts w:eastAsia="Times New Roman" w:cs="Arial"/>
          <w:i/>
          <w:lang w:val="fr-FR"/>
        </w:rPr>
        <w:t>Notant en outre</w:t>
      </w:r>
      <w:r w:rsidRPr="00870C5D">
        <w:rPr>
          <w:rFonts w:eastAsia="Times New Roman" w:cs="Arial"/>
          <w:lang w:val="fr-FR"/>
        </w:rPr>
        <w:t xml:space="preserve"> le projet </w:t>
      </w:r>
      <w:proofErr w:type="spellStart"/>
      <w:r w:rsidRPr="00870C5D">
        <w:rPr>
          <w:rFonts w:eastAsia="Times New Roman" w:cs="Arial"/>
          <w:lang w:val="fr-FR"/>
        </w:rPr>
        <w:t>EuroSAP</w:t>
      </w:r>
      <w:proofErr w:type="spellEnd"/>
      <w:r w:rsidRPr="00870C5D">
        <w:rPr>
          <w:rFonts w:eastAsia="Times New Roman" w:cs="Arial"/>
          <w:lang w:val="fr-FR"/>
        </w:rPr>
        <w:t xml:space="preserve">, soutenu par la Commission européenne et coordonné par </w:t>
      </w:r>
      <w:proofErr w:type="spellStart"/>
      <w:r w:rsidRPr="00870C5D">
        <w:rPr>
          <w:rFonts w:eastAsia="Times New Roman" w:cs="Arial"/>
          <w:lang w:val="fr-FR"/>
        </w:rPr>
        <w:t>BirdLife</w:t>
      </w:r>
      <w:proofErr w:type="spellEnd"/>
      <w:r w:rsidRPr="00870C5D">
        <w:rPr>
          <w:rFonts w:eastAsia="Times New Roman" w:cs="Arial"/>
          <w:lang w:val="fr-FR"/>
        </w:rPr>
        <w:t xml:space="preserve"> International, dans le cadre duquel </w:t>
      </w:r>
      <w:r w:rsidR="00B0679D" w:rsidRPr="00B0679D">
        <w:rPr>
          <w:rFonts w:eastAsia="Times New Roman" w:cs="Arial"/>
          <w:u w:val="single"/>
          <w:lang w:val="fr-FR"/>
        </w:rPr>
        <w:t>les</w:t>
      </w:r>
      <w:r w:rsidR="00B0679D">
        <w:rPr>
          <w:rFonts w:eastAsia="Times New Roman" w:cs="Arial"/>
          <w:lang w:val="fr-FR"/>
        </w:rPr>
        <w:t xml:space="preserve"> </w:t>
      </w:r>
      <w:r w:rsidRPr="00870C5D">
        <w:rPr>
          <w:rFonts w:eastAsia="Times New Roman" w:cs="Arial"/>
          <w:strike/>
          <w:lang w:val="fr-FR"/>
        </w:rPr>
        <w:t>deux</w:t>
      </w:r>
      <w:r w:rsidRPr="00870C5D">
        <w:rPr>
          <w:rFonts w:eastAsia="Times New Roman" w:cs="Arial"/>
          <w:lang w:val="fr-FR"/>
        </w:rPr>
        <w:t xml:space="preserve"> </w:t>
      </w:r>
      <w:r w:rsidRPr="00B0679D">
        <w:rPr>
          <w:rFonts w:eastAsia="Times New Roman" w:cs="Arial"/>
          <w:lang w:val="fr-FR"/>
        </w:rPr>
        <w:t>plan</w:t>
      </w:r>
      <w:r w:rsidR="00B0679D" w:rsidRPr="00B0679D">
        <w:rPr>
          <w:rFonts w:eastAsia="Times New Roman" w:cs="Arial"/>
          <w:lang w:val="fr-FR"/>
        </w:rPr>
        <w:t>s</w:t>
      </w:r>
      <w:r w:rsidRPr="00B0679D">
        <w:rPr>
          <w:rFonts w:eastAsia="Times New Roman" w:cs="Arial"/>
          <w:lang w:val="fr-FR"/>
        </w:rPr>
        <w:t xml:space="preserve"> d’action</w:t>
      </w:r>
      <w:r w:rsidR="00B0679D">
        <w:rPr>
          <w:rFonts w:eastAsia="Times New Roman" w:cs="Arial"/>
          <w:lang w:val="fr-FR"/>
        </w:rPr>
        <w:t xml:space="preserve"> </w:t>
      </w:r>
      <w:r w:rsidRPr="00B0679D">
        <w:rPr>
          <w:rFonts w:eastAsia="Times New Roman" w:cs="Arial"/>
          <w:strike/>
          <w:lang w:val="fr-FR"/>
        </w:rPr>
        <w:t>supplémentaires</w:t>
      </w:r>
      <w:r w:rsidR="00B0679D">
        <w:rPr>
          <w:rFonts w:eastAsia="Times New Roman" w:cs="Arial"/>
          <w:u w:val="single"/>
          <w:lang w:val="fr-FR"/>
        </w:rPr>
        <w:t xml:space="preserve"> </w:t>
      </w:r>
      <w:r w:rsidRPr="00B0679D">
        <w:rPr>
          <w:rFonts w:eastAsia="Times New Roman" w:cs="Arial"/>
          <w:strike/>
          <w:lang w:val="fr-FR"/>
        </w:rPr>
        <w:t>sont</w:t>
      </w:r>
      <w:r w:rsidRPr="00870C5D">
        <w:rPr>
          <w:rFonts w:eastAsia="Times New Roman" w:cs="Arial"/>
          <w:strike/>
          <w:lang w:val="fr-FR"/>
        </w:rPr>
        <w:t xml:space="preserve"> en cours d’élaboration</w:t>
      </w:r>
      <w:r w:rsidRPr="00870C5D">
        <w:rPr>
          <w:rFonts w:eastAsia="Times New Roman" w:cs="Arial"/>
          <w:u w:val="single"/>
          <w:lang w:val="fr-FR"/>
        </w:rPr>
        <w:t xml:space="preserve"> pour la tourterelle des bois,</w:t>
      </w:r>
      <w:r w:rsidR="00B0679D">
        <w:rPr>
          <w:rFonts w:eastAsia="Times New Roman" w:cs="Arial"/>
          <w:u w:val="single"/>
          <w:lang w:val="fr-FR"/>
        </w:rPr>
        <w:t xml:space="preserve"> </w:t>
      </w:r>
      <w:r w:rsidRPr="00870C5D">
        <w:rPr>
          <w:rFonts w:eastAsia="Times New Roman" w:cs="Arial"/>
          <w:u w:val="single"/>
          <w:lang w:val="fr-FR"/>
        </w:rPr>
        <w:t xml:space="preserve">pour le </w:t>
      </w:r>
      <w:r w:rsidRPr="00B0679D">
        <w:rPr>
          <w:rFonts w:eastAsia="Times New Roman" w:cs="Arial"/>
          <w:lang w:val="fr-FR"/>
        </w:rPr>
        <w:t xml:space="preserve">pélican </w:t>
      </w:r>
      <w:r w:rsidR="00B0679D">
        <w:rPr>
          <w:rFonts w:eastAsia="Times New Roman" w:cs="Arial"/>
          <w:lang w:val="fr-FR"/>
        </w:rPr>
        <w:t xml:space="preserve">dalmate et pour </w:t>
      </w:r>
      <w:r w:rsidRPr="00B0679D">
        <w:rPr>
          <w:rFonts w:eastAsia="Times New Roman" w:cs="Arial"/>
          <w:lang w:val="fr-FR"/>
        </w:rPr>
        <w:t>l’</w:t>
      </w:r>
      <w:proofErr w:type="spellStart"/>
      <w:r w:rsidRPr="00B0679D">
        <w:rPr>
          <w:rFonts w:eastAsia="Times New Roman" w:cs="Arial"/>
          <w:lang w:val="fr-FR"/>
        </w:rPr>
        <w:t>érismature</w:t>
      </w:r>
      <w:proofErr w:type="spellEnd"/>
      <w:r w:rsidRPr="00B0679D">
        <w:rPr>
          <w:rFonts w:eastAsia="Times New Roman" w:cs="Arial"/>
          <w:lang w:val="fr-FR"/>
        </w:rPr>
        <w:t xml:space="preserve"> à tête blanche</w:t>
      </w:r>
      <w:r w:rsidR="00B0679D">
        <w:rPr>
          <w:rFonts w:eastAsia="Times New Roman" w:cs="Arial"/>
          <w:lang w:val="fr-FR"/>
        </w:rPr>
        <w:t xml:space="preserve"> </w:t>
      </w:r>
      <w:proofErr w:type="gramStart"/>
      <w:r w:rsidR="00B0679D" w:rsidRPr="00B0679D">
        <w:rPr>
          <w:rFonts w:eastAsia="Times New Roman" w:cs="Arial"/>
          <w:u w:val="single"/>
          <w:lang w:val="fr-FR"/>
        </w:rPr>
        <w:t xml:space="preserve">ont </w:t>
      </w:r>
      <w:r w:rsidRPr="00870C5D">
        <w:rPr>
          <w:rFonts w:eastAsia="Times New Roman" w:cs="Arial"/>
          <w:strike/>
          <w:lang w:val="fr-FR"/>
        </w:rPr>
        <w:t xml:space="preserve"> et</w:t>
      </w:r>
      <w:proofErr w:type="gramEnd"/>
      <w:r w:rsidRPr="00870C5D">
        <w:rPr>
          <w:rFonts w:eastAsia="Times New Roman" w:cs="Arial"/>
          <w:strike/>
          <w:lang w:val="fr-FR"/>
        </w:rPr>
        <w:t xml:space="preserve"> seront</w:t>
      </w:r>
      <w:r w:rsidRPr="00870C5D">
        <w:rPr>
          <w:rFonts w:eastAsia="Times New Roman" w:cs="Arial"/>
          <w:u w:val="single"/>
          <w:lang w:val="fr-FR"/>
        </w:rPr>
        <w:t xml:space="preserve"> été</w:t>
      </w:r>
      <w:r w:rsidR="00B0679D">
        <w:rPr>
          <w:rFonts w:eastAsia="Times New Roman" w:cs="Arial"/>
          <w:u w:val="single"/>
          <w:lang w:val="fr-FR"/>
        </w:rPr>
        <w:t xml:space="preserve"> </w:t>
      </w:r>
      <w:r w:rsidRPr="00870C5D">
        <w:rPr>
          <w:rFonts w:eastAsia="Times New Roman" w:cs="Arial"/>
          <w:lang w:val="fr-FR"/>
        </w:rPr>
        <w:t>finalisé</w:t>
      </w:r>
      <w:r w:rsidR="00B0679D" w:rsidRPr="00B0679D">
        <w:rPr>
          <w:rFonts w:eastAsia="Times New Roman" w:cs="Arial"/>
          <w:u w:val="single"/>
          <w:lang w:val="fr-FR"/>
        </w:rPr>
        <w:t>s</w:t>
      </w:r>
      <w:r w:rsidRPr="00870C5D">
        <w:rPr>
          <w:rFonts w:eastAsia="Times New Roman" w:cs="Arial"/>
          <w:lang w:val="fr-FR"/>
        </w:rPr>
        <w:t xml:space="preserve"> début 2018, </w:t>
      </w:r>
    </w:p>
    <w:p w:rsidR="00870C5D" w:rsidRPr="00870C5D" w:rsidRDefault="00870C5D" w:rsidP="00870C5D">
      <w:pPr>
        <w:widowControl w:val="0"/>
        <w:autoSpaceDE w:val="0"/>
        <w:autoSpaceDN w:val="0"/>
        <w:adjustRightInd w:val="0"/>
        <w:spacing w:after="0" w:line="240" w:lineRule="auto"/>
        <w:jc w:val="both"/>
        <w:rPr>
          <w:rFonts w:eastAsia="Times New Roman" w:cs="Arial"/>
          <w:lang w:val="fr-FR"/>
        </w:rPr>
      </w:pPr>
    </w:p>
    <w:p w:rsidR="00870C5D" w:rsidRPr="00870C5D" w:rsidRDefault="00870C5D" w:rsidP="00870C5D">
      <w:pPr>
        <w:widowControl w:val="0"/>
        <w:autoSpaceDE w:val="0"/>
        <w:autoSpaceDN w:val="0"/>
        <w:adjustRightInd w:val="0"/>
        <w:spacing w:after="0" w:line="240" w:lineRule="auto"/>
        <w:jc w:val="both"/>
        <w:rPr>
          <w:rFonts w:eastAsia="Times New Roman" w:cs="Arial"/>
          <w:lang w:val="fr-FR"/>
        </w:rPr>
      </w:pPr>
      <w:r w:rsidRPr="00870C5D">
        <w:rPr>
          <w:rFonts w:eastAsia="Times New Roman" w:cs="Arial"/>
          <w:i/>
          <w:iCs/>
          <w:u w:val="single"/>
          <w:lang w:val="fr-FR"/>
        </w:rPr>
        <w:t xml:space="preserve">Notant </w:t>
      </w:r>
      <w:proofErr w:type="gramStart"/>
      <w:r w:rsidRPr="00870C5D">
        <w:rPr>
          <w:rFonts w:eastAsia="Times New Roman" w:cs="Arial"/>
          <w:i/>
          <w:iCs/>
          <w:u w:val="single"/>
          <w:lang w:val="fr-FR"/>
        </w:rPr>
        <w:t xml:space="preserve">également </w:t>
      </w:r>
      <w:r w:rsidRPr="00870C5D">
        <w:rPr>
          <w:rFonts w:cs="Arial"/>
          <w:u w:val="single"/>
          <w:lang w:val="fr-FR"/>
        </w:rPr>
        <w:t xml:space="preserve"> que</w:t>
      </w:r>
      <w:proofErr w:type="gramEnd"/>
      <w:r w:rsidRPr="00870C5D">
        <w:rPr>
          <w:rFonts w:cs="Arial"/>
          <w:u w:val="single"/>
          <w:lang w:val="fr-FR"/>
        </w:rPr>
        <w:t xml:space="preserve"> le Comité permanent de la CMS a adopté les plans d’action pour la tourterelle des bois, l’</w:t>
      </w:r>
      <w:proofErr w:type="spellStart"/>
      <w:r w:rsidRPr="00870C5D">
        <w:rPr>
          <w:rFonts w:cs="Arial"/>
          <w:u w:val="single"/>
          <w:lang w:val="fr-FR"/>
        </w:rPr>
        <w:t>érismature</w:t>
      </w:r>
      <w:proofErr w:type="spellEnd"/>
      <w:r w:rsidRPr="00870C5D">
        <w:rPr>
          <w:rFonts w:cs="Arial"/>
          <w:u w:val="single"/>
          <w:lang w:val="fr-FR"/>
        </w:rPr>
        <w:t xml:space="preserve"> à tête blanche et le pélican </w:t>
      </w:r>
      <w:r w:rsidR="00B0679D">
        <w:rPr>
          <w:rFonts w:cs="Arial"/>
          <w:u w:val="single"/>
          <w:lang w:val="fr-FR"/>
        </w:rPr>
        <w:t>dalmate</w:t>
      </w:r>
      <w:r w:rsidRPr="00870C5D">
        <w:rPr>
          <w:rFonts w:cs="Arial"/>
          <w:u w:val="single"/>
          <w:lang w:val="fr-FR"/>
        </w:rPr>
        <w:t xml:space="preserve"> lors de sa 48</w:t>
      </w:r>
      <w:r w:rsidRPr="00870C5D">
        <w:rPr>
          <w:rFonts w:eastAsia="Times New Roman" w:cs="Arial"/>
          <w:u w:val="single"/>
          <w:vertAlign w:val="superscript"/>
          <w:lang w:val="fr-FR"/>
        </w:rPr>
        <w:t>e</w:t>
      </w:r>
      <w:r w:rsidRPr="00870C5D">
        <w:rPr>
          <w:rFonts w:eastAsia="Times New Roman" w:cs="Arial"/>
          <w:u w:val="single"/>
          <w:lang w:val="fr-FR"/>
        </w:rPr>
        <w:t xml:space="preserve"> réunion, et</w:t>
      </w:r>
    </w:p>
    <w:p w:rsidR="00870C5D" w:rsidRPr="00870C5D" w:rsidRDefault="00870C5D" w:rsidP="00870C5D">
      <w:pPr>
        <w:widowControl w:val="0"/>
        <w:autoSpaceDE w:val="0"/>
        <w:autoSpaceDN w:val="0"/>
        <w:adjustRightInd w:val="0"/>
        <w:spacing w:after="0" w:line="240" w:lineRule="auto"/>
        <w:jc w:val="both"/>
        <w:rPr>
          <w:rFonts w:eastAsia="Times New Roman" w:cs="Arial"/>
          <w:i/>
          <w:lang w:val="fr-FR"/>
        </w:rPr>
      </w:pPr>
    </w:p>
    <w:p w:rsidR="00870C5D" w:rsidRPr="00870C5D" w:rsidRDefault="00870C5D" w:rsidP="00870C5D">
      <w:pPr>
        <w:widowControl w:val="0"/>
        <w:autoSpaceDE w:val="0"/>
        <w:autoSpaceDN w:val="0"/>
        <w:adjustRightInd w:val="0"/>
        <w:spacing w:after="0" w:line="240" w:lineRule="auto"/>
        <w:jc w:val="both"/>
        <w:rPr>
          <w:rFonts w:eastAsia="Times New Roman" w:cs="Arial"/>
          <w:u w:val="single"/>
          <w:lang w:val="fr-FR"/>
        </w:rPr>
      </w:pPr>
      <w:r w:rsidRPr="00870C5D">
        <w:rPr>
          <w:rFonts w:eastAsia="Times New Roman" w:cs="Arial"/>
          <w:i/>
          <w:u w:val="single"/>
          <w:lang w:val="fr-FR"/>
        </w:rPr>
        <w:t xml:space="preserve">Reconnaissant </w:t>
      </w:r>
      <w:r w:rsidRPr="00870C5D">
        <w:rPr>
          <w:rFonts w:eastAsia="Times New Roman" w:cs="Arial"/>
          <w:u w:val="single"/>
          <w:lang w:val="fr-FR"/>
        </w:rPr>
        <w:t>les progrès accomplis dans l’élaboration du Plan d’action pour le bruant auréole, y compris le processus scientifique et participatif solide en vue de sa finalisation et de sa mise en œuvre,</w:t>
      </w:r>
    </w:p>
    <w:p w:rsidR="00870C5D" w:rsidRPr="00870C5D" w:rsidRDefault="00870C5D" w:rsidP="00870C5D">
      <w:pPr>
        <w:widowControl w:val="0"/>
        <w:autoSpaceDE w:val="0"/>
        <w:autoSpaceDN w:val="0"/>
        <w:adjustRightInd w:val="0"/>
        <w:spacing w:after="0" w:line="240" w:lineRule="auto"/>
        <w:jc w:val="both"/>
        <w:rPr>
          <w:rFonts w:eastAsia="Times New Roman" w:cs="Arial"/>
          <w:i/>
          <w:strike/>
          <w:lang w:val="fr-FR"/>
        </w:rPr>
      </w:pPr>
    </w:p>
    <w:p w:rsidR="00870C5D" w:rsidRPr="00870C5D" w:rsidRDefault="00870C5D" w:rsidP="00870C5D">
      <w:pPr>
        <w:widowControl w:val="0"/>
        <w:autoSpaceDE w:val="0"/>
        <w:autoSpaceDN w:val="0"/>
        <w:adjustRightInd w:val="0"/>
        <w:spacing w:after="0" w:line="240" w:lineRule="auto"/>
        <w:jc w:val="both"/>
        <w:rPr>
          <w:rFonts w:eastAsia="Times New Roman" w:cs="Arial"/>
          <w:strike/>
          <w:lang w:val="fr-FR"/>
        </w:rPr>
      </w:pPr>
      <w:r w:rsidRPr="00870C5D">
        <w:rPr>
          <w:rFonts w:eastAsia="Times New Roman" w:cs="Arial"/>
          <w:i/>
          <w:strike/>
          <w:lang w:val="fr-FR"/>
        </w:rPr>
        <w:t xml:space="preserve">Remerciant </w:t>
      </w:r>
      <w:r w:rsidRPr="00870C5D">
        <w:rPr>
          <w:rFonts w:eastAsia="Times New Roman" w:cs="Arial"/>
          <w:strike/>
          <w:lang w:val="fr-FR"/>
        </w:rPr>
        <w:t xml:space="preserve">le </w:t>
      </w:r>
      <w:proofErr w:type="spellStart"/>
      <w:r w:rsidRPr="00870C5D">
        <w:rPr>
          <w:rFonts w:eastAsia="Times New Roman" w:cs="Arial"/>
          <w:strike/>
          <w:lang w:val="fr-FR"/>
        </w:rPr>
        <w:t>Wildfowl</w:t>
      </w:r>
      <w:proofErr w:type="spellEnd"/>
      <w:r w:rsidRPr="00870C5D">
        <w:rPr>
          <w:rFonts w:eastAsia="Times New Roman" w:cs="Arial"/>
          <w:strike/>
          <w:lang w:val="fr-FR"/>
        </w:rPr>
        <w:t xml:space="preserve"> and </w:t>
      </w:r>
      <w:proofErr w:type="spellStart"/>
      <w:r w:rsidRPr="00870C5D">
        <w:rPr>
          <w:rFonts w:eastAsia="Times New Roman" w:cs="Arial"/>
          <w:strike/>
          <w:lang w:val="fr-FR"/>
        </w:rPr>
        <w:t>Wetlands</w:t>
      </w:r>
      <w:proofErr w:type="spellEnd"/>
      <w:r w:rsidRPr="00870C5D">
        <w:rPr>
          <w:rFonts w:eastAsia="Times New Roman" w:cs="Arial"/>
          <w:strike/>
          <w:lang w:val="fr-FR"/>
        </w:rPr>
        <w:t xml:space="preserve"> Trust (WWT) pour son leadership dans l’élaboration du Plan d’action pour le fuligule de Baer ; l’Australie pour le Plan d’action pour le courlis de Sibérie ; </w:t>
      </w:r>
      <w:proofErr w:type="spellStart"/>
      <w:r w:rsidRPr="00870C5D">
        <w:rPr>
          <w:rFonts w:eastAsia="Times New Roman" w:cs="Arial"/>
          <w:strike/>
          <w:lang w:val="fr-FR"/>
        </w:rPr>
        <w:t>BirdLife</w:t>
      </w:r>
      <w:proofErr w:type="spellEnd"/>
      <w:r w:rsidRPr="00870C5D">
        <w:rPr>
          <w:rFonts w:eastAsia="Times New Roman" w:cs="Arial"/>
          <w:strike/>
          <w:lang w:val="fr-FR"/>
        </w:rPr>
        <w:t xml:space="preserve"> International pour les Plans d’action pour le bruant auréole, la tourterelle des bois et le rollier d’Europe, ainsi que le Secrétariat de la PNUE/AEWA et </w:t>
      </w:r>
      <w:proofErr w:type="spellStart"/>
      <w:r w:rsidRPr="00870C5D">
        <w:rPr>
          <w:rFonts w:eastAsia="Times New Roman" w:cs="Arial"/>
          <w:strike/>
          <w:lang w:val="fr-FR"/>
        </w:rPr>
        <w:t>BirdLife</w:t>
      </w:r>
      <w:proofErr w:type="spellEnd"/>
      <w:r w:rsidRPr="00870C5D">
        <w:rPr>
          <w:rFonts w:eastAsia="Times New Roman" w:cs="Arial"/>
          <w:strike/>
          <w:lang w:val="fr-FR"/>
        </w:rPr>
        <w:t xml:space="preserve"> International pour les Plans d’action pour le pélican frisé et l’</w:t>
      </w:r>
      <w:proofErr w:type="spellStart"/>
      <w:r w:rsidRPr="00870C5D">
        <w:rPr>
          <w:rFonts w:eastAsia="Times New Roman" w:cs="Arial"/>
          <w:strike/>
          <w:lang w:val="fr-FR"/>
        </w:rPr>
        <w:t>érismature</w:t>
      </w:r>
      <w:proofErr w:type="spellEnd"/>
      <w:r w:rsidRPr="00870C5D">
        <w:rPr>
          <w:rFonts w:eastAsia="Times New Roman" w:cs="Arial"/>
          <w:strike/>
          <w:lang w:val="fr-FR"/>
        </w:rPr>
        <w:t xml:space="preserve"> à tête blanche,</w:t>
      </w:r>
    </w:p>
    <w:p w:rsidR="00870C5D" w:rsidRPr="00870C5D" w:rsidRDefault="00870C5D" w:rsidP="00870C5D">
      <w:pPr>
        <w:widowControl w:val="0"/>
        <w:autoSpaceDE w:val="0"/>
        <w:autoSpaceDN w:val="0"/>
        <w:adjustRightInd w:val="0"/>
        <w:spacing w:after="0" w:line="240" w:lineRule="auto"/>
        <w:jc w:val="both"/>
        <w:rPr>
          <w:rFonts w:eastAsia="Times New Roman" w:cs="Arial"/>
          <w:i/>
          <w:strike/>
          <w:lang w:val="fr-FR"/>
        </w:rPr>
      </w:pPr>
    </w:p>
    <w:p w:rsidR="00870C5D" w:rsidRPr="00870C5D" w:rsidRDefault="00870C5D" w:rsidP="00870C5D">
      <w:pPr>
        <w:widowControl w:val="0"/>
        <w:autoSpaceDE w:val="0"/>
        <w:autoSpaceDN w:val="0"/>
        <w:adjustRightInd w:val="0"/>
        <w:spacing w:after="0" w:line="240" w:lineRule="auto"/>
        <w:jc w:val="both"/>
        <w:rPr>
          <w:rFonts w:eastAsia="Times New Roman" w:cs="Arial"/>
          <w:strike/>
          <w:lang w:val="fr-FR"/>
        </w:rPr>
      </w:pPr>
      <w:r w:rsidRPr="00870C5D">
        <w:rPr>
          <w:rFonts w:eastAsia="Times New Roman" w:cs="Arial"/>
          <w:i/>
          <w:strike/>
          <w:lang w:val="fr-FR"/>
        </w:rPr>
        <w:t xml:space="preserve">Reconnaissant </w:t>
      </w:r>
      <w:r w:rsidRPr="00870C5D">
        <w:rPr>
          <w:rFonts w:eastAsia="Times New Roman" w:cs="Arial"/>
          <w:strike/>
          <w:lang w:val="fr-FR"/>
        </w:rPr>
        <w:t xml:space="preserve">les contributions financières fournies par l’Australie au Plan d’action pour le courlis de Sibérie ; par </w:t>
      </w:r>
      <w:proofErr w:type="spellStart"/>
      <w:r w:rsidRPr="00870C5D">
        <w:rPr>
          <w:rFonts w:eastAsia="Times New Roman" w:cs="Arial"/>
          <w:strike/>
          <w:lang w:val="fr-FR"/>
        </w:rPr>
        <w:t>BirdLife</w:t>
      </w:r>
      <w:proofErr w:type="spellEnd"/>
      <w:r w:rsidRPr="00870C5D">
        <w:rPr>
          <w:rFonts w:eastAsia="Times New Roman" w:cs="Arial"/>
          <w:strike/>
          <w:lang w:val="fr-FR"/>
        </w:rPr>
        <w:t xml:space="preserve"> International au Plan d’action pour le bruant auréole ; par l’Union européenne pour les Plans d’action pour la tourterelle des bois et le rollier d’Europe, ainsi que par l’Union européenne et l’AEWA, grâce à une subvention de l’Italie pour les Plans d’action pour le pélican frisé et l’</w:t>
      </w:r>
      <w:proofErr w:type="spellStart"/>
      <w:r w:rsidRPr="00870C5D">
        <w:rPr>
          <w:rFonts w:eastAsia="Times New Roman" w:cs="Arial"/>
          <w:strike/>
          <w:lang w:val="fr-FR"/>
        </w:rPr>
        <w:t>érismature</w:t>
      </w:r>
      <w:proofErr w:type="spellEnd"/>
      <w:r w:rsidRPr="00870C5D">
        <w:rPr>
          <w:rFonts w:eastAsia="Times New Roman" w:cs="Arial"/>
          <w:strike/>
          <w:lang w:val="fr-FR"/>
        </w:rPr>
        <w:t xml:space="preserve"> à tête blanche,</w:t>
      </w:r>
    </w:p>
    <w:p w:rsidR="00870C5D" w:rsidRPr="00870C5D" w:rsidRDefault="00870C5D" w:rsidP="00870C5D">
      <w:pPr>
        <w:spacing w:after="0" w:line="240" w:lineRule="auto"/>
        <w:rPr>
          <w:rFonts w:eastAsia="Times New Roman" w:cs="Arial"/>
          <w:lang w:val="fr-FR"/>
        </w:rPr>
      </w:pPr>
    </w:p>
    <w:p w:rsidR="00870C5D" w:rsidRPr="00870C5D" w:rsidRDefault="00870C5D" w:rsidP="00870C5D">
      <w:pPr>
        <w:widowControl w:val="0"/>
        <w:autoSpaceDE w:val="0"/>
        <w:autoSpaceDN w:val="0"/>
        <w:adjustRightInd w:val="0"/>
        <w:spacing w:after="0" w:line="240" w:lineRule="auto"/>
        <w:jc w:val="center"/>
        <w:rPr>
          <w:rFonts w:eastAsia="Times New Roman" w:cs="Arial"/>
          <w:i/>
          <w:lang w:val="fr-FR"/>
        </w:rPr>
      </w:pPr>
      <w:r w:rsidRPr="00870C5D">
        <w:rPr>
          <w:rFonts w:eastAsia="Times New Roman" w:cs="Arial"/>
          <w:i/>
          <w:lang w:val="fr-FR"/>
        </w:rPr>
        <w:t>La Conférence des Parties à la</w:t>
      </w:r>
    </w:p>
    <w:p w:rsidR="00870C5D" w:rsidRPr="00870C5D" w:rsidRDefault="00870C5D" w:rsidP="00870C5D">
      <w:pPr>
        <w:widowControl w:val="0"/>
        <w:autoSpaceDE w:val="0"/>
        <w:autoSpaceDN w:val="0"/>
        <w:adjustRightInd w:val="0"/>
        <w:spacing w:after="0" w:line="240" w:lineRule="auto"/>
        <w:jc w:val="center"/>
        <w:rPr>
          <w:rFonts w:eastAsia="Times New Roman" w:cs="Arial"/>
          <w:i/>
          <w:lang w:val="fr-FR"/>
        </w:rPr>
      </w:pPr>
      <w:r w:rsidRPr="00870C5D">
        <w:rPr>
          <w:rFonts w:eastAsia="Times New Roman" w:cs="Arial"/>
          <w:i/>
          <w:lang w:val="fr-FR"/>
        </w:rPr>
        <w:t>Convention sur la conservation des espèces migratrices appartenant à la faune sauvage</w:t>
      </w:r>
    </w:p>
    <w:p w:rsidR="00870C5D" w:rsidRPr="00870C5D" w:rsidRDefault="00870C5D" w:rsidP="00870C5D">
      <w:pPr>
        <w:widowControl w:val="0"/>
        <w:autoSpaceDE w:val="0"/>
        <w:autoSpaceDN w:val="0"/>
        <w:adjustRightInd w:val="0"/>
        <w:spacing w:after="0" w:line="240" w:lineRule="auto"/>
        <w:jc w:val="both"/>
        <w:rPr>
          <w:rFonts w:eastAsia="Times New Roman" w:cs="Arial"/>
          <w:lang w:val="fr-FR"/>
        </w:rPr>
      </w:pPr>
    </w:p>
    <w:p w:rsidR="00870C5D" w:rsidRPr="00870C5D" w:rsidRDefault="00870C5D" w:rsidP="00214BAF">
      <w:pPr>
        <w:widowControl w:val="0"/>
        <w:numPr>
          <w:ilvl w:val="0"/>
          <w:numId w:val="10"/>
        </w:numPr>
        <w:autoSpaceDE w:val="0"/>
        <w:autoSpaceDN w:val="0"/>
        <w:adjustRightInd w:val="0"/>
        <w:spacing w:after="0" w:line="240" w:lineRule="auto"/>
        <w:ind w:left="567" w:hanging="567"/>
        <w:jc w:val="both"/>
        <w:rPr>
          <w:rFonts w:eastAsia="Times New Roman" w:cs="Arial"/>
          <w:lang w:val="fr-FR"/>
        </w:rPr>
      </w:pPr>
      <w:bookmarkStart w:id="3" w:name="_Hlk499195752"/>
      <w:r w:rsidRPr="00870C5D">
        <w:rPr>
          <w:rFonts w:eastAsia="Times New Roman" w:cs="Arial"/>
          <w:i/>
          <w:lang w:val="fr-FR"/>
        </w:rPr>
        <w:t xml:space="preserve">Adopte </w:t>
      </w:r>
      <w:r w:rsidRPr="00870C5D">
        <w:rPr>
          <w:rFonts w:eastAsia="Times New Roman" w:cs="Arial"/>
          <w:lang w:val="fr-FR"/>
        </w:rPr>
        <w:t xml:space="preserve">les plans d’action </w:t>
      </w:r>
      <w:r w:rsidR="00214BAF">
        <w:rPr>
          <w:rFonts w:eastAsia="Times New Roman" w:cs="Arial"/>
          <w:lang w:val="fr-FR"/>
        </w:rPr>
        <w:t xml:space="preserve">suivants </w:t>
      </w:r>
      <w:proofErr w:type="spellStart"/>
      <w:r w:rsidR="00214BAF">
        <w:rPr>
          <w:rFonts w:eastAsia="Times New Roman" w:cs="Arial"/>
          <w:lang w:val="fr-FR"/>
        </w:rPr>
        <w:t>tles</w:t>
      </w:r>
      <w:proofErr w:type="spellEnd"/>
      <w:r w:rsidR="00214BAF">
        <w:rPr>
          <w:rFonts w:eastAsia="Times New Roman" w:cs="Arial"/>
          <w:lang w:val="fr-FR"/>
        </w:rPr>
        <w:t xml:space="preserve"> que </w:t>
      </w:r>
      <w:r w:rsidRPr="00870C5D">
        <w:rPr>
          <w:rFonts w:eastAsia="Times New Roman" w:cs="Arial"/>
          <w:lang w:val="fr-FR"/>
        </w:rPr>
        <w:t xml:space="preserve">soumis à la COP12 : </w:t>
      </w:r>
      <w:r w:rsidRPr="00870C5D">
        <w:rPr>
          <w:rFonts w:eastAsia="Times New Roman" w:cs="Arial"/>
          <w:strike/>
          <w:lang w:val="fr-FR"/>
        </w:rPr>
        <w:t xml:space="preserve"> dans les documents : </w:t>
      </w:r>
    </w:p>
    <w:p w:rsidR="00870C5D" w:rsidRPr="00870C5D" w:rsidRDefault="00870C5D" w:rsidP="00214BAF">
      <w:pPr>
        <w:widowControl w:val="0"/>
        <w:autoSpaceDE w:val="0"/>
        <w:autoSpaceDN w:val="0"/>
        <w:adjustRightInd w:val="0"/>
        <w:spacing w:after="0" w:line="240" w:lineRule="auto"/>
        <w:ind w:left="567" w:hanging="567"/>
        <w:jc w:val="both"/>
        <w:rPr>
          <w:rFonts w:eastAsia="Times New Roman" w:cs="Arial"/>
          <w:lang w:val="fr-FR"/>
        </w:rPr>
      </w:pPr>
    </w:p>
    <w:p w:rsidR="00870C5D" w:rsidRPr="00870C5D" w:rsidRDefault="00870C5D" w:rsidP="00214BAF">
      <w:pPr>
        <w:widowControl w:val="0"/>
        <w:autoSpaceDE w:val="0"/>
        <w:autoSpaceDN w:val="0"/>
        <w:adjustRightInd w:val="0"/>
        <w:spacing w:after="0" w:line="240" w:lineRule="auto"/>
        <w:ind w:left="567"/>
        <w:jc w:val="both"/>
        <w:rPr>
          <w:rFonts w:eastAsia="Times New Roman" w:cs="Arial"/>
          <w:lang w:val="fr-FR"/>
        </w:rPr>
      </w:pPr>
      <w:r w:rsidRPr="00870C5D">
        <w:rPr>
          <w:rFonts w:eastAsia="Times New Roman" w:cs="Arial"/>
          <w:lang w:val="fr-FR"/>
        </w:rPr>
        <w:t>UNEP/CMS/COP12/Doc.24.1.7.- Plan d’action pour le courlis de Sibérie ;</w:t>
      </w:r>
    </w:p>
    <w:p w:rsidR="00870C5D" w:rsidRPr="00870C5D" w:rsidRDefault="00870C5D" w:rsidP="00214BAF">
      <w:pPr>
        <w:widowControl w:val="0"/>
        <w:autoSpaceDE w:val="0"/>
        <w:autoSpaceDN w:val="0"/>
        <w:adjustRightInd w:val="0"/>
        <w:spacing w:after="0" w:line="240" w:lineRule="auto"/>
        <w:ind w:left="567"/>
        <w:jc w:val="both"/>
        <w:rPr>
          <w:rFonts w:eastAsia="Times New Roman" w:cs="Arial"/>
          <w:lang w:val="fr-FR"/>
        </w:rPr>
      </w:pPr>
      <w:r w:rsidRPr="00870C5D">
        <w:rPr>
          <w:rFonts w:eastAsia="Times New Roman" w:cs="Arial"/>
          <w:lang w:val="fr-FR"/>
        </w:rPr>
        <w:t>UNEP/CMS/COP12/Doc.24.1.8.- Plan d’action pour le fuligule de Baer ;</w:t>
      </w:r>
    </w:p>
    <w:p w:rsidR="00870C5D" w:rsidRPr="00870C5D" w:rsidRDefault="00870C5D" w:rsidP="00214BAF">
      <w:pPr>
        <w:widowControl w:val="0"/>
        <w:autoSpaceDE w:val="0"/>
        <w:autoSpaceDN w:val="0"/>
        <w:adjustRightInd w:val="0"/>
        <w:spacing w:after="0" w:line="240" w:lineRule="auto"/>
        <w:ind w:left="567"/>
        <w:jc w:val="both"/>
        <w:rPr>
          <w:rFonts w:eastAsia="Times New Roman" w:cs="Arial"/>
          <w:lang w:val="fr-FR"/>
        </w:rPr>
      </w:pPr>
      <w:r w:rsidRPr="00870C5D">
        <w:rPr>
          <w:rFonts w:eastAsia="Times New Roman" w:cs="Arial"/>
          <w:lang w:val="fr-FR"/>
        </w:rPr>
        <w:t>UNEP/CMS/COP12/Doc.24.1.9.- Plan d’action pour le rollier d’Europe ;</w:t>
      </w:r>
    </w:p>
    <w:p w:rsidR="00870C5D" w:rsidRPr="00870C5D" w:rsidRDefault="00870C5D" w:rsidP="00214BAF">
      <w:pPr>
        <w:widowControl w:val="0"/>
        <w:autoSpaceDE w:val="0"/>
        <w:autoSpaceDN w:val="0"/>
        <w:adjustRightInd w:val="0"/>
        <w:spacing w:after="0" w:line="240" w:lineRule="auto"/>
        <w:ind w:left="567" w:hanging="567"/>
        <w:jc w:val="both"/>
        <w:rPr>
          <w:rFonts w:eastAsia="Times New Roman" w:cs="Arial"/>
          <w:lang w:val="fr-FR"/>
        </w:rPr>
      </w:pPr>
    </w:p>
    <w:bookmarkEnd w:id="3"/>
    <w:p w:rsidR="00870C5D" w:rsidRPr="00870C5D" w:rsidRDefault="00870C5D" w:rsidP="00214BAF">
      <w:pPr>
        <w:widowControl w:val="0"/>
        <w:numPr>
          <w:ilvl w:val="0"/>
          <w:numId w:val="10"/>
        </w:numPr>
        <w:autoSpaceDE w:val="0"/>
        <w:autoSpaceDN w:val="0"/>
        <w:adjustRightInd w:val="0"/>
        <w:spacing w:after="0" w:line="240" w:lineRule="auto"/>
        <w:ind w:left="567" w:hanging="567"/>
        <w:jc w:val="both"/>
        <w:rPr>
          <w:rFonts w:eastAsia="Times New Roman" w:cs="Arial"/>
          <w:u w:val="single"/>
          <w:lang w:val="fr-FR"/>
        </w:rPr>
      </w:pPr>
      <w:r w:rsidRPr="00870C5D">
        <w:rPr>
          <w:rFonts w:eastAsia="Times New Roman" w:cs="Arial"/>
          <w:i/>
          <w:u w:val="single"/>
          <w:lang w:val="fr-FR"/>
        </w:rPr>
        <w:t>Reconnaît</w:t>
      </w:r>
      <w:r w:rsidRPr="00870C5D">
        <w:rPr>
          <w:rFonts w:eastAsia="Times New Roman" w:cs="Arial"/>
          <w:u w:val="single"/>
          <w:lang w:val="fr-FR"/>
        </w:rPr>
        <w:t xml:space="preserve"> l’adoption des Plans d’action pour l’</w:t>
      </w:r>
      <w:proofErr w:type="spellStart"/>
      <w:r w:rsidRPr="00870C5D">
        <w:rPr>
          <w:rFonts w:eastAsia="Times New Roman" w:cs="Arial"/>
          <w:u w:val="single"/>
          <w:lang w:val="fr-FR"/>
        </w:rPr>
        <w:t>érismature</w:t>
      </w:r>
      <w:proofErr w:type="spellEnd"/>
      <w:r w:rsidRPr="00870C5D">
        <w:rPr>
          <w:rFonts w:eastAsia="Times New Roman" w:cs="Arial"/>
          <w:u w:val="single"/>
          <w:lang w:val="fr-FR"/>
        </w:rPr>
        <w:t xml:space="preserve"> à tête blanche, la tourterelle des bois et le pélican </w:t>
      </w:r>
      <w:r w:rsidR="00214BAF">
        <w:rPr>
          <w:rFonts w:eastAsia="Times New Roman" w:cs="Arial"/>
          <w:u w:val="single"/>
          <w:lang w:val="fr-FR"/>
        </w:rPr>
        <w:t>dalmate</w:t>
      </w:r>
      <w:r w:rsidRPr="00870C5D">
        <w:rPr>
          <w:rFonts w:eastAsia="Times New Roman" w:cs="Arial"/>
          <w:u w:val="single"/>
          <w:lang w:val="fr-FR"/>
        </w:rPr>
        <w:t xml:space="preserve"> par la 48</w:t>
      </w:r>
      <w:r w:rsidRPr="00870C5D">
        <w:rPr>
          <w:rFonts w:eastAsia="Times New Roman" w:cs="Arial"/>
          <w:u w:val="single"/>
          <w:vertAlign w:val="superscript"/>
          <w:lang w:val="fr-FR"/>
        </w:rPr>
        <w:t>e</w:t>
      </w:r>
      <w:r w:rsidRPr="00870C5D">
        <w:rPr>
          <w:rFonts w:eastAsia="Times New Roman" w:cs="Arial"/>
          <w:u w:val="single"/>
          <w:lang w:val="fr-FR"/>
        </w:rPr>
        <w:t xml:space="preserve"> réunion du Comité permanent, tels que présentés dans les documents, conformément au mandat qu’elle a confié à la 12</w:t>
      </w:r>
      <w:r w:rsidRPr="00870C5D">
        <w:rPr>
          <w:rFonts w:eastAsia="Times New Roman" w:cs="Arial"/>
          <w:u w:val="single"/>
          <w:vertAlign w:val="superscript"/>
          <w:lang w:val="fr-FR"/>
        </w:rPr>
        <w:t>e</w:t>
      </w:r>
      <w:r w:rsidRPr="00870C5D">
        <w:rPr>
          <w:rFonts w:eastAsia="Times New Roman" w:cs="Arial"/>
          <w:u w:val="single"/>
          <w:lang w:val="fr-FR"/>
        </w:rPr>
        <w:t xml:space="preserve"> réunion de la Conférence des Parties :</w:t>
      </w:r>
    </w:p>
    <w:p w:rsidR="00870C5D" w:rsidRPr="00870C5D" w:rsidRDefault="00870C5D" w:rsidP="00214BAF">
      <w:pPr>
        <w:widowControl w:val="0"/>
        <w:autoSpaceDE w:val="0"/>
        <w:autoSpaceDN w:val="0"/>
        <w:adjustRightInd w:val="0"/>
        <w:spacing w:after="0" w:line="240" w:lineRule="auto"/>
        <w:ind w:left="567" w:hanging="567"/>
        <w:jc w:val="both"/>
        <w:rPr>
          <w:rFonts w:eastAsia="Times New Roman" w:cs="Arial"/>
          <w:u w:val="single"/>
          <w:lang w:val="fr-FR"/>
        </w:rPr>
      </w:pPr>
    </w:p>
    <w:p w:rsidR="00870C5D" w:rsidRPr="00870C5D" w:rsidRDefault="00870C5D" w:rsidP="00214BAF">
      <w:pPr>
        <w:widowControl w:val="0"/>
        <w:autoSpaceDE w:val="0"/>
        <w:autoSpaceDN w:val="0"/>
        <w:adjustRightInd w:val="0"/>
        <w:spacing w:after="0" w:line="240" w:lineRule="auto"/>
        <w:ind w:left="567"/>
        <w:jc w:val="both"/>
        <w:rPr>
          <w:rFonts w:eastAsia="Times New Roman" w:cs="Arial"/>
          <w:u w:val="single"/>
          <w:lang w:val="fr-FR"/>
        </w:rPr>
      </w:pPr>
      <w:r w:rsidRPr="00870C5D">
        <w:rPr>
          <w:rFonts w:eastAsia="Times New Roman" w:cs="Arial"/>
          <w:u w:val="single"/>
          <w:lang w:val="fr-FR"/>
        </w:rPr>
        <w:t xml:space="preserve">UNEP/CMS/StC48/Doc.18 </w:t>
      </w:r>
      <w:r w:rsidRPr="00870C5D">
        <w:rPr>
          <w:rFonts w:eastAsia="Times New Roman" w:cs="Arial"/>
          <w:i/>
          <w:u w:val="single"/>
          <w:lang w:val="fr-FR"/>
        </w:rPr>
        <w:t>Adoption de plans d’action pour les espèces d’oiseaux</w:t>
      </w:r>
      <w:r w:rsidRPr="00870C5D">
        <w:rPr>
          <w:rFonts w:eastAsia="Times New Roman" w:cs="Arial"/>
          <w:u w:val="single"/>
          <w:lang w:val="fr-FR"/>
        </w:rPr>
        <w:t> ;</w:t>
      </w:r>
    </w:p>
    <w:p w:rsidR="00870C5D" w:rsidRPr="00870C5D" w:rsidRDefault="00870C5D" w:rsidP="00214BAF">
      <w:pPr>
        <w:widowControl w:val="0"/>
        <w:autoSpaceDE w:val="0"/>
        <w:autoSpaceDN w:val="0"/>
        <w:adjustRightInd w:val="0"/>
        <w:spacing w:after="0" w:line="240" w:lineRule="auto"/>
        <w:ind w:left="567"/>
        <w:jc w:val="both"/>
        <w:rPr>
          <w:rFonts w:eastAsia="Times New Roman" w:cs="Arial"/>
          <w:u w:val="single"/>
          <w:lang w:val="fr-FR"/>
        </w:rPr>
      </w:pPr>
      <w:r w:rsidRPr="00870C5D">
        <w:rPr>
          <w:rFonts w:eastAsia="Times New Roman" w:cs="Arial"/>
          <w:u w:val="single"/>
          <w:lang w:val="fr-FR"/>
        </w:rPr>
        <w:t xml:space="preserve">UNEP/CMS/StC48/Doc.18/Annexe 1 </w:t>
      </w:r>
      <w:bookmarkStart w:id="4" w:name="_Hlk20224306"/>
      <w:r w:rsidRPr="00870C5D">
        <w:rPr>
          <w:rFonts w:eastAsia="Times New Roman" w:cs="Arial"/>
          <w:i/>
          <w:u w:val="single"/>
          <w:lang w:val="fr-FR"/>
        </w:rPr>
        <w:t>Plan d’action international par espèces pour la conservation de l’</w:t>
      </w:r>
      <w:proofErr w:type="spellStart"/>
      <w:r w:rsidRPr="00870C5D">
        <w:rPr>
          <w:rFonts w:eastAsia="Times New Roman" w:cs="Arial"/>
          <w:i/>
          <w:u w:val="single"/>
          <w:lang w:val="fr-FR"/>
        </w:rPr>
        <w:t>érismature</w:t>
      </w:r>
      <w:proofErr w:type="spellEnd"/>
      <w:r w:rsidRPr="00870C5D">
        <w:rPr>
          <w:rFonts w:eastAsia="Times New Roman" w:cs="Arial"/>
          <w:i/>
          <w:u w:val="single"/>
          <w:lang w:val="fr-FR"/>
        </w:rPr>
        <w:t xml:space="preserve"> à tête blanche</w:t>
      </w:r>
      <w:bookmarkEnd w:id="4"/>
      <w:r w:rsidRPr="00870C5D">
        <w:rPr>
          <w:rFonts w:eastAsia="Times New Roman" w:cs="Arial"/>
          <w:u w:val="single"/>
          <w:lang w:val="fr-FR"/>
        </w:rPr>
        <w:t> ;</w:t>
      </w:r>
    </w:p>
    <w:p w:rsidR="00870C5D" w:rsidRPr="00870C5D" w:rsidRDefault="00870C5D" w:rsidP="00214BAF">
      <w:pPr>
        <w:widowControl w:val="0"/>
        <w:autoSpaceDE w:val="0"/>
        <w:autoSpaceDN w:val="0"/>
        <w:adjustRightInd w:val="0"/>
        <w:spacing w:after="0" w:line="240" w:lineRule="auto"/>
        <w:ind w:left="567"/>
        <w:jc w:val="both"/>
        <w:rPr>
          <w:rFonts w:eastAsia="Times New Roman" w:cs="Arial"/>
          <w:u w:val="single"/>
          <w:lang w:val="fr-FR"/>
        </w:rPr>
      </w:pPr>
      <w:r w:rsidRPr="00870C5D">
        <w:rPr>
          <w:rFonts w:eastAsia="Times New Roman" w:cs="Arial"/>
          <w:u w:val="single"/>
          <w:lang w:val="fr-FR"/>
        </w:rPr>
        <w:t xml:space="preserve">UNEP/CMS/StC48/Doc.18/Annexe 2/Rev.1 </w:t>
      </w:r>
      <w:r w:rsidRPr="00870C5D">
        <w:rPr>
          <w:rFonts w:eastAsia="Times New Roman" w:cs="Arial"/>
          <w:i/>
          <w:u w:val="single"/>
          <w:lang w:val="fr-FR"/>
        </w:rPr>
        <w:t>Plan d’action international par espèces pour la conservation de la tourterelle des bois</w:t>
      </w:r>
      <w:r w:rsidRPr="00870C5D">
        <w:rPr>
          <w:rFonts w:eastAsia="Times New Roman" w:cs="Arial"/>
          <w:u w:val="single"/>
          <w:lang w:val="fr-FR"/>
        </w:rPr>
        <w:t> ;</w:t>
      </w:r>
    </w:p>
    <w:p w:rsidR="00870C5D" w:rsidRPr="00870C5D" w:rsidRDefault="00870C5D" w:rsidP="00214BAF">
      <w:pPr>
        <w:widowControl w:val="0"/>
        <w:autoSpaceDE w:val="0"/>
        <w:autoSpaceDN w:val="0"/>
        <w:adjustRightInd w:val="0"/>
        <w:spacing w:after="0" w:line="240" w:lineRule="auto"/>
        <w:ind w:left="567"/>
        <w:jc w:val="both"/>
        <w:rPr>
          <w:rFonts w:eastAsia="Times New Roman" w:cs="Arial"/>
          <w:lang w:val="fr-FR"/>
        </w:rPr>
      </w:pPr>
      <w:r w:rsidRPr="00870C5D">
        <w:rPr>
          <w:rFonts w:eastAsia="Times New Roman" w:cs="Arial"/>
          <w:u w:val="single"/>
          <w:lang w:val="fr-FR"/>
        </w:rPr>
        <w:t xml:space="preserve">UNEP/CMS/StC48/Doc.18/Annexe 3 </w:t>
      </w:r>
      <w:r w:rsidRPr="00870C5D">
        <w:rPr>
          <w:rFonts w:eastAsia="Times New Roman" w:cs="Arial"/>
          <w:i/>
          <w:u w:val="single"/>
          <w:lang w:val="fr-FR"/>
        </w:rPr>
        <w:t xml:space="preserve">Plan d’action international par espèces pour la conservation du pélican </w:t>
      </w:r>
      <w:r w:rsidR="00214BAF">
        <w:rPr>
          <w:rFonts w:eastAsia="Times New Roman" w:cs="Arial"/>
          <w:i/>
          <w:u w:val="single"/>
          <w:lang w:val="fr-FR"/>
        </w:rPr>
        <w:t>dalmate</w:t>
      </w:r>
      <w:r w:rsidRPr="00870C5D">
        <w:rPr>
          <w:rFonts w:eastAsia="Times New Roman" w:cs="Arial"/>
          <w:u w:val="single"/>
          <w:lang w:val="fr-FR"/>
        </w:rPr>
        <w:t>.</w:t>
      </w:r>
    </w:p>
    <w:p w:rsidR="00870C5D" w:rsidRPr="00870C5D" w:rsidRDefault="00870C5D" w:rsidP="00214BAF">
      <w:pPr>
        <w:widowControl w:val="0"/>
        <w:autoSpaceDE w:val="0"/>
        <w:autoSpaceDN w:val="0"/>
        <w:adjustRightInd w:val="0"/>
        <w:spacing w:after="0" w:line="240" w:lineRule="auto"/>
        <w:ind w:left="567" w:hanging="567"/>
        <w:jc w:val="both"/>
        <w:rPr>
          <w:rFonts w:eastAsia="Times New Roman" w:cs="Arial"/>
          <w:lang w:val="fr-FR"/>
        </w:rPr>
      </w:pPr>
    </w:p>
    <w:p w:rsidR="00870C5D" w:rsidRPr="00870C5D" w:rsidRDefault="00214BAF" w:rsidP="00214BAF">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Pr>
          <w:rFonts w:eastAsia="Times New Roman" w:cs="Arial"/>
          <w:i/>
          <w:lang w:val="fr-FR"/>
        </w:rPr>
        <w:t xml:space="preserve">Incite </w:t>
      </w:r>
      <w:r w:rsidR="00870C5D" w:rsidRPr="00870C5D">
        <w:rPr>
          <w:rFonts w:eastAsia="Times New Roman" w:cs="Arial"/>
          <w:lang w:val="fr-FR"/>
        </w:rPr>
        <w:t xml:space="preserve">les Parties et </w:t>
      </w:r>
      <w:r w:rsidR="00870C5D" w:rsidRPr="00870C5D">
        <w:rPr>
          <w:rFonts w:eastAsia="Times New Roman" w:cs="Arial"/>
          <w:i/>
          <w:lang w:val="fr-FR"/>
        </w:rPr>
        <w:t>invite</w:t>
      </w:r>
      <w:r w:rsidR="00870C5D" w:rsidRPr="00870C5D">
        <w:rPr>
          <w:rFonts w:eastAsia="Times New Roman" w:cs="Arial"/>
          <w:lang w:val="fr-FR"/>
        </w:rPr>
        <w:t xml:space="preserve"> les États de l’aire de répartition non Parties à mettre en œuvre les dispositions pertinentes</w:t>
      </w:r>
      <w:r>
        <w:rPr>
          <w:rFonts w:eastAsia="Times New Roman" w:cs="Arial"/>
          <w:lang w:val="fr-FR"/>
        </w:rPr>
        <w:t xml:space="preserve"> </w:t>
      </w:r>
      <w:r w:rsidRPr="00214BAF">
        <w:rPr>
          <w:rFonts w:eastAsia="Times New Roman" w:cs="Arial"/>
          <w:strike/>
          <w:lang w:val="fr-FR"/>
        </w:rPr>
        <w:t>des</w:t>
      </w:r>
      <w:r>
        <w:rPr>
          <w:rFonts w:eastAsia="Times New Roman" w:cs="Arial"/>
          <w:lang w:val="fr-FR"/>
        </w:rPr>
        <w:t xml:space="preserve"> </w:t>
      </w:r>
      <w:r w:rsidR="00870C5D" w:rsidRPr="00870C5D">
        <w:rPr>
          <w:rFonts w:eastAsia="Times New Roman" w:cs="Arial"/>
          <w:u w:val="single"/>
          <w:lang w:val="fr-FR"/>
        </w:rPr>
        <w:t xml:space="preserve">de tous </w:t>
      </w:r>
      <w:r w:rsidR="00870C5D" w:rsidRPr="00870C5D">
        <w:rPr>
          <w:rFonts w:eastAsia="Times New Roman" w:cs="Arial"/>
          <w:lang w:val="fr-FR"/>
        </w:rPr>
        <w:t>les plans d’action</w:t>
      </w:r>
      <w:r w:rsidR="00870C5D" w:rsidRPr="00870C5D">
        <w:rPr>
          <w:rFonts w:eastAsia="Times New Roman" w:cs="Arial"/>
          <w:u w:val="single"/>
          <w:lang w:val="fr-FR"/>
        </w:rPr>
        <w:t xml:space="preserve"> pour les oiseaux qui ont été adoptés par la Conférence des Parties à ce jour ; </w:t>
      </w:r>
    </w:p>
    <w:p w:rsidR="00870C5D" w:rsidRPr="00870C5D" w:rsidRDefault="00870C5D" w:rsidP="00214BAF">
      <w:pPr>
        <w:widowControl w:val="0"/>
        <w:autoSpaceDE w:val="0"/>
        <w:autoSpaceDN w:val="0"/>
        <w:adjustRightInd w:val="0"/>
        <w:spacing w:after="0" w:line="240" w:lineRule="auto"/>
        <w:ind w:left="567" w:hanging="567"/>
        <w:jc w:val="both"/>
        <w:rPr>
          <w:rFonts w:eastAsia="Times New Roman" w:cs="Arial"/>
          <w:lang w:val="fr-FR"/>
        </w:rPr>
      </w:pPr>
    </w:p>
    <w:p w:rsidR="00870C5D" w:rsidRPr="00870C5D" w:rsidRDefault="00870C5D" w:rsidP="00214BAF">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870C5D">
        <w:rPr>
          <w:rFonts w:eastAsia="Times New Roman" w:cs="Arial"/>
          <w:i/>
          <w:lang w:val="fr-FR"/>
        </w:rPr>
        <w:t>Encourage les</w:t>
      </w:r>
      <w:r w:rsidRPr="00870C5D">
        <w:rPr>
          <w:rFonts w:eastAsia="Times New Roman" w:cs="Arial"/>
          <w:lang w:val="fr-FR"/>
        </w:rPr>
        <w:t xml:space="preserve"> autres Parties à </w:t>
      </w:r>
      <w:r w:rsidR="00214BAF">
        <w:rPr>
          <w:rFonts w:eastAsia="Times New Roman" w:cs="Arial"/>
          <w:lang w:val="fr-FR"/>
        </w:rPr>
        <w:t>apporter</w:t>
      </w:r>
      <w:r w:rsidRPr="00870C5D">
        <w:rPr>
          <w:rFonts w:eastAsia="Times New Roman" w:cs="Arial"/>
          <w:lang w:val="fr-FR"/>
        </w:rPr>
        <w:t xml:space="preserve"> un soutien technique et/ou financier aux activités </w:t>
      </w:r>
      <w:r w:rsidR="00214BAF">
        <w:rPr>
          <w:rFonts w:eastAsia="Times New Roman" w:cs="Arial"/>
          <w:lang w:val="fr-FR"/>
        </w:rPr>
        <w:t xml:space="preserve">mises en avant </w:t>
      </w:r>
      <w:r w:rsidRPr="00870C5D">
        <w:rPr>
          <w:rFonts w:eastAsia="Times New Roman" w:cs="Arial"/>
          <w:lang w:val="fr-FR"/>
        </w:rPr>
        <w:t>dans les plans d’action ;</w:t>
      </w:r>
    </w:p>
    <w:p w:rsidR="00870C5D" w:rsidRPr="00870C5D" w:rsidRDefault="00870C5D" w:rsidP="00214BAF">
      <w:pPr>
        <w:widowControl w:val="0"/>
        <w:autoSpaceDE w:val="0"/>
        <w:autoSpaceDN w:val="0"/>
        <w:adjustRightInd w:val="0"/>
        <w:spacing w:after="0" w:line="240" w:lineRule="auto"/>
        <w:ind w:left="567" w:hanging="567"/>
        <w:jc w:val="both"/>
        <w:rPr>
          <w:rFonts w:eastAsia="Times New Roman" w:cs="Arial"/>
          <w:lang w:val="fr-FR"/>
        </w:rPr>
      </w:pPr>
    </w:p>
    <w:p w:rsidR="00870C5D" w:rsidRPr="00870C5D" w:rsidRDefault="00870C5D" w:rsidP="00214BAF">
      <w:pPr>
        <w:widowControl w:val="0"/>
        <w:numPr>
          <w:ilvl w:val="0"/>
          <w:numId w:val="10"/>
        </w:numPr>
        <w:autoSpaceDE w:val="0"/>
        <w:autoSpaceDN w:val="0"/>
        <w:adjustRightInd w:val="0"/>
        <w:spacing w:after="0" w:line="240" w:lineRule="auto"/>
        <w:ind w:left="567" w:hanging="567"/>
        <w:jc w:val="both"/>
        <w:rPr>
          <w:rFonts w:eastAsia="Times New Roman" w:cs="Arial"/>
          <w:lang w:val="fr-FR"/>
        </w:rPr>
      </w:pPr>
      <w:r w:rsidRPr="00870C5D">
        <w:rPr>
          <w:rFonts w:eastAsia="Times New Roman" w:cs="Arial"/>
          <w:i/>
          <w:lang w:val="fr-FR"/>
        </w:rPr>
        <w:t>Demande</w:t>
      </w:r>
      <w:r w:rsidRPr="00870C5D">
        <w:rPr>
          <w:rFonts w:eastAsia="Times New Roman" w:cs="Arial"/>
          <w:lang w:val="fr-FR"/>
        </w:rPr>
        <w:t xml:space="preserve"> aux Parties de </w:t>
      </w:r>
      <w:r w:rsidR="00214BAF">
        <w:rPr>
          <w:rFonts w:eastAsia="Times New Roman" w:cs="Arial"/>
          <w:lang w:val="fr-FR"/>
        </w:rPr>
        <w:t>rendre compte d</w:t>
      </w:r>
      <w:r w:rsidRPr="00870C5D">
        <w:rPr>
          <w:rFonts w:eastAsia="Times New Roman" w:cs="Arial"/>
          <w:lang w:val="fr-FR"/>
        </w:rPr>
        <w:t xml:space="preserve">es progrès accomplis dans la mise en œuvre des plans d’action </w:t>
      </w:r>
      <w:r w:rsidR="00214BAF">
        <w:rPr>
          <w:rFonts w:eastAsia="Times New Roman" w:cs="Arial"/>
          <w:lang w:val="fr-FR"/>
        </w:rPr>
        <w:t>lors de</w:t>
      </w:r>
      <w:r w:rsidRPr="00870C5D">
        <w:rPr>
          <w:rFonts w:eastAsia="Times New Roman" w:cs="Arial"/>
          <w:lang w:val="fr-FR"/>
        </w:rPr>
        <w:t xml:space="preserve"> chaque</w:t>
      </w:r>
      <w:r w:rsidR="00214BAF">
        <w:rPr>
          <w:rFonts w:eastAsia="Times New Roman" w:cs="Arial"/>
          <w:lang w:val="fr-FR"/>
        </w:rPr>
        <w:t xml:space="preserve"> </w:t>
      </w:r>
      <w:r w:rsidRPr="00870C5D">
        <w:rPr>
          <w:rFonts w:eastAsia="Times New Roman" w:cs="Arial"/>
          <w:u w:val="single"/>
          <w:lang w:val="fr-FR"/>
        </w:rPr>
        <w:t xml:space="preserve">réunion de la </w:t>
      </w:r>
      <w:proofErr w:type="spellStart"/>
      <w:r w:rsidRPr="00870C5D">
        <w:rPr>
          <w:rFonts w:eastAsia="Times New Roman" w:cs="Arial"/>
          <w:strike/>
          <w:lang w:val="fr-FR"/>
        </w:rPr>
        <w:t>COP</w:t>
      </w:r>
      <w:r w:rsidRPr="00870C5D">
        <w:rPr>
          <w:rFonts w:eastAsia="Times New Roman" w:cs="Arial"/>
          <w:u w:val="single"/>
          <w:lang w:val="fr-FR"/>
        </w:rPr>
        <w:t>Conférence</w:t>
      </w:r>
      <w:proofErr w:type="spellEnd"/>
      <w:r w:rsidRPr="00870C5D">
        <w:rPr>
          <w:rFonts w:eastAsia="Times New Roman" w:cs="Arial"/>
          <w:u w:val="single"/>
          <w:lang w:val="fr-FR"/>
        </w:rPr>
        <w:t xml:space="preserve"> des Parties</w:t>
      </w:r>
      <w:r w:rsidRPr="00870C5D">
        <w:rPr>
          <w:rFonts w:eastAsia="Times New Roman" w:cs="Arial"/>
          <w:lang w:val="fr-FR"/>
        </w:rPr>
        <w:t xml:space="preserve"> </w:t>
      </w:r>
      <w:r w:rsidR="00214BAF">
        <w:rPr>
          <w:rFonts w:eastAsia="Times New Roman" w:cs="Arial"/>
          <w:lang w:val="fr-FR"/>
        </w:rPr>
        <w:t>via</w:t>
      </w:r>
      <w:r w:rsidRPr="00870C5D">
        <w:rPr>
          <w:rFonts w:eastAsia="Times New Roman" w:cs="Arial"/>
          <w:lang w:val="fr-FR"/>
        </w:rPr>
        <w:t xml:space="preserve"> leur rapport nationa</w:t>
      </w:r>
      <w:r w:rsidR="00214BAF">
        <w:rPr>
          <w:rFonts w:eastAsia="Times New Roman" w:cs="Arial"/>
          <w:lang w:val="fr-FR"/>
        </w:rPr>
        <w:t>l</w:t>
      </w:r>
      <w:r w:rsidRPr="00870C5D">
        <w:rPr>
          <w:rFonts w:eastAsia="Times New Roman" w:cs="Arial"/>
          <w:u w:val="single"/>
          <w:lang w:val="fr-FR"/>
        </w:rPr>
        <w:t>, y compris en ce qui concerne le Plan d’action pour le bruant auréole une fois achevé</w:t>
      </w:r>
      <w:r w:rsidRPr="00870C5D">
        <w:rPr>
          <w:rFonts w:eastAsia="Times New Roman" w:cs="Arial"/>
          <w:lang w:val="fr-FR"/>
        </w:rPr>
        <w:t>.</w:t>
      </w:r>
    </w:p>
    <w:p w:rsidR="00870C5D" w:rsidRDefault="00870C5D" w:rsidP="00870C5D">
      <w:pPr>
        <w:tabs>
          <w:tab w:val="left" w:pos="2250"/>
        </w:tabs>
        <w:rPr>
          <w:lang w:val="fr-FR"/>
        </w:rPr>
        <w:sectPr w:rsidR="00870C5D" w:rsidSect="00D71837">
          <w:headerReference w:type="default" r:id="rId22"/>
          <w:headerReference w:type="first" r:id="rId23"/>
          <w:footerReference w:type="first" r:id="rId24"/>
          <w:pgSz w:w="11906" w:h="16838" w:code="9"/>
          <w:pgMar w:top="1134" w:right="1134" w:bottom="1134" w:left="1134" w:header="720" w:footer="720" w:gutter="0"/>
          <w:cols w:space="720"/>
          <w:titlePg/>
          <w:docGrid w:linePitch="360"/>
        </w:sectPr>
      </w:pPr>
    </w:p>
    <w:p w:rsidR="00870C5D" w:rsidRPr="00870C5D" w:rsidRDefault="00870C5D" w:rsidP="00870C5D">
      <w:pPr>
        <w:widowControl w:val="0"/>
        <w:autoSpaceDE w:val="0"/>
        <w:adjustRightInd w:val="0"/>
        <w:spacing w:after="0"/>
        <w:ind w:left="360"/>
        <w:contextualSpacing/>
        <w:jc w:val="right"/>
        <w:rPr>
          <w:rFonts w:cs="Arial"/>
          <w:lang w:val="fr-FR"/>
        </w:rPr>
      </w:pPr>
      <w:r w:rsidRPr="00870C5D">
        <w:rPr>
          <w:rFonts w:cs="Arial"/>
          <w:b/>
          <w:lang w:val="fr-FR"/>
        </w:rPr>
        <w:lastRenderedPageBreak/>
        <w:t>ANNEXE </w:t>
      </w:r>
      <w:r w:rsidR="00214BAF">
        <w:rPr>
          <w:rFonts w:cs="Arial"/>
          <w:b/>
          <w:lang w:val="fr-FR"/>
        </w:rPr>
        <w:t>2</w:t>
      </w:r>
    </w:p>
    <w:p w:rsidR="00870C5D" w:rsidRPr="00870C5D" w:rsidRDefault="00870C5D" w:rsidP="00870C5D">
      <w:pPr>
        <w:widowControl w:val="0"/>
        <w:autoSpaceDE w:val="0"/>
        <w:adjustRightInd w:val="0"/>
        <w:spacing w:after="0"/>
        <w:ind w:left="360"/>
        <w:contextualSpacing/>
        <w:jc w:val="center"/>
        <w:rPr>
          <w:rFonts w:cs="Arial"/>
          <w:lang w:val="fr-FR"/>
        </w:rPr>
      </w:pPr>
    </w:p>
    <w:p w:rsidR="00870C5D" w:rsidRPr="00870C5D" w:rsidRDefault="00870C5D" w:rsidP="00870C5D">
      <w:pPr>
        <w:widowControl w:val="0"/>
        <w:autoSpaceDE w:val="0"/>
        <w:adjustRightInd w:val="0"/>
        <w:spacing w:after="0"/>
        <w:ind w:left="360"/>
        <w:contextualSpacing/>
        <w:jc w:val="center"/>
        <w:rPr>
          <w:rFonts w:cs="Arial"/>
          <w:lang w:val="fr-FR"/>
        </w:rPr>
      </w:pPr>
      <w:r w:rsidRPr="00870C5D">
        <w:rPr>
          <w:rFonts w:cs="Arial"/>
          <w:lang w:val="fr-FR"/>
        </w:rPr>
        <w:t>PROJET DE DÉCISIONS</w:t>
      </w:r>
    </w:p>
    <w:p w:rsidR="00870C5D" w:rsidRPr="00870C5D" w:rsidRDefault="00870C5D" w:rsidP="00870C5D">
      <w:pPr>
        <w:spacing w:after="0" w:line="240" w:lineRule="auto"/>
        <w:rPr>
          <w:lang w:val="fr-FR"/>
        </w:rPr>
      </w:pPr>
    </w:p>
    <w:p w:rsidR="00870C5D" w:rsidRPr="00870C5D" w:rsidRDefault="00870C5D" w:rsidP="00870C5D">
      <w:pPr>
        <w:spacing w:after="0" w:line="240" w:lineRule="auto"/>
        <w:jc w:val="center"/>
        <w:rPr>
          <w:sz w:val="21"/>
          <w:lang w:val="fr-FR"/>
        </w:rPr>
      </w:pPr>
      <w:r w:rsidRPr="00870C5D">
        <w:rPr>
          <w:rFonts w:eastAsia="Calibri" w:cs="Arial"/>
          <w:i/>
          <w:iCs/>
          <w:sz w:val="21"/>
          <w:lang w:val="fr-FR"/>
        </w:rPr>
        <w:t xml:space="preserve">NB : </w:t>
      </w:r>
      <w:bookmarkStart w:id="5" w:name="_Hlk20760140"/>
      <w:r w:rsidRPr="00870C5D">
        <w:rPr>
          <w:rFonts w:cs="Arial"/>
          <w:i/>
          <w:iCs/>
          <w:sz w:val="21"/>
          <w:lang w:val="fr-FR"/>
        </w:rPr>
        <w:t xml:space="preserve">le nouveau texte proposé pour les Décisions émanant de la COP12 est </w:t>
      </w:r>
      <w:r w:rsidRPr="00870C5D">
        <w:rPr>
          <w:rFonts w:eastAsia="Times New Roman" w:cs="Arial"/>
          <w:i/>
          <w:iCs/>
          <w:sz w:val="21"/>
          <w:u w:val="single"/>
          <w:lang w:val="fr-FR"/>
        </w:rPr>
        <w:t>souligné.</w:t>
      </w:r>
      <w:r w:rsidRPr="00870C5D">
        <w:rPr>
          <w:rFonts w:eastAsia="Times New Roman" w:cs="Arial"/>
          <w:i/>
          <w:iCs/>
          <w:sz w:val="21"/>
          <w:lang w:val="fr-FR"/>
        </w:rPr>
        <w:t xml:space="preserve"> Le texte à supprimer est </w:t>
      </w:r>
      <w:r w:rsidRPr="00870C5D">
        <w:rPr>
          <w:rFonts w:eastAsia="Times New Roman" w:cs="Arial"/>
          <w:i/>
          <w:iCs/>
          <w:strike/>
          <w:sz w:val="21"/>
          <w:lang w:val="fr-FR"/>
        </w:rPr>
        <w:t>barré</w:t>
      </w:r>
      <w:r w:rsidRPr="00870C5D">
        <w:rPr>
          <w:rFonts w:eastAsia="Times New Roman" w:cs="Arial"/>
          <w:i/>
          <w:iCs/>
          <w:sz w:val="21"/>
          <w:lang w:val="fr-FR"/>
        </w:rPr>
        <w:t>.</w:t>
      </w:r>
      <w:bookmarkEnd w:id="5"/>
    </w:p>
    <w:p w:rsidR="00870C5D" w:rsidRPr="00870C5D" w:rsidRDefault="00870C5D" w:rsidP="00870C5D">
      <w:pPr>
        <w:spacing w:after="0"/>
        <w:jc w:val="both"/>
        <w:rPr>
          <w:rFonts w:cs="Arial"/>
          <w:b/>
          <w:sz w:val="21"/>
          <w:lang w:val="fr-FR"/>
        </w:rPr>
      </w:pPr>
    </w:p>
    <w:p w:rsidR="00870C5D" w:rsidRPr="00870C5D" w:rsidRDefault="00214BAF" w:rsidP="00870C5D">
      <w:pPr>
        <w:spacing w:after="0"/>
        <w:jc w:val="both"/>
        <w:rPr>
          <w:rFonts w:cs="Arial"/>
          <w:b/>
          <w:i/>
          <w:lang w:val="fr-FR"/>
        </w:rPr>
      </w:pPr>
      <w:r>
        <w:rPr>
          <w:rFonts w:cs="Arial"/>
          <w:b/>
          <w:i/>
          <w:lang w:val="fr-FR"/>
        </w:rPr>
        <w:t>Adressé a</w:t>
      </w:r>
      <w:r w:rsidR="00870C5D" w:rsidRPr="00870C5D">
        <w:rPr>
          <w:rFonts w:cs="Arial"/>
          <w:b/>
          <w:i/>
          <w:lang w:val="fr-FR"/>
        </w:rPr>
        <w:t>u Secrétariat</w:t>
      </w:r>
    </w:p>
    <w:p w:rsidR="00870C5D" w:rsidRPr="00870C5D" w:rsidRDefault="00870C5D" w:rsidP="00870C5D">
      <w:pPr>
        <w:spacing w:after="0"/>
        <w:jc w:val="both"/>
        <w:rPr>
          <w:rFonts w:cs="Arial"/>
          <w:i/>
          <w:lang w:val="fr-FR"/>
        </w:rPr>
      </w:pPr>
    </w:p>
    <w:p w:rsidR="00870C5D" w:rsidRPr="00870C5D" w:rsidRDefault="00870C5D" w:rsidP="00870C5D">
      <w:pPr>
        <w:spacing w:after="0"/>
        <w:jc w:val="both"/>
        <w:rPr>
          <w:rFonts w:cs="Arial"/>
          <w:lang w:val="fr-FR"/>
        </w:rPr>
      </w:pPr>
      <w:r w:rsidRPr="00870C5D">
        <w:rPr>
          <w:rFonts w:cs="Arial"/>
          <w:lang w:val="fr-FR"/>
        </w:rPr>
        <w:t>13.AA (12.20) Le Secrétariat :</w:t>
      </w:r>
    </w:p>
    <w:p w:rsidR="00870C5D" w:rsidRPr="00870C5D" w:rsidRDefault="00870C5D" w:rsidP="00870C5D">
      <w:pPr>
        <w:spacing w:after="0"/>
        <w:jc w:val="both"/>
        <w:rPr>
          <w:rFonts w:cs="Arial"/>
          <w:lang w:val="fr-FR"/>
        </w:rPr>
      </w:pPr>
    </w:p>
    <w:p w:rsidR="00870C5D" w:rsidRPr="00870C5D" w:rsidRDefault="00870C5D" w:rsidP="00B153EC">
      <w:pPr>
        <w:pStyle w:val="ListParagraph"/>
        <w:numPr>
          <w:ilvl w:val="0"/>
          <w:numId w:val="11"/>
        </w:numPr>
        <w:autoSpaceDN w:val="0"/>
        <w:spacing w:after="0" w:line="240" w:lineRule="auto"/>
        <w:ind w:left="1985" w:hanging="567"/>
        <w:jc w:val="both"/>
        <w:rPr>
          <w:rFonts w:cs="Arial"/>
          <w:lang w:val="fr-FR"/>
        </w:rPr>
      </w:pPr>
      <w:r w:rsidRPr="00870C5D">
        <w:rPr>
          <w:rFonts w:cs="Arial"/>
          <w:lang w:val="fr-FR"/>
        </w:rPr>
        <w:t xml:space="preserve">porte les Plans d’action à l’attention de tous les États de l’aire de répartition et organisations intergouvernementales, invite les États de l’aire de répartition qui ne sont pas encore Parties à la CMS à ratifier ou accéder à la Convention (ou au moins soutenir le plan d’action pertinent), et suivre la mise en œuvre de ces plans d’action au cours de la période intersessions jusqu’à la </w:t>
      </w:r>
      <w:r w:rsidRPr="00870C5D">
        <w:rPr>
          <w:rFonts w:cs="Arial"/>
          <w:strike/>
          <w:lang w:val="fr-FR"/>
        </w:rPr>
        <w:t>13</w:t>
      </w:r>
      <w:r w:rsidRPr="00870C5D">
        <w:rPr>
          <w:rFonts w:cs="Arial"/>
          <w:u w:val="single"/>
          <w:lang w:val="fr-FR"/>
        </w:rPr>
        <w:t>14</w:t>
      </w:r>
      <w:r w:rsidRPr="00870C5D">
        <w:rPr>
          <w:rFonts w:cs="Arial"/>
          <w:vertAlign w:val="superscript"/>
          <w:lang w:val="fr-FR"/>
        </w:rPr>
        <w:t>e</w:t>
      </w:r>
      <w:r w:rsidRPr="00870C5D">
        <w:rPr>
          <w:rFonts w:cs="Arial"/>
          <w:lang w:val="fr-FR"/>
        </w:rPr>
        <w:t xml:space="preserve"> réunion de la Conférence des Parties ;</w:t>
      </w:r>
    </w:p>
    <w:p w:rsidR="00870C5D" w:rsidRPr="00870C5D" w:rsidRDefault="00870C5D" w:rsidP="00B153EC">
      <w:pPr>
        <w:pStyle w:val="ListParagraph"/>
        <w:autoSpaceDN w:val="0"/>
        <w:spacing w:after="0" w:line="240" w:lineRule="auto"/>
        <w:ind w:left="1985" w:hanging="567"/>
        <w:jc w:val="both"/>
        <w:rPr>
          <w:rFonts w:cs="Arial"/>
          <w:lang w:val="fr-FR"/>
        </w:rPr>
      </w:pPr>
    </w:p>
    <w:p w:rsidR="00870C5D" w:rsidRPr="00870C5D" w:rsidRDefault="00870C5D" w:rsidP="00B153EC">
      <w:pPr>
        <w:pStyle w:val="ListParagraph"/>
        <w:numPr>
          <w:ilvl w:val="0"/>
          <w:numId w:val="11"/>
        </w:numPr>
        <w:autoSpaceDN w:val="0"/>
        <w:spacing w:after="0" w:line="240" w:lineRule="auto"/>
        <w:ind w:left="1985" w:hanging="567"/>
        <w:jc w:val="both"/>
        <w:rPr>
          <w:rFonts w:cs="Arial"/>
          <w:lang w:val="fr-FR"/>
        </w:rPr>
      </w:pPr>
      <w:r w:rsidRPr="00870C5D">
        <w:rPr>
          <w:rFonts w:cs="Arial"/>
          <w:lang w:val="fr-FR"/>
        </w:rPr>
        <w:t>coordonne avec le Secrétariat du Partenariat sur l</w:t>
      </w:r>
      <w:r w:rsidR="00214BAF">
        <w:rPr>
          <w:rFonts w:cs="Arial"/>
          <w:lang w:val="fr-FR"/>
        </w:rPr>
        <w:t>’itinéraire aérien</w:t>
      </w:r>
      <w:r w:rsidRPr="00870C5D">
        <w:rPr>
          <w:rFonts w:cs="Arial"/>
          <w:lang w:val="fr-FR"/>
        </w:rPr>
        <w:t xml:space="preserve"> Asie orientale-Australasie (EAAFP) dans le cadre de la mise en œuvre des Plans d’action pour le fuligule de Baer et le courlis de Sibérie</w:t>
      </w:r>
      <w:r w:rsidRPr="00870C5D">
        <w:rPr>
          <w:rFonts w:cs="Arial"/>
          <w:u w:val="single"/>
          <w:lang w:val="fr-FR"/>
        </w:rPr>
        <w:t xml:space="preserve"> et avec le Secrétariat de l’Accord sur la conservation des oiseaux d’eau migrateurs d’Afrique de l’Eurasie (AEWA) pour les Plans d’action pour le pélican frisé et l’</w:t>
      </w:r>
      <w:proofErr w:type="spellStart"/>
      <w:r w:rsidRPr="00870C5D">
        <w:rPr>
          <w:rFonts w:cs="Arial"/>
          <w:u w:val="single"/>
          <w:lang w:val="fr-FR"/>
        </w:rPr>
        <w:t>érismature</w:t>
      </w:r>
      <w:proofErr w:type="spellEnd"/>
      <w:r w:rsidRPr="00870C5D">
        <w:rPr>
          <w:rFonts w:cs="Arial"/>
          <w:u w:val="single"/>
          <w:lang w:val="fr-FR"/>
        </w:rPr>
        <w:t xml:space="preserve"> à tête blanche</w:t>
      </w:r>
      <w:r w:rsidRPr="00870C5D">
        <w:rPr>
          <w:rFonts w:cs="Arial"/>
          <w:lang w:val="fr-FR"/>
        </w:rPr>
        <w:t xml:space="preserve"> au cours de la période intersessions </w:t>
      </w:r>
      <w:r w:rsidR="00B153EC">
        <w:rPr>
          <w:rFonts w:cs="Arial"/>
          <w:lang w:val="fr-FR"/>
        </w:rPr>
        <w:t>en amont de</w:t>
      </w:r>
      <w:r w:rsidRPr="00870C5D">
        <w:rPr>
          <w:rFonts w:cs="Arial"/>
          <w:lang w:val="fr-FR"/>
        </w:rPr>
        <w:t xml:space="preserve"> la </w:t>
      </w:r>
      <w:r w:rsidRPr="00870C5D">
        <w:rPr>
          <w:rFonts w:cs="Arial"/>
          <w:strike/>
          <w:lang w:val="fr-FR"/>
        </w:rPr>
        <w:t>13</w:t>
      </w:r>
      <w:r w:rsidRPr="00870C5D">
        <w:rPr>
          <w:rFonts w:cs="Arial"/>
          <w:u w:val="single"/>
          <w:lang w:val="fr-FR"/>
        </w:rPr>
        <w:t>14</w:t>
      </w:r>
      <w:r w:rsidRPr="00870C5D">
        <w:rPr>
          <w:rFonts w:cs="Arial"/>
          <w:vertAlign w:val="superscript"/>
          <w:lang w:val="fr-FR"/>
        </w:rPr>
        <w:t>e</w:t>
      </w:r>
      <w:r w:rsidRPr="00870C5D">
        <w:rPr>
          <w:rFonts w:cs="Arial"/>
          <w:lang w:val="fr-FR"/>
        </w:rPr>
        <w:t xml:space="preserve"> </w:t>
      </w:r>
      <w:r w:rsidR="00B153EC">
        <w:rPr>
          <w:rFonts w:cs="Arial"/>
          <w:lang w:val="fr-FR"/>
        </w:rPr>
        <w:t>session</w:t>
      </w:r>
      <w:r w:rsidRPr="00870C5D">
        <w:rPr>
          <w:rFonts w:cs="Arial"/>
          <w:lang w:val="fr-FR"/>
        </w:rPr>
        <w:t xml:space="preserve"> de la Conférence des Parties.</w:t>
      </w:r>
    </w:p>
    <w:p w:rsidR="00870C5D" w:rsidRPr="00870C5D" w:rsidRDefault="00870C5D" w:rsidP="00870C5D">
      <w:pPr>
        <w:pStyle w:val="ListParagraph"/>
        <w:autoSpaceDN w:val="0"/>
        <w:spacing w:after="0" w:line="240" w:lineRule="auto"/>
        <w:jc w:val="both"/>
        <w:rPr>
          <w:rFonts w:cs="Arial"/>
          <w:lang w:val="fr-FR"/>
        </w:rPr>
      </w:pPr>
    </w:p>
    <w:p w:rsidR="00870C5D" w:rsidRPr="00870C5D" w:rsidRDefault="00214BAF" w:rsidP="00870C5D">
      <w:pPr>
        <w:autoSpaceDN w:val="0"/>
        <w:spacing w:after="0" w:line="240" w:lineRule="auto"/>
        <w:jc w:val="both"/>
        <w:rPr>
          <w:rFonts w:cs="Arial"/>
          <w:b/>
          <w:i/>
          <w:lang w:val="fr-FR"/>
        </w:rPr>
      </w:pPr>
      <w:r>
        <w:rPr>
          <w:rFonts w:cs="Arial"/>
          <w:b/>
          <w:i/>
          <w:lang w:val="fr-FR"/>
        </w:rPr>
        <w:t>Adressé au</w:t>
      </w:r>
      <w:r w:rsidR="00870C5D" w:rsidRPr="00870C5D">
        <w:rPr>
          <w:rFonts w:cs="Arial"/>
          <w:b/>
          <w:i/>
          <w:lang w:val="fr-FR"/>
        </w:rPr>
        <w:t xml:space="preserve"> Comité permanent</w:t>
      </w:r>
    </w:p>
    <w:p w:rsidR="00870C5D" w:rsidRPr="00870C5D" w:rsidRDefault="00870C5D" w:rsidP="00870C5D">
      <w:pPr>
        <w:autoSpaceDN w:val="0"/>
        <w:spacing w:after="0" w:line="240" w:lineRule="auto"/>
        <w:jc w:val="both"/>
        <w:rPr>
          <w:rFonts w:cs="Arial"/>
          <w:lang w:val="fr-FR"/>
        </w:rPr>
      </w:pPr>
    </w:p>
    <w:p w:rsidR="00870C5D" w:rsidRPr="00870C5D" w:rsidRDefault="00870C5D" w:rsidP="00870C5D">
      <w:pPr>
        <w:autoSpaceDN w:val="0"/>
        <w:spacing w:after="0" w:line="240" w:lineRule="auto"/>
        <w:jc w:val="both"/>
        <w:rPr>
          <w:rFonts w:cs="Arial"/>
          <w:lang w:val="fr-FR"/>
        </w:rPr>
      </w:pPr>
      <w:r w:rsidRPr="00870C5D">
        <w:rPr>
          <w:rFonts w:cs="Arial"/>
          <w:lang w:val="fr-FR"/>
        </w:rPr>
        <w:t>13.BB (12.21)</w:t>
      </w:r>
    </w:p>
    <w:p w:rsidR="00870C5D" w:rsidRPr="00870C5D" w:rsidRDefault="00870C5D" w:rsidP="00870C5D">
      <w:pPr>
        <w:autoSpaceDN w:val="0"/>
        <w:spacing w:after="0" w:line="240" w:lineRule="auto"/>
        <w:jc w:val="both"/>
        <w:rPr>
          <w:rFonts w:cs="Arial"/>
          <w:lang w:val="fr-FR"/>
        </w:rPr>
      </w:pPr>
    </w:p>
    <w:p w:rsidR="00870C5D" w:rsidRPr="00870C5D" w:rsidRDefault="00870C5D" w:rsidP="00B153EC">
      <w:pPr>
        <w:autoSpaceDN w:val="0"/>
        <w:spacing w:after="0" w:line="240" w:lineRule="auto"/>
        <w:ind w:left="1418"/>
        <w:jc w:val="both"/>
        <w:rPr>
          <w:rFonts w:cs="Arial"/>
          <w:lang w:val="fr-FR"/>
        </w:rPr>
      </w:pPr>
      <w:r w:rsidRPr="00870C5D">
        <w:rPr>
          <w:rFonts w:cs="Arial"/>
          <w:lang w:val="fr-FR"/>
        </w:rPr>
        <w:t xml:space="preserve">Le Comité permanent </w:t>
      </w:r>
      <w:r w:rsidRPr="00870C5D">
        <w:rPr>
          <w:lang w:val="fr-FR"/>
        </w:rPr>
        <w:t>est autorisé à</w:t>
      </w:r>
      <w:r w:rsidRPr="00870C5D">
        <w:rPr>
          <w:rFonts w:cs="Arial"/>
          <w:lang w:val="fr-FR"/>
        </w:rPr>
        <w:t xml:space="preserve"> adopter le</w:t>
      </w:r>
      <w:r w:rsidR="00B153EC" w:rsidRPr="00B153EC">
        <w:rPr>
          <w:rFonts w:cs="Arial"/>
          <w:strike/>
          <w:lang w:val="fr-FR"/>
        </w:rPr>
        <w:t>s</w:t>
      </w:r>
      <w:r w:rsidRPr="00870C5D">
        <w:rPr>
          <w:rFonts w:cs="Arial"/>
          <w:lang w:val="fr-FR"/>
        </w:rPr>
        <w:t xml:space="preserve"> plan</w:t>
      </w:r>
      <w:r w:rsidRPr="00870C5D">
        <w:rPr>
          <w:rFonts w:cs="Arial"/>
          <w:strike/>
          <w:lang w:val="fr-FR"/>
        </w:rPr>
        <w:t>s</w:t>
      </w:r>
      <w:r w:rsidRPr="00870C5D">
        <w:rPr>
          <w:rFonts w:cs="Arial"/>
          <w:lang w:val="fr-FR"/>
        </w:rPr>
        <w:t xml:space="preserve"> d’action pour </w:t>
      </w:r>
      <w:r w:rsidRPr="00B153EC">
        <w:rPr>
          <w:rFonts w:cs="Arial"/>
          <w:strike/>
          <w:lang w:val="fr-FR"/>
        </w:rPr>
        <w:t xml:space="preserve">la </w:t>
      </w:r>
      <w:r w:rsidRPr="00870C5D">
        <w:rPr>
          <w:rFonts w:cs="Arial"/>
          <w:strike/>
          <w:lang w:val="fr-FR"/>
        </w:rPr>
        <w:t>tourterelle des bois,</w:t>
      </w:r>
      <w:r w:rsidRPr="00870C5D">
        <w:rPr>
          <w:rFonts w:cs="Arial"/>
          <w:lang w:val="fr-FR"/>
        </w:rPr>
        <w:t xml:space="preserve"> le bruant auréole</w:t>
      </w:r>
      <w:r w:rsidRPr="00870C5D">
        <w:rPr>
          <w:rFonts w:cs="Arial"/>
          <w:strike/>
          <w:lang w:val="fr-FR"/>
        </w:rPr>
        <w:t xml:space="preserve">, </w:t>
      </w:r>
      <w:r w:rsidR="00B153EC">
        <w:rPr>
          <w:rFonts w:cs="Arial"/>
          <w:strike/>
          <w:lang w:val="fr-FR"/>
        </w:rPr>
        <w:t xml:space="preserve">le pélican dalmate et </w:t>
      </w:r>
      <w:r w:rsidRPr="00870C5D">
        <w:rPr>
          <w:rFonts w:cs="Arial"/>
          <w:strike/>
          <w:lang w:val="fr-FR"/>
        </w:rPr>
        <w:t>l’</w:t>
      </w:r>
      <w:proofErr w:type="spellStart"/>
      <w:r w:rsidRPr="00870C5D">
        <w:rPr>
          <w:rFonts w:cs="Arial"/>
          <w:strike/>
          <w:lang w:val="fr-FR"/>
        </w:rPr>
        <w:t>érismature</w:t>
      </w:r>
      <w:proofErr w:type="spellEnd"/>
      <w:r w:rsidRPr="00870C5D">
        <w:rPr>
          <w:rFonts w:cs="Arial"/>
          <w:strike/>
          <w:lang w:val="fr-FR"/>
        </w:rPr>
        <w:t xml:space="preserve"> à tête blanche</w:t>
      </w:r>
      <w:r w:rsidRPr="00870C5D">
        <w:rPr>
          <w:rFonts w:cs="Arial"/>
          <w:lang w:val="fr-FR"/>
        </w:rPr>
        <w:t>, une fois finalisé</w:t>
      </w:r>
      <w:r w:rsidR="00B153EC" w:rsidRPr="00B153EC">
        <w:rPr>
          <w:rFonts w:cs="Arial"/>
          <w:strike/>
          <w:lang w:val="fr-FR"/>
        </w:rPr>
        <w:t>s</w:t>
      </w:r>
      <w:r w:rsidRPr="00870C5D">
        <w:rPr>
          <w:rFonts w:cs="Arial"/>
          <w:lang w:val="fr-FR"/>
        </w:rPr>
        <w:t xml:space="preserve">, </w:t>
      </w:r>
      <w:r w:rsidR="00B153EC">
        <w:rPr>
          <w:rFonts w:cs="Arial"/>
          <w:lang w:val="fr-FR"/>
        </w:rPr>
        <w:t>dans</w:t>
      </w:r>
      <w:r w:rsidRPr="00870C5D">
        <w:rPr>
          <w:rFonts w:cs="Arial"/>
          <w:lang w:val="fr-FR"/>
        </w:rPr>
        <w:t xml:space="preserve"> la période intersession entre les </w:t>
      </w:r>
      <w:r w:rsidRPr="00870C5D">
        <w:rPr>
          <w:rFonts w:cs="Arial"/>
          <w:strike/>
          <w:lang w:val="fr-FR"/>
        </w:rPr>
        <w:t>12</w:t>
      </w:r>
      <w:r w:rsidRPr="00870C5D">
        <w:rPr>
          <w:rFonts w:cs="Arial"/>
          <w:u w:val="single"/>
          <w:lang w:val="fr-FR"/>
        </w:rPr>
        <w:t>13</w:t>
      </w:r>
      <w:r w:rsidRPr="00870C5D">
        <w:rPr>
          <w:rFonts w:cs="Arial"/>
          <w:vertAlign w:val="superscript"/>
          <w:lang w:val="fr-FR"/>
        </w:rPr>
        <w:t>e</w:t>
      </w:r>
      <w:r w:rsidRPr="00870C5D">
        <w:rPr>
          <w:rFonts w:cs="Arial"/>
          <w:lang w:val="fr-FR"/>
        </w:rPr>
        <w:t xml:space="preserve"> et </w:t>
      </w:r>
      <w:r w:rsidRPr="00870C5D">
        <w:rPr>
          <w:rFonts w:cs="Arial"/>
          <w:strike/>
          <w:lang w:val="fr-FR"/>
        </w:rPr>
        <w:t>13</w:t>
      </w:r>
      <w:r w:rsidRPr="00870C5D">
        <w:rPr>
          <w:rFonts w:cs="Arial"/>
          <w:u w:val="single"/>
          <w:lang w:val="fr-FR"/>
        </w:rPr>
        <w:t>14</w:t>
      </w:r>
      <w:r w:rsidRPr="00870C5D">
        <w:rPr>
          <w:rFonts w:cs="Arial"/>
          <w:vertAlign w:val="superscript"/>
          <w:lang w:val="fr-FR"/>
        </w:rPr>
        <w:t>e</w:t>
      </w:r>
      <w:r w:rsidRPr="00870C5D">
        <w:rPr>
          <w:rFonts w:cs="Arial"/>
          <w:lang w:val="fr-FR"/>
        </w:rPr>
        <w:t xml:space="preserve"> </w:t>
      </w:r>
      <w:r w:rsidR="00B153EC">
        <w:rPr>
          <w:rFonts w:cs="Arial"/>
          <w:lang w:val="fr-FR"/>
        </w:rPr>
        <w:t>Sessions</w:t>
      </w:r>
      <w:r w:rsidRPr="00870C5D">
        <w:rPr>
          <w:rFonts w:cs="Arial"/>
          <w:lang w:val="fr-FR"/>
        </w:rPr>
        <w:t xml:space="preserve"> de la Conférence des Parties. </w:t>
      </w:r>
    </w:p>
    <w:p w:rsidR="00870C5D" w:rsidRPr="00870C5D" w:rsidRDefault="00870C5D" w:rsidP="00870C5D">
      <w:pPr>
        <w:autoSpaceDN w:val="0"/>
        <w:spacing w:after="0" w:line="240" w:lineRule="auto"/>
        <w:jc w:val="both"/>
        <w:rPr>
          <w:rFonts w:cs="Arial"/>
          <w:lang w:val="fr-FR"/>
        </w:rPr>
      </w:pPr>
    </w:p>
    <w:p w:rsidR="00870C5D" w:rsidRPr="00870C5D" w:rsidRDefault="00870C5D" w:rsidP="00870C5D">
      <w:pPr>
        <w:spacing w:after="0" w:line="240" w:lineRule="auto"/>
        <w:rPr>
          <w:lang w:val="fr-FR"/>
        </w:rPr>
      </w:pPr>
    </w:p>
    <w:p w:rsidR="00870C5D" w:rsidRPr="00870C5D" w:rsidRDefault="00870C5D" w:rsidP="00870C5D">
      <w:pPr>
        <w:spacing w:after="0" w:line="240" w:lineRule="auto"/>
        <w:rPr>
          <w:lang w:val="fr-FR"/>
        </w:rPr>
      </w:pPr>
    </w:p>
    <w:p w:rsidR="00870C5D" w:rsidRPr="00870C5D" w:rsidRDefault="00870C5D" w:rsidP="00870C5D">
      <w:pPr>
        <w:spacing w:after="0" w:line="240" w:lineRule="auto"/>
        <w:rPr>
          <w:lang w:val="fr-FR"/>
        </w:rPr>
      </w:pPr>
    </w:p>
    <w:p w:rsidR="00870C5D" w:rsidRPr="00870C5D" w:rsidRDefault="00870C5D" w:rsidP="00870C5D">
      <w:pPr>
        <w:spacing w:after="0" w:line="240" w:lineRule="auto"/>
        <w:rPr>
          <w:lang w:val="fr-FR"/>
        </w:rPr>
      </w:pPr>
    </w:p>
    <w:p w:rsidR="00870C5D" w:rsidRPr="00870C5D" w:rsidRDefault="00870C5D" w:rsidP="00870C5D">
      <w:pPr>
        <w:spacing w:after="0" w:line="240" w:lineRule="auto"/>
        <w:rPr>
          <w:lang w:val="fr-FR"/>
        </w:rPr>
      </w:pPr>
    </w:p>
    <w:p w:rsidR="00870C5D" w:rsidRPr="00870C5D" w:rsidRDefault="00870C5D" w:rsidP="00870C5D">
      <w:pPr>
        <w:rPr>
          <w:lang w:val="fr-FR"/>
        </w:rPr>
      </w:pPr>
      <w:bookmarkStart w:id="6" w:name="_GoBack"/>
      <w:bookmarkEnd w:id="6"/>
    </w:p>
    <w:sectPr w:rsidR="00870C5D" w:rsidRPr="00870C5D" w:rsidSect="00D71837">
      <w:headerReference w:type="first" r:id="rId2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50124148"/>
      <w:docPartObj>
        <w:docPartGallery w:val="Page Numbers (Bottom of Page)"/>
        <w:docPartUnique/>
      </w:docPartObj>
    </w:sdtPr>
    <w:sdtEndPr>
      <w:rPr>
        <w:noProof/>
      </w:rPr>
    </w:sdtEndPr>
    <w:sdtContent>
      <w:p w:rsidR="00B0679D" w:rsidRPr="00B0679D" w:rsidRDefault="00B0679D" w:rsidP="00B0679D">
        <w:pPr>
          <w:pStyle w:val="Footer"/>
          <w:jc w:val="center"/>
          <w:rPr>
            <w:sz w:val="18"/>
            <w:szCs w:val="18"/>
          </w:rPr>
        </w:pPr>
        <w:r w:rsidRPr="00B0679D">
          <w:rPr>
            <w:sz w:val="18"/>
            <w:szCs w:val="18"/>
          </w:rPr>
          <w:fldChar w:fldCharType="begin"/>
        </w:r>
        <w:r w:rsidRPr="00B0679D">
          <w:rPr>
            <w:sz w:val="18"/>
            <w:szCs w:val="18"/>
          </w:rPr>
          <w:instrText xml:space="preserve"> PAGE   \* MERGEFORMAT </w:instrText>
        </w:r>
        <w:r w:rsidRPr="00B0679D">
          <w:rPr>
            <w:sz w:val="18"/>
            <w:szCs w:val="18"/>
          </w:rPr>
          <w:fldChar w:fldCharType="separate"/>
        </w:r>
        <w:r w:rsidRPr="00B0679D">
          <w:rPr>
            <w:noProof/>
            <w:sz w:val="18"/>
            <w:szCs w:val="18"/>
          </w:rPr>
          <w:t>2</w:t>
        </w:r>
        <w:r w:rsidRPr="00B0679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870C5D" w:rsidRDefault="00870C5D" w:rsidP="00870C5D">
      <w:pPr>
        <w:pStyle w:val="FootnoteText"/>
        <w:rPr>
          <w:sz w:val="16"/>
          <w:u w:val="single"/>
        </w:rPr>
      </w:pPr>
      <w:r>
        <w:rPr>
          <w:rStyle w:val="FootnoteReference"/>
          <w:sz w:val="16"/>
        </w:rPr>
        <w:footnoteRef/>
      </w:r>
      <w:r>
        <w:rPr>
          <w:sz w:val="16"/>
          <w:u w:val="single"/>
        </w:rPr>
        <w:t xml:space="preserve">Maintenant regroupés dans la Résolution 12.11 </w:t>
      </w:r>
      <w:r>
        <w:rPr>
          <w:i/>
          <w:sz w:val="16"/>
          <w:u w:val="single"/>
        </w:rPr>
        <w:t>Voies de migration</w:t>
      </w:r>
    </w:p>
  </w:footnote>
  <w:footnote w:id="2">
    <w:p w:rsidR="00870C5D" w:rsidRDefault="00870C5D" w:rsidP="00870C5D">
      <w:pPr>
        <w:pStyle w:val="FootnoteText"/>
      </w:pPr>
      <w:r>
        <w:rPr>
          <w:rStyle w:val="FootnoteReference"/>
          <w:sz w:val="16"/>
          <w:u w:val="single"/>
        </w:rPr>
        <w:footnoteRef/>
      </w:r>
      <w:r>
        <w:rPr>
          <w:sz w:val="16"/>
          <w:u w:val="single"/>
        </w:rPr>
        <w:t xml:space="preserve"> Maintenant regroupés dans la Résolution 12.28 </w:t>
      </w:r>
      <w:r>
        <w:rPr>
          <w:i/>
          <w:sz w:val="16"/>
          <w:u w:val="single"/>
        </w:rPr>
        <w:t>Actions concertées</w:t>
      </w:r>
      <w:r>
        <w:rPr>
          <w:sz w:val="16"/>
          <w:u w:val="single"/>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263AF"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E263AF">
      <w:rPr>
        <w:rFonts w:eastAsia="Arial" w:cs="Arial"/>
        <w:i/>
        <w:sz w:val="18"/>
        <w:szCs w:val="18"/>
        <w:lang w:val="fr-FR"/>
      </w:rPr>
      <w:t>26.1.5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AF" w:rsidRPr="00E263AF" w:rsidRDefault="00E263AF" w:rsidP="00E263A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26.1.5</w:t>
    </w:r>
  </w:p>
  <w:p w:rsidR="00EC2A58" w:rsidRPr="00E263AF" w:rsidRDefault="00EC2A58" w:rsidP="00E2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9D" w:rsidRPr="00E263AF" w:rsidRDefault="00B0679D" w:rsidP="00E263A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26.1.5</w:t>
    </w:r>
    <w:r>
      <w:rPr>
        <w:rFonts w:eastAsia="Arial" w:cs="Arial"/>
        <w:i/>
        <w:sz w:val="18"/>
        <w:szCs w:val="18"/>
        <w:lang w:val="fr-FR"/>
      </w:rPr>
      <w:t>/Annexe 1</w:t>
    </w:r>
  </w:p>
  <w:p w:rsidR="00B0679D" w:rsidRPr="00E263AF" w:rsidRDefault="00B0679D" w:rsidP="00E263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EA" w:rsidRPr="00B95EEA" w:rsidRDefault="00B95EEA" w:rsidP="00B95EEA">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B95EEA">
      <w:rPr>
        <w:rFonts w:eastAsia="Arial" w:cs="Arial"/>
        <w:i/>
        <w:sz w:val="18"/>
        <w:szCs w:val="18"/>
        <w:lang w:val="en-GB"/>
      </w:rPr>
      <w:t>UNEP/CMS/COP13/Doc.26.1.5</w:t>
    </w:r>
    <w:r w:rsidRPr="00B95EEA">
      <w:rPr>
        <w:rFonts w:eastAsia="Arial" w:cs="Arial"/>
        <w:i/>
        <w:sz w:val="18"/>
        <w:szCs w:val="18"/>
        <w:lang w:val="en-GB"/>
      </w:rPr>
      <w:t>/An</w:t>
    </w:r>
    <w:r>
      <w:rPr>
        <w:rFonts w:eastAsia="Arial" w:cs="Arial"/>
        <w:i/>
        <w:sz w:val="18"/>
        <w:szCs w:val="18"/>
        <w:lang w:val="en-GB"/>
      </w:rPr>
      <w:t>nexe 1</w:t>
    </w:r>
  </w:p>
  <w:p w:rsidR="00B95EEA" w:rsidRPr="00B95EEA" w:rsidRDefault="00B95EEA" w:rsidP="00B95E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BAF" w:rsidRPr="00B95EEA" w:rsidRDefault="00214BAF" w:rsidP="00B95EEA">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B95EEA">
      <w:rPr>
        <w:rFonts w:eastAsia="Arial" w:cs="Arial"/>
        <w:i/>
        <w:sz w:val="18"/>
        <w:szCs w:val="18"/>
        <w:lang w:val="en-GB"/>
      </w:rPr>
      <w:t>UNEP/CMS/COP13/Doc.26.1.5</w:t>
    </w:r>
    <w:r w:rsidRPr="00B95EEA">
      <w:rPr>
        <w:rFonts w:eastAsia="Arial" w:cs="Arial"/>
        <w:i/>
        <w:sz w:val="18"/>
        <w:szCs w:val="18"/>
        <w:lang w:val="en-GB"/>
      </w:rPr>
      <w:t>/An</w:t>
    </w:r>
    <w:r>
      <w:rPr>
        <w:rFonts w:eastAsia="Arial" w:cs="Arial"/>
        <w:i/>
        <w:sz w:val="18"/>
        <w:szCs w:val="18"/>
        <w:lang w:val="en-GB"/>
      </w:rPr>
      <w:t>nexe 2</w:t>
    </w:r>
  </w:p>
  <w:p w:rsidR="00214BAF" w:rsidRPr="00B95EEA" w:rsidRDefault="00214BAF" w:rsidP="00B95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16A7"/>
    <w:multiLevelType w:val="hybridMultilevel"/>
    <w:tmpl w:val="75BC35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60D21CD"/>
    <w:multiLevelType w:val="hybridMultilevel"/>
    <w:tmpl w:val="C9F076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3F7345"/>
    <w:multiLevelType w:val="hybridMultilevel"/>
    <w:tmpl w:val="8A94F2CE"/>
    <w:lvl w:ilvl="0" w:tplc="65E209BC">
      <w:start w:val="1"/>
      <w:numFmt w:val="decimal"/>
      <w:lvlText w:val="%1."/>
      <w:lvlJc w:val="left"/>
      <w:pPr>
        <w:ind w:left="360" w:hanging="360"/>
      </w:pPr>
      <w:rPr>
        <w:rFonts w:ascii="Arial" w:hAnsi="Arial" w:cs="Times New Roman"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293" w:hanging="720"/>
      </w:pPr>
    </w:lvl>
    <w:lvl w:ilvl="1" w:tplc="08090019">
      <w:start w:val="1"/>
      <w:numFmt w:val="lowerLetter"/>
      <w:lvlText w:val="%2."/>
      <w:lvlJc w:val="left"/>
      <w:pPr>
        <w:ind w:left="1653" w:hanging="360"/>
      </w:pPr>
    </w:lvl>
    <w:lvl w:ilvl="2" w:tplc="0809001B">
      <w:start w:val="1"/>
      <w:numFmt w:val="lowerRoman"/>
      <w:lvlText w:val="%3."/>
      <w:lvlJc w:val="right"/>
      <w:pPr>
        <w:ind w:left="2373" w:hanging="180"/>
      </w:pPr>
    </w:lvl>
    <w:lvl w:ilvl="3" w:tplc="0809000F">
      <w:start w:val="1"/>
      <w:numFmt w:val="decimal"/>
      <w:lvlText w:val="%4."/>
      <w:lvlJc w:val="left"/>
      <w:pPr>
        <w:ind w:left="3093" w:hanging="360"/>
      </w:pPr>
    </w:lvl>
    <w:lvl w:ilvl="4" w:tplc="08090019">
      <w:start w:val="1"/>
      <w:numFmt w:val="lowerLetter"/>
      <w:lvlText w:val="%5."/>
      <w:lvlJc w:val="left"/>
      <w:pPr>
        <w:ind w:left="3813" w:hanging="360"/>
      </w:pPr>
    </w:lvl>
    <w:lvl w:ilvl="5" w:tplc="0809001B">
      <w:start w:val="1"/>
      <w:numFmt w:val="lowerRoman"/>
      <w:lvlText w:val="%6."/>
      <w:lvlJc w:val="right"/>
      <w:pPr>
        <w:ind w:left="4533" w:hanging="180"/>
      </w:pPr>
    </w:lvl>
    <w:lvl w:ilvl="6" w:tplc="0809000F">
      <w:start w:val="1"/>
      <w:numFmt w:val="decimal"/>
      <w:lvlText w:val="%7."/>
      <w:lvlJc w:val="left"/>
      <w:pPr>
        <w:ind w:left="5253" w:hanging="360"/>
      </w:pPr>
    </w:lvl>
    <w:lvl w:ilvl="7" w:tplc="08090019">
      <w:start w:val="1"/>
      <w:numFmt w:val="lowerLetter"/>
      <w:lvlText w:val="%8."/>
      <w:lvlJc w:val="left"/>
      <w:pPr>
        <w:ind w:left="5973" w:hanging="360"/>
      </w:pPr>
    </w:lvl>
    <w:lvl w:ilvl="8" w:tplc="0809001B">
      <w:start w:val="1"/>
      <w:numFmt w:val="lowerRoman"/>
      <w:lvlText w:val="%9."/>
      <w:lvlJc w:val="right"/>
      <w:pPr>
        <w:ind w:left="6693" w:hanging="180"/>
      </w:pPr>
    </w:lvl>
  </w:abstractNum>
  <w:num w:numId="1">
    <w:abstractNumId w:val="3"/>
  </w:num>
  <w:num w:numId="2">
    <w:abstractNumId w:val="7"/>
  </w:num>
  <w:num w:numId="3">
    <w:abstractNumId w:val="8"/>
  </w:num>
  <w:num w:numId="4">
    <w:abstractNumId w:val="6"/>
  </w:num>
  <w:num w:numId="5">
    <w:abstractNumId w:val="1"/>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14BAF"/>
    <w:rsid w:val="0026594E"/>
    <w:rsid w:val="00293B2E"/>
    <w:rsid w:val="004D2819"/>
    <w:rsid w:val="005330F7"/>
    <w:rsid w:val="00563598"/>
    <w:rsid w:val="00705C1D"/>
    <w:rsid w:val="00853DCA"/>
    <w:rsid w:val="00870459"/>
    <w:rsid w:val="00870C5D"/>
    <w:rsid w:val="00882CD0"/>
    <w:rsid w:val="00896FBB"/>
    <w:rsid w:val="008C067D"/>
    <w:rsid w:val="00A02506"/>
    <w:rsid w:val="00AB773C"/>
    <w:rsid w:val="00B0679D"/>
    <w:rsid w:val="00B153EC"/>
    <w:rsid w:val="00B95EEA"/>
    <w:rsid w:val="00C771C2"/>
    <w:rsid w:val="00C87CA3"/>
    <w:rsid w:val="00D67AF1"/>
    <w:rsid w:val="00D71837"/>
    <w:rsid w:val="00E263AF"/>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6729"/>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semiHidden/>
    <w:unhideWhenUsed/>
    <w:rsid w:val="00870C5D"/>
    <w:rPr>
      <w:color w:val="0563C1" w:themeColor="hyperlink"/>
      <w:u w:val="single"/>
    </w:rPr>
  </w:style>
  <w:style w:type="paragraph" w:styleId="FootnoteText">
    <w:name w:val="footnote text"/>
    <w:basedOn w:val="Normal"/>
    <w:link w:val="FootnoteTextChar"/>
    <w:uiPriority w:val="99"/>
    <w:semiHidden/>
    <w:unhideWhenUsed/>
    <w:rsid w:val="00870C5D"/>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870C5D"/>
    <w:rPr>
      <w:sz w:val="20"/>
      <w:szCs w:val="20"/>
      <w:lang w:val="fr-FR"/>
    </w:rPr>
  </w:style>
  <w:style w:type="character" w:styleId="FootnoteReference">
    <w:name w:val="footnote reference"/>
    <w:basedOn w:val="DefaultParagraphFont"/>
    <w:uiPriority w:val="99"/>
    <w:semiHidden/>
    <w:unhideWhenUsed/>
    <w:rsid w:val="00870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7554">
      <w:bodyDiv w:val="1"/>
      <w:marLeft w:val="0"/>
      <w:marRight w:val="0"/>
      <w:marTop w:val="0"/>
      <w:marBottom w:val="0"/>
      <w:divBdr>
        <w:top w:val="none" w:sz="0" w:space="0" w:color="auto"/>
        <w:left w:val="none" w:sz="0" w:space="0" w:color="auto"/>
        <w:bottom w:val="none" w:sz="0" w:space="0" w:color="auto"/>
        <w:right w:val="none" w:sz="0" w:space="0" w:color="auto"/>
      </w:divBdr>
    </w:div>
    <w:div w:id="455835081">
      <w:bodyDiv w:val="1"/>
      <w:marLeft w:val="0"/>
      <w:marRight w:val="0"/>
      <w:marTop w:val="0"/>
      <w:marBottom w:val="0"/>
      <w:divBdr>
        <w:top w:val="none" w:sz="0" w:space="0" w:color="auto"/>
        <w:left w:val="none" w:sz="0" w:space="0" w:color="auto"/>
        <w:bottom w:val="none" w:sz="0" w:space="0" w:color="auto"/>
        <w:right w:val="none" w:sz="0" w:space="0" w:color="auto"/>
      </w:divBdr>
    </w:div>
    <w:div w:id="1468473180">
      <w:bodyDiv w:val="1"/>
      <w:marLeft w:val="0"/>
      <w:marRight w:val="0"/>
      <w:marTop w:val="0"/>
      <w:marBottom w:val="0"/>
      <w:divBdr>
        <w:top w:val="none" w:sz="0" w:space="0" w:color="auto"/>
        <w:left w:val="none" w:sz="0" w:space="0" w:color="auto"/>
        <w:bottom w:val="none" w:sz="0" w:space="0" w:color="auto"/>
        <w:right w:val="none" w:sz="0" w:space="0" w:color="auto"/>
      </w:divBdr>
    </w:div>
    <w:div w:id="18839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action-plans-birds-0" TargetMode="External"/><Relationship Id="rId13" Type="http://schemas.openxmlformats.org/officeDocument/2006/relationships/hyperlink" Target="https://www.cms.int/en/document/annex-1-international-single-species-action-plan-conservation-white-headed-duck"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s://www.cms.int/en/document/action-plan-european-roller-0"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eaaflyway.net/wp-content/uploads/2018/04/Hengshui-Declaration-.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action-plan-far-eastern-curlew"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ms.int/en/document/annex-3-international-single-species-plan-conservation-dalmatian-pelican" TargetMode="External"/><Relationship Id="rId23" Type="http://schemas.openxmlformats.org/officeDocument/2006/relationships/header" Target="header5.xml"/><Relationship Id="rId10" Type="http://schemas.openxmlformats.org/officeDocument/2006/relationships/hyperlink" Target="https://www.cms.int/en/document/action-plan-baer%E2%80%99s-pochar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ms.int/en/document/adoption-bird-species-action-plans" TargetMode="External"/><Relationship Id="rId14" Type="http://schemas.openxmlformats.org/officeDocument/2006/relationships/hyperlink" Target="https://www.cms.int/en/document/annex-2-international-single-species-action-plan-conservation-european-turtle-dove" TargetMode="Externa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2019-10-11T13:05:00Z</dcterms:created>
  <dcterms:modified xsi:type="dcterms:W3CDTF">2019-10-11T13:05:00Z</dcterms:modified>
</cp:coreProperties>
</file>