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042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790422">
              <w:rPr>
                <w:rFonts w:eastAsia="Times New Roman" w:cs="Arial"/>
                <w:szCs w:val="24"/>
                <w:lang w:val="fr-FR" w:eastAsia="es-ES"/>
              </w:rPr>
              <w:t>UNEP/CMS/COP13/Doc.</w:t>
            </w:r>
            <w:r w:rsidR="00F04234">
              <w:rPr>
                <w:rFonts w:eastAsia="Times New Roman" w:cs="Arial"/>
                <w:szCs w:val="24"/>
                <w:lang w:val="fr-FR" w:eastAsia="es-ES"/>
              </w:rPr>
              <w:t>23.2</w:t>
            </w:r>
          </w:p>
          <w:p w:rsidR="00002A97" w:rsidRPr="00790422" w:rsidRDefault="00F0423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29 de </w:t>
            </w:r>
            <w:proofErr w:type="spellStart"/>
            <w:r>
              <w:rPr>
                <w:rFonts w:eastAsia="Times New Roman" w:cs="Arial"/>
                <w:szCs w:val="24"/>
                <w:lang w:val="fr-FR" w:eastAsia="es-ES"/>
              </w:rPr>
              <w:t>noviembre</w:t>
            </w:r>
            <w:bookmarkStart w:id="0" w:name="_GoBack"/>
            <w:bookmarkEnd w:id="0"/>
            <w:proofErr w:type="spellEnd"/>
            <w:r w:rsidR="00EF1D13" w:rsidRPr="00790422">
              <w:rPr>
                <w:rFonts w:eastAsia="Times New Roman" w:cs="Arial"/>
                <w:szCs w:val="24"/>
                <w:lang w:val="fr-FR" w:eastAsia="es-ES"/>
              </w:rPr>
              <w:t xml:space="preserve"> </w:t>
            </w:r>
            <w:r w:rsidR="00002A97" w:rsidRPr="00790422">
              <w:rPr>
                <w:rFonts w:eastAsia="Times New Roman" w:cs="Arial"/>
                <w:szCs w:val="24"/>
                <w:lang w:val="fr-FR"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04234">
        <w:rPr>
          <w:rFonts w:eastAsia="Times New Roman" w:cs="Arial"/>
          <w:szCs w:val="24"/>
          <w:lang w:val="es-ES" w:eastAsia="es-ES"/>
        </w:rPr>
        <w:t>23.2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F04234"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997E11">
        <w:rPr>
          <w:rFonts w:cs="Arial"/>
          <w:b/>
          <w:bCs/>
          <w:snapToGrid w:val="0"/>
          <w:lang w:val="es-ES"/>
        </w:rPr>
        <w:t>REVISIÓN DE LAS RESOLUCIONES: DECISIONES 12.11 Y 12.12</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F04234">
        <w:rPr>
          <w:rFonts w:eastAsia="Times New Roman" w:cs="Arial"/>
          <w:i/>
          <w:szCs w:val="24"/>
          <w:lang w:val="es-ES" w:eastAsia="es-ES"/>
        </w:rPr>
        <w:t>el Consejo Científico</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F04234"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718185</wp:posOffset>
                </wp:positionH>
                <wp:positionV relativeFrom="paragraph">
                  <wp:posOffset>147955</wp:posOffset>
                </wp:positionV>
                <wp:extent cx="4591050" cy="38957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3895725"/>
                        </a:xfrm>
                        <a:prstGeom prst="rect">
                          <a:avLst/>
                        </a:prstGeom>
                        <a:solidFill>
                          <a:srgbClr val="FFFFFF"/>
                        </a:solidFill>
                        <a:ln w="3172">
                          <a:solidFill>
                            <a:srgbClr val="000000"/>
                          </a:solidFill>
                          <a:prstDash val="solid"/>
                        </a:ln>
                      </wps:spPr>
                      <wps:txbx>
                        <w:txbxContent>
                          <w:p w:rsidR="00002A97" w:rsidRDefault="00002A97" w:rsidP="00F04234">
                            <w:pPr>
                              <w:spacing w:after="0" w:line="240" w:lineRule="auto"/>
                              <w:rPr>
                                <w:rFonts w:cs="Arial"/>
                                <w:lang w:val="es-ES"/>
                              </w:rPr>
                            </w:pPr>
                            <w:r>
                              <w:rPr>
                                <w:rFonts w:cs="Arial"/>
                                <w:lang w:val="es-ES"/>
                              </w:rPr>
                              <w:t>Resumen:</w:t>
                            </w:r>
                          </w:p>
                          <w:p w:rsidR="00002A97" w:rsidRDefault="00002A97" w:rsidP="00F04234">
                            <w:pPr>
                              <w:spacing w:after="0" w:line="240" w:lineRule="auto"/>
                              <w:rPr>
                                <w:rFonts w:cs="Arial"/>
                                <w:lang w:val="es-ES"/>
                              </w:rPr>
                            </w:pPr>
                          </w:p>
                          <w:p w:rsidR="00F04234" w:rsidRPr="00F04234" w:rsidRDefault="00F04234" w:rsidP="00F04234">
                            <w:pPr>
                              <w:spacing w:after="0" w:line="240" w:lineRule="auto"/>
                              <w:jc w:val="both"/>
                              <w:rPr>
                                <w:rFonts w:cs="Arial"/>
                                <w:lang w:val="es-ES"/>
                              </w:rPr>
                            </w:pPr>
                            <w:r w:rsidRPr="00F04234">
                              <w:rPr>
                                <w:rFonts w:cs="Arial"/>
                                <w:lang w:val="es-ES"/>
                              </w:rPr>
                              <w:t xml:space="preserve">Este documento informa acerca de la implementación de una tarea dirigida al Consejo Científico en la Decisión 12.11, que consiste en la revisión de lo siguiente: </w:t>
                            </w:r>
                          </w:p>
                          <w:p w:rsidR="00F04234" w:rsidRPr="00F04234" w:rsidRDefault="00F04234" w:rsidP="00F04234">
                            <w:pPr>
                              <w:widowControl w:val="0"/>
                              <w:numPr>
                                <w:ilvl w:val="0"/>
                                <w:numId w:val="12"/>
                              </w:numPr>
                              <w:suppressAutoHyphens/>
                              <w:autoSpaceDE w:val="0"/>
                              <w:autoSpaceDN w:val="0"/>
                              <w:spacing w:after="0" w:line="240" w:lineRule="auto"/>
                              <w:contextualSpacing/>
                              <w:jc w:val="both"/>
                              <w:textAlignment w:val="baseline"/>
                              <w:rPr>
                                <w:rFonts w:cs="Arial"/>
                                <w:lang w:val="es-ES"/>
                              </w:rPr>
                            </w:pPr>
                            <w:bookmarkStart w:id="1" w:name="_Hlk20488288"/>
                            <w:r w:rsidRPr="00F04234">
                              <w:rPr>
                                <w:rFonts w:cs="Arial"/>
                                <w:lang w:val="es-ES"/>
                              </w:rPr>
                              <w:t xml:space="preserve">Resolución 7.18 (Rev.COP12) </w:t>
                            </w:r>
                            <w:r w:rsidRPr="00F04234">
                              <w:rPr>
                                <w:rFonts w:cs="Arial"/>
                                <w:i/>
                                <w:lang w:val="es-ES"/>
                              </w:rPr>
                              <w:t>Acuerdo para la conservación del dugongo</w:t>
                            </w:r>
                            <w:r w:rsidRPr="00F04234">
                              <w:rPr>
                                <w:rFonts w:cs="Arial"/>
                                <w:lang w:val="es-ES"/>
                              </w:rPr>
                              <w:t xml:space="preserve"> (</w:t>
                            </w:r>
                            <w:proofErr w:type="spellStart"/>
                            <w:r w:rsidRPr="00F04234">
                              <w:rPr>
                                <w:rFonts w:cs="Arial"/>
                                <w:i/>
                                <w:lang w:val="es-ES"/>
                              </w:rPr>
                              <w:t>Dugong</w:t>
                            </w:r>
                            <w:proofErr w:type="spellEnd"/>
                            <w:r w:rsidRPr="00F04234">
                              <w:rPr>
                                <w:rFonts w:cs="Arial"/>
                                <w:lang w:val="es-ES"/>
                              </w:rPr>
                              <w:t xml:space="preserve"> </w:t>
                            </w:r>
                            <w:proofErr w:type="spellStart"/>
                            <w:r w:rsidRPr="00F04234">
                              <w:rPr>
                                <w:rFonts w:cs="Arial"/>
                                <w:i/>
                                <w:lang w:val="es-ES"/>
                              </w:rPr>
                              <w:t>dugon</w:t>
                            </w:r>
                            <w:proofErr w:type="spellEnd"/>
                            <w:r w:rsidRPr="00F04234">
                              <w:rPr>
                                <w:rFonts w:cs="Arial"/>
                                <w:lang w:val="es-ES"/>
                              </w:rPr>
                              <w:t>)</w:t>
                            </w:r>
                          </w:p>
                          <w:p w:rsidR="00F04234" w:rsidRPr="00F04234" w:rsidRDefault="00F04234" w:rsidP="00F04234">
                            <w:pPr>
                              <w:widowControl w:val="0"/>
                              <w:numPr>
                                <w:ilvl w:val="0"/>
                                <w:numId w:val="12"/>
                              </w:numPr>
                              <w:suppressAutoHyphens/>
                              <w:autoSpaceDE w:val="0"/>
                              <w:autoSpaceDN w:val="0"/>
                              <w:spacing w:after="0" w:line="240" w:lineRule="auto"/>
                              <w:contextualSpacing/>
                              <w:jc w:val="both"/>
                              <w:textAlignment w:val="baseline"/>
                              <w:rPr>
                                <w:rFonts w:cs="Arial"/>
                                <w:lang w:val="es-ES"/>
                              </w:rPr>
                            </w:pPr>
                            <w:bookmarkStart w:id="2" w:name="_Hlk20488408"/>
                            <w:bookmarkEnd w:id="1"/>
                            <w:r w:rsidRPr="00F04234">
                              <w:rPr>
                                <w:rFonts w:cs="Arial"/>
                                <w:lang w:val="es-ES"/>
                              </w:rPr>
                              <w:t xml:space="preserve">Resolución 8.16 (Rev.COP12) </w:t>
                            </w:r>
                            <w:r w:rsidRPr="00F04234">
                              <w:rPr>
                                <w:rFonts w:cs="Arial"/>
                                <w:i/>
                                <w:lang w:val="es-ES"/>
                              </w:rPr>
                              <w:t>Tiburones migratorios</w:t>
                            </w:r>
                            <w:r w:rsidRPr="00F04234">
                              <w:rPr>
                                <w:rFonts w:cs="Arial"/>
                                <w:lang w:val="es-ES"/>
                              </w:rPr>
                              <w:t>;</w:t>
                            </w:r>
                            <w:bookmarkEnd w:id="2"/>
                            <w:r w:rsidRPr="00F04234">
                              <w:rPr>
                                <w:rFonts w:cs="Arial"/>
                                <w:lang w:val="es-ES"/>
                              </w:rPr>
                              <w:t xml:space="preserve"> y </w:t>
                            </w:r>
                          </w:p>
                          <w:p w:rsidR="00F04234" w:rsidRPr="00F04234" w:rsidRDefault="00F04234" w:rsidP="00F04234">
                            <w:pPr>
                              <w:widowControl w:val="0"/>
                              <w:numPr>
                                <w:ilvl w:val="0"/>
                                <w:numId w:val="12"/>
                              </w:numPr>
                              <w:suppressAutoHyphens/>
                              <w:autoSpaceDE w:val="0"/>
                              <w:autoSpaceDN w:val="0"/>
                              <w:spacing w:after="0" w:line="240" w:lineRule="auto"/>
                              <w:contextualSpacing/>
                              <w:jc w:val="both"/>
                              <w:textAlignment w:val="baseline"/>
                              <w:rPr>
                                <w:rFonts w:cs="Arial"/>
                                <w:i/>
                                <w:lang w:val="es-ES"/>
                              </w:rPr>
                            </w:pPr>
                            <w:bookmarkStart w:id="3" w:name="_Hlk20488452"/>
                            <w:r w:rsidRPr="00F04234">
                              <w:rPr>
                                <w:rFonts w:cs="Arial"/>
                                <w:lang w:val="es-ES"/>
                              </w:rPr>
                              <w:t xml:space="preserve">Resolución 6.3 (Rev.COP12) </w:t>
                            </w:r>
                            <w:r w:rsidRPr="00F04234">
                              <w:rPr>
                                <w:rFonts w:cs="Arial"/>
                                <w:i/>
                                <w:lang w:val="es-ES"/>
                              </w:rPr>
                              <w:t>Conservación de albatros en el hemisferio sur</w:t>
                            </w:r>
                            <w:bookmarkEnd w:id="3"/>
                            <w:r w:rsidRPr="00F04234">
                              <w:rPr>
                                <w:rFonts w:cs="Arial"/>
                                <w:i/>
                                <w:lang w:val="es-ES"/>
                              </w:rPr>
                              <w:t>.</w:t>
                            </w:r>
                          </w:p>
                          <w:p w:rsidR="00F04234" w:rsidRPr="00F04234" w:rsidRDefault="00F04234" w:rsidP="00F04234">
                            <w:pPr>
                              <w:spacing w:after="0" w:line="240" w:lineRule="auto"/>
                              <w:jc w:val="both"/>
                              <w:rPr>
                                <w:rFonts w:cs="Arial"/>
                                <w:lang w:val="es-ES"/>
                              </w:rPr>
                            </w:pPr>
                          </w:p>
                          <w:p w:rsidR="00F04234" w:rsidRPr="00F04234" w:rsidRDefault="00F04234" w:rsidP="00F04234">
                            <w:pPr>
                              <w:spacing w:after="0" w:line="240" w:lineRule="auto"/>
                              <w:jc w:val="both"/>
                              <w:rPr>
                                <w:rFonts w:cs="Arial"/>
                                <w:lang w:val="es-ES"/>
                              </w:rPr>
                            </w:pPr>
                            <w:r w:rsidRPr="00F04234">
                              <w:rPr>
                                <w:rFonts w:cs="Arial"/>
                                <w:lang w:val="es-ES"/>
                              </w:rPr>
                              <w:t xml:space="preserve">Debe leerse </w:t>
                            </w:r>
                            <w:proofErr w:type="gramStart"/>
                            <w:r w:rsidRPr="00F04234">
                              <w:rPr>
                                <w:rFonts w:cs="Arial"/>
                                <w:lang w:val="es-ES"/>
                              </w:rPr>
                              <w:t>conjuntamente con</w:t>
                            </w:r>
                            <w:proofErr w:type="gramEnd"/>
                            <w:r w:rsidRPr="00F04234">
                              <w:rPr>
                                <w:rFonts w:cs="Arial"/>
                                <w:lang w:val="es-ES"/>
                              </w:rPr>
                              <w:t xml:space="preserve"> el Documento UNEP/CMS/COP13/Doc.26.2.7 sobre especies de </w:t>
                            </w:r>
                            <w:proofErr w:type="spellStart"/>
                            <w:r w:rsidRPr="00F04234">
                              <w:rPr>
                                <w:rFonts w:cs="Arial"/>
                                <w:lang w:val="es-ES"/>
                              </w:rPr>
                              <w:t>condrictios</w:t>
                            </w:r>
                            <w:proofErr w:type="spellEnd"/>
                            <w:r w:rsidRPr="00F04234">
                              <w:rPr>
                                <w:rFonts w:cs="Arial"/>
                                <w:lang w:val="es-ES"/>
                              </w:rPr>
                              <w:t xml:space="preserve"> (tiburones, rayas y quimeras).</w:t>
                            </w:r>
                          </w:p>
                          <w:p w:rsidR="00F04234" w:rsidRPr="00F04234" w:rsidRDefault="00F04234" w:rsidP="00F04234">
                            <w:pPr>
                              <w:spacing w:after="0" w:line="240" w:lineRule="auto"/>
                              <w:jc w:val="both"/>
                              <w:rPr>
                                <w:rFonts w:cs="Arial"/>
                                <w:lang w:val="es-ES"/>
                              </w:rPr>
                            </w:pPr>
                          </w:p>
                          <w:p w:rsidR="00F04234" w:rsidRPr="00F04234" w:rsidRDefault="00F04234" w:rsidP="00F04234">
                            <w:pPr>
                              <w:spacing w:after="0" w:line="240" w:lineRule="auto"/>
                              <w:jc w:val="both"/>
                              <w:rPr>
                                <w:rFonts w:cs="Arial"/>
                                <w:lang w:val="es-ES"/>
                              </w:rPr>
                            </w:pPr>
                            <w:r w:rsidRPr="00F04234">
                              <w:rPr>
                                <w:rFonts w:cs="Arial"/>
                                <w:lang w:val="es-ES"/>
                              </w:rPr>
                              <w:t>El Documento propone la derogación de la Resolución 7.18 (Rev.COP12) y de la Resolución 6.3 (Rev.COP12), así como la cancelación de las Decisiones 12.11 y 12.12.</w:t>
                            </w:r>
                          </w:p>
                          <w:p w:rsidR="00435D03" w:rsidRDefault="00435D03" w:rsidP="00F04234">
                            <w:pPr>
                              <w:spacing w:after="0" w:line="240" w:lineRule="auto"/>
                              <w:rPr>
                                <w:lang w:val="es-ES"/>
                              </w:rPr>
                            </w:pPr>
                          </w:p>
                          <w:p w:rsidR="00F04234" w:rsidRPr="006F22B0" w:rsidRDefault="00F04234" w:rsidP="00F04234">
                            <w:pPr>
                              <w:spacing w:after="0" w:line="240" w:lineRule="auto"/>
                              <w:jc w:val="both"/>
                              <w:rPr>
                                <w:lang w:val="es-ES"/>
                              </w:rPr>
                            </w:pPr>
                            <w:r w:rsidRPr="00F04234">
                              <w:rPr>
                                <w:lang w:val="es-ES"/>
                              </w:rPr>
                              <w:t xml:space="preserve">Este documento es una revisión del documento UNEP/CMS/ScC-SC4/Doc.10.2.11 presentado al Consejo Científico en su cuarta reunión del Comité del período de sesiones en noviembre de 2019.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56.55pt;margin-top:11.65pt;width:361.5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" strokeweight=".08811mm">
                <v:textbox>
                  <w:txbxContent>
                    <w:p w:rsidR="00002A97" w:rsidRDefault="00002A97" w:rsidP="00F04234">
                      <w:pPr>
                        <w:spacing w:after="0" w:line="240" w:lineRule="auto"/>
                        <w:rPr>
                          <w:rFonts w:cs="Arial"/>
                          <w:lang w:val="es-ES"/>
                        </w:rPr>
                      </w:pPr>
                      <w:r>
                        <w:rPr>
                          <w:rFonts w:cs="Arial"/>
                          <w:lang w:val="es-ES"/>
                        </w:rPr>
                        <w:t>Resumen:</w:t>
                      </w:r>
                    </w:p>
                    <w:p w:rsidR="00002A97" w:rsidRDefault="00002A97" w:rsidP="00F04234">
                      <w:pPr>
                        <w:spacing w:after="0" w:line="240" w:lineRule="auto"/>
                        <w:rPr>
                          <w:rFonts w:cs="Arial"/>
                          <w:lang w:val="es-ES"/>
                        </w:rPr>
                      </w:pPr>
                    </w:p>
                    <w:p w:rsidR="00F04234" w:rsidRPr="00F04234" w:rsidRDefault="00F04234" w:rsidP="00F04234">
                      <w:pPr>
                        <w:spacing w:after="0" w:line="240" w:lineRule="auto"/>
                        <w:jc w:val="both"/>
                        <w:rPr>
                          <w:rFonts w:cs="Arial"/>
                          <w:lang w:val="es-ES"/>
                        </w:rPr>
                      </w:pPr>
                      <w:r w:rsidRPr="00F04234">
                        <w:rPr>
                          <w:rFonts w:cs="Arial"/>
                          <w:lang w:val="es-ES"/>
                        </w:rPr>
                        <w:t xml:space="preserve">Este documento informa acerca de la implementación de una tarea dirigida al Consejo Científico en la Decisión 12.11, que consiste en la revisión de lo siguiente: </w:t>
                      </w:r>
                    </w:p>
                    <w:p w:rsidR="00F04234" w:rsidRPr="00F04234" w:rsidRDefault="00F04234" w:rsidP="00F04234">
                      <w:pPr>
                        <w:widowControl w:val="0"/>
                        <w:numPr>
                          <w:ilvl w:val="0"/>
                          <w:numId w:val="12"/>
                        </w:numPr>
                        <w:suppressAutoHyphens/>
                        <w:autoSpaceDE w:val="0"/>
                        <w:autoSpaceDN w:val="0"/>
                        <w:spacing w:after="0" w:line="240" w:lineRule="auto"/>
                        <w:contextualSpacing/>
                        <w:jc w:val="both"/>
                        <w:textAlignment w:val="baseline"/>
                        <w:rPr>
                          <w:rFonts w:cs="Arial"/>
                          <w:lang w:val="es-ES"/>
                        </w:rPr>
                      </w:pPr>
                      <w:bookmarkStart w:id="4" w:name="_Hlk20488288"/>
                      <w:r w:rsidRPr="00F04234">
                        <w:rPr>
                          <w:rFonts w:cs="Arial"/>
                          <w:lang w:val="es-ES"/>
                        </w:rPr>
                        <w:t xml:space="preserve">Resolución 7.18 (Rev.COP12) </w:t>
                      </w:r>
                      <w:r w:rsidRPr="00F04234">
                        <w:rPr>
                          <w:rFonts w:cs="Arial"/>
                          <w:i/>
                          <w:lang w:val="es-ES"/>
                        </w:rPr>
                        <w:t>Acuerdo para la conservación del dugongo</w:t>
                      </w:r>
                      <w:r w:rsidRPr="00F04234">
                        <w:rPr>
                          <w:rFonts w:cs="Arial"/>
                          <w:lang w:val="es-ES"/>
                        </w:rPr>
                        <w:t xml:space="preserve"> (</w:t>
                      </w:r>
                      <w:proofErr w:type="spellStart"/>
                      <w:r w:rsidRPr="00F04234">
                        <w:rPr>
                          <w:rFonts w:cs="Arial"/>
                          <w:i/>
                          <w:lang w:val="es-ES"/>
                        </w:rPr>
                        <w:t>Dugong</w:t>
                      </w:r>
                      <w:proofErr w:type="spellEnd"/>
                      <w:r w:rsidRPr="00F04234">
                        <w:rPr>
                          <w:rFonts w:cs="Arial"/>
                          <w:lang w:val="es-ES"/>
                        </w:rPr>
                        <w:t xml:space="preserve"> </w:t>
                      </w:r>
                      <w:proofErr w:type="spellStart"/>
                      <w:r w:rsidRPr="00F04234">
                        <w:rPr>
                          <w:rFonts w:cs="Arial"/>
                          <w:i/>
                          <w:lang w:val="es-ES"/>
                        </w:rPr>
                        <w:t>dugon</w:t>
                      </w:r>
                      <w:proofErr w:type="spellEnd"/>
                      <w:r w:rsidRPr="00F04234">
                        <w:rPr>
                          <w:rFonts w:cs="Arial"/>
                          <w:lang w:val="es-ES"/>
                        </w:rPr>
                        <w:t>)</w:t>
                      </w:r>
                    </w:p>
                    <w:p w:rsidR="00F04234" w:rsidRPr="00F04234" w:rsidRDefault="00F04234" w:rsidP="00F04234">
                      <w:pPr>
                        <w:widowControl w:val="0"/>
                        <w:numPr>
                          <w:ilvl w:val="0"/>
                          <w:numId w:val="12"/>
                        </w:numPr>
                        <w:suppressAutoHyphens/>
                        <w:autoSpaceDE w:val="0"/>
                        <w:autoSpaceDN w:val="0"/>
                        <w:spacing w:after="0" w:line="240" w:lineRule="auto"/>
                        <w:contextualSpacing/>
                        <w:jc w:val="both"/>
                        <w:textAlignment w:val="baseline"/>
                        <w:rPr>
                          <w:rFonts w:cs="Arial"/>
                          <w:lang w:val="es-ES"/>
                        </w:rPr>
                      </w:pPr>
                      <w:bookmarkStart w:id="5" w:name="_Hlk20488408"/>
                      <w:bookmarkEnd w:id="4"/>
                      <w:r w:rsidRPr="00F04234">
                        <w:rPr>
                          <w:rFonts w:cs="Arial"/>
                          <w:lang w:val="es-ES"/>
                        </w:rPr>
                        <w:t xml:space="preserve">Resolución 8.16 (Rev.COP12) </w:t>
                      </w:r>
                      <w:r w:rsidRPr="00F04234">
                        <w:rPr>
                          <w:rFonts w:cs="Arial"/>
                          <w:i/>
                          <w:lang w:val="es-ES"/>
                        </w:rPr>
                        <w:t>Tiburones migratorios</w:t>
                      </w:r>
                      <w:r w:rsidRPr="00F04234">
                        <w:rPr>
                          <w:rFonts w:cs="Arial"/>
                          <w:lang w:val="es-ES"/>
                        </w:rPr>
                        <w:t>;</w:t>
                      </w:r>
                      <w:bookmarkEnd w:id="5"/>
                      <w:r w:rsidRPr="00F04234">
                        <w:rPr>
                          <w:rFonts w:cs="Arial"/>
                          <w:lang w:val="es-ES"/>
                        </w:rPr>
                        <w:t xml:space="preserve"> y </w:t>
                      </w:r>
                    </w:p>
                    <w:p w:rsidR="00F04234" w:rsidRPr="00F04234" w:rsidRDefault="00F04234" w:rsidP="00F04234">
                      <w:pPr>
                        <w:widowControl w:val="0"/>
                        <w:numPr>
                          <w:ilvl w:val="0"/>
                          <w:numId w:val="12"/>
                        </w:numPr>
                        <w:suppressAutoHyphens/>
                        <w:autoSpaceDE w:val="0"/>
                        <w:autoSpaceDN w:val="0"/>
                        <w:spacing w:after="0" w:line="240" w:lineRule="auto"/>
                        <w:contextualSpacing/>
                        <w:jc w:val="both"/>
                        <w:textAlignment w:val="baseline"/>
                        <w:rPr>
                          <w:rFonts w:cs="Arial"/>
                          <w:i/>
                          <w:lang w:val="es-ES"/>
                        </w:rPr>
                      </w:pPr>
                      <w:bookmarkStart w:id="6" w:name="_Hlk20488452"/>
                      <w:r w:rsidRPr="00F04234">
                        <w:rPr>
                          <w:rFonts w:cs="Arial"/>
                          <w:lang w:val="es-ES"/>
                        </w:rPr>
                        <w:t xml:space="preserve">Resolución 6.3 (Rev.COP12) </w:t>
                      </w:r>
                      <w:r w:rsidRPr="00F04234">
                        <w:rPr>
                          <w:rFonts w:cs="Arial"/>
                          <w:i/>
                          <w:lang w:val="es-ES"/>
                        </w:rPr>
                        <w:t>Conservación de albatros en el hemisferio sur</w:t>
                      </w:r>
                      <w:bookmarkEnd w:id="6"/>
                      <w:r w:rsidRPr="00F04234">
                        <w:rPr>
                          <w:rFonts w:cs="Arial"/>
                          <w:i/>
                          <w:lang w:val="es-ES"/>
                        </w:rPr>
                        <w:t>.</w:t>
                      </w:r>
                    </w:p>
                    <w:p w:rsidR="00F04234" w:rsidRPr="00F04234" w:rsidRDefault="00F04234" w:rsidP="00F04234">
                      <w:pPr>
                        <w:spacing w:after="0" w:line="240" w:lineRule="auto"/>
                        <w:jc w:val="both"/>
                        <w:rPr>
                          <w:rFonts w:cs="Arial"/>
                          <w:lang w:val="es-ES"/>
                        </w:rPr>
                      </w:pPr>
                    </w:p>
                    <w:p w:rsidR="00F04234" w:rsidRPr="00F04234" w:rsidRDefault="00F04234" w:rsidP="00F04234">
                      <w:pPr>
                        <w:spacing w:after="0" w:line="240" w:lineRule="auto"/>
                        <w:jc w:val="both"/>
                        <w:rPr>
                          <w:rFonts w:cs="Arial"/>
                          <w:lang w:val="es-ES"/>
                        </w:rPr>
                      </w:pPr>
                      <w:r w:rsidRPr="00F04234">
                        <w:rPr>
                          <w:rFonts w:cs="Arial"/>
                          <w:lang w:val="es-ES"/>
                        </w:rPr>
                        <w:t xml:space="preserve">Debe leerse </w:t>
                      </w:r>
                      <w:proofErr w:type="gramStart"/>
                      <w:r w:rsidRPr="00F04234">
                        <w:rPr>
                          <w:rFonts w:cs="Arial"/>
                          <w:lang w:val="es-ES"/>
                        </w:rPr>
                        <w:t>conjuntamente con</w:t>
                      </w:r>
                      <w:proofErr w:type="gramEnd"/>
                      <w:r w:rsidRPr="00F04234">
                        <w:rPr>
                          <w:rFonts w:cs="Arial"/>
                          <w:lang w:val="es-ES"/>
                        </w:rPr>
                        <w:t xml:space="preserve"> el Documento UNEP/CMS/COP13/Doc.26.2.7 sobre especies de </w:t>
                      </w:r>
                      <w:proofErr w:type="spellStart"/>
                      <w:r w:rsidRPr="00F04234">
                        <w:rPr>
                          <w:rFonts w:cs="Arial"/>
                          <w:lang w:val="es-ES"/>
                        </w:rPr>
                        <w:t>condrictios</w:t>
                      </w:r>
                      <w:proofErr w:type="spellEnd"/>
                      <w:r w:rsidRPr="00F04234">
                        <w:rPr>
                          <w:rFonts w:cs="Arial"/>
                          <w:lang w:val="es-ES"/>
                        </w:rPr>
                        <w:t xml:space="preserve"> (tiburones, rayas y quimeras).</w:t>
                      </w:r>
                    </w:p>
                    <w:p w:rsidR="00F04234" w:rsidRPr="00F04234" w:rsidRDefault="00F04234" w:rsidP="00F04234">
                      <w:pPr>
                        <w:spacing w:after="0" w:line="240" w:lineRule="auto"/>
                        <w:jc w:val="both"/>
                        <w:rPr>
                          <w:rFonts w:cs="Arial"/>
                          <w:lang w:val="es-ES"/>
                        </w:rPr>
                      </w:pPr>
                    </w:p>
                    <w:p w:rsidR="00F04234" w:rsidRPr="00F04234" w:rsidRDefault="00F04234" w:rsidP="00F04234">
                      <w:pPr>
                        <w:spacing w:after="0" w:line="240" w:lineRule="auto"/>
                        <w:jc w:val="both"/>
                        <w:rPr>
                          <w:rFonts w:cs="Arial"/>
                          <w:lang w:val="es-ES"/>
                        </w:rPr>
                      </w:pPr>
                      <w:r w:rsidRPr="00F04234">
                        <w:rPr>
                          <w:rFonts w:cs="Arial"/>
                          <w:lang w:val="es-ES"/>
                        </w:rPr>
                        <w:t>El Documento propone la derogación de la Resolución 7.18 (Rev.COP12) y de la Resolución 6.3 (Rev.COP12), así como la cancelación de las Decisiones 12.11 y 12.12.</w:t>
                      </w:r>
                    </w:p>
                    <w:p w:rsidR="00435D03" w:rsidRDefault="00435D03" w:rsidP="00F04234">
                      <w:pPr>
                        <w:spacing w:after="0" w:line="240" w:lineRule="auto"/>
                        <w:rPr>
                          <w:lang w:val="es-ES"/>
                        </w:rPr>
                      </w:pPr>
                    </w:p>
                    <w:p w:rsidR="00F04234" w:rsidRPr="006F22B0" w:rsidRDefault="00F04234" w:rsidP="00F04234">
                      <w:pPr>
                        <w:spacing w:after="0" w:line="240" w:lineRule="auto"/>
                        <w:jc w:val="both"/>
                        <w:rPr>
                          <w:lang w:val="es-ES"/>
                        </w:rPr>
                      </w:pPr>
                      <w:r w:rsidRPr="00F04234">
                        <w:rPr>
                          <w:lang w:val="es-ES"/>
                        </w:rPr>
                        <w:t xml:space="preserve">Este documento es una revisión del documento UNEP/CMS/ScC-SC4/Doc.10.2.11 presentado al Consejo Científico en su cuarta reunión del Comité del período de sesiones en noviembre de 2019.  </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F04234" w:rsidRPr="00F04234" w:rsidRDefault="00F04234" w:rsidP="00F0423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F04234">
        <w:rPr>
          <w:rFonts w:cs="Arial"/>
          <w:b/>
          <w:bCs/>
          <w:snapToGrid w:val="0"/>
          <w:lang w:val="es-ES"/>
        </w:rPr>
        <w:t>REVISIÓN DE LAS RESOLUCIONES: DECISIONES 12.11 Y 12.12</w:t>
      </w:r>
    </w:p>
    <w:p w:rsidR="00F04234" w:rsidRDefault="00F04234" w:rsidP="00F04234">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551BC0" w:rsidRPr="00F04234" w:rsidRDefault="00551BC0" w:rsidP="00F04234">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F04234" w:rsidRPr="00F04234" w:rsidRDefault="00F04234" w:rsidP="00F04234">
      <w:pPr>
        <w:spacing w:after="0"/>
        <w:jc w:val="both"/>
        <w:rPr>
          <w:rFonts w:cs="Arial"/>
          <w:u w:val="single"/>
          <w:lang w:val="es-ES"/>
        </w:rPr>
      </w:pPr>
      <w:r w:rsidRPr="00F04234">
        <w:rPr>
          <w:rFonts w:cs="Arial"/>
          <w:u w:val="single"/>
          <w:lang w:val="es-ES"/>
        </w:rPr>
        <w:t>Antecedentes</w:t>
      </w:r>
    </w:p>
    <w:p w:rsidR="00F04234" w:rsidRPr="00F04234" w:rsidRDefault="00F04234" w:rsidP="00F04234">
      <w:pPr>
        <w:adjustRightInd w:val="0"/>
        <w:spacing w:after="0"/>
        <w:ind w:left="360"/>
        <w:contextualSpacing/>
        <w:jc w:val="both"/>
        <w:rPr>
          <w:rFonts w:cs="Arial"/>
          <w:lang w:val="es-ES"/>
        </w:rPr>
      </w:pPr>
    </w:p>
    <w:p w:rsidR="00F04234" w:rsidRPr="00F04234" w:rsidRDefault="00F04234" w:rsidP="00551BC0">
      <w:pPr>
        <w:pStyle w:val="Firstnumbering1"/>
      </w:pPr>
      <w:bookmarkStart w:id="7" w:name="_Hlk17371156"/>
      <w:r w:rsidRPr="00F04234">
        <w:t>En su 12ª reunión (COP12), la Conferencia de las Partes emprendió un considerable ejercicio de derogación de Resoluciones redundantes y de consolidación de múltiples Resoluciones del mismo tema en un solo documento revisado.</w:t>
      </w:r>
      <w:bookmarkEnd w:id="7"/>
    </w:p>
    <w:p w:rsidR="00F04234" w:rsidRPr="00F04234" w:rsidRDefault="00F04234" w:rsidP="00F04234">
      <w:pPr>
        <w:spacing w:after="0" w:line="240" w:lineRule="auto"/>
        <w:ind w:left="567"/>
        <w:contextualSpacing/>
        <w:jc w:val="both"/>
        <w:rPr>
          <w:rFonts w:eastAsia="Times New Roman" w:cs="Arial"/>
          <w:szCs w:val="24"/>
          <w:lang w:val="es-PE"/>
        </w:rPr>
      </w:pPr>
    </w:p>
    <w:p w:rsidR="00F04234" w:rsidRPr="00F04234" w:rsidRDefault="00F04234" w:rsidP="00551BC0">
      <w:pPr>
        <w:pStyle w:val="Firstnumbering1"/>
      </w:pPr>
      <w:r w:rsidRPr="00F04234">
        <w:t xml:space="preserve">Como parte del ejercicio, las Partes adoptaron las Decisiones 12.11 y 12.12 en la revisión de las Resoluciones: </w:t>
      </w:r>
    </w:p>
    <w:p w:rsidR="00F04234" w:rsidRPr="00F04234" w:rsidRDefault="00F04234" w:rsidP="00F04234">
      <w:pPr>
        <w:spacing w:after="0"/>
        <w:rPr>
          <w:lang w:val="es-ES"/>
        </w:rPr>
      </w:pPr>
    </w:p>
    <w:p w:rsidR="00F04234" w:rsidRPr="00F04234" w:rsidRDefault="00F04234" w:rsidP="00F04234">
      <w:pPr>
        <w:spacing w:after="0" w:line="240" w:lineRule="auto"/>
        <w:ind w:left="567"/>
        <w:rPr>
          <w:rFonts w:ascii="Times New Roman" w:eastAsia="Times New Roman" w:hAnsi="Times New Roman" w:cs="Times New Roman"/>
          <w:b/>
          <w:i/>
          <w:sz w:val="20"/>
          <w:szCs w:val="20"/>
          <w:lang w:val="es-ES" w:eastAsia="es-ES"/>
        </w:rPr>
      </w:pPr>
      <w:r w:rsidRPr="00F04234">
        <w:rPr>
          <w:rFonts w:eastAsia="Times New Roman" w:cs="Arial"/>
          <w:b/>
          <w:i/>
          <w:sz w:val="20"/>
          <w:szCs w:val="20"/>
          <w:lang w:val="es-ES" w:eastAsia="es-ES"/>
        </w:rPr>
        <w:t>12. 11</w:t>
      </w:r>
      <w:r w:rsidRPr="00F04234">
        <w:rPr>
          <w:rFonts w:eastAsia="Times New Roman" w:cs="Arial"/>
          <w:i/>
          <w:sz w:val="20"/>
          <w:szCs w:val="20"/>
          <w:lang w:val="es-ES" w:eastAsia="es-ES"/>
        </w:rPr>
        <w:t xml:space="preserve">. </w:t>
      </w:r>
      <w:r w:rsidRPr="00F04234">
        <w:rPr>
          <w:rFonts w:eastAsia="Times New Roman" w:cs="Arial"/>
          <w:b/>
          <w:bCs/>
          <w:i/>
          <w:sz w:val="20"/>
          <w:szCs w:val="20"/>
          <w:shd w:val="clear" w:color="auto" w:fill="FFFFFF"/>
          <w:lang w:val="es-ES" w:eastAsia="es-ES"/>
        </w:rPr>
        <w:t>Dirigido al </w:t>
      </w:r>
      <w:r w:rsidRPr="00F04234">
        <w:rPr>
          <w:rFonts w:eastAsia="Times New Roman" w:cs="Arial"/>
          <w:b/>
          <w:i/>
          <w:sz w:val="20"/>
          <w:szCs w:val="20"/>
          <w:shd w:val="clear" w:color="auto" w:fill="FFFFFF"/>
          <w:lang w:val="es-ES" w:eastAsia="es-ES"/>
        </w:rPr>
        <w:t>Consejo Científico</w:t>
      </w:r>
    </w:p>
    <w:p w:rsidR="00F04234" w:rsidRPr="00F04234" w:rsidRDefault="00F04234" w:rsidP="00F04234">
      <w:pPr>
        <w:shd w:val="clear" w:color="auto" w:fill="FFFFFF"/>
        <w:spacing w:after="0" w:line="240" w:lineRule="auto"/>
        <w:ind w:left="284"/>
        <w:rPr>
          <w:rFonts w:eastAsia="Times New Roman" w:cs="Arial"/>
          <w:i/>
          <w:sz w:val="20"/>
          <w:szCs w:val="20"/>
          <w:lang w:val="es-ES" w:eastAsia="es-ES"/>
        </w:rPr>
      </w:pPr>
    </w:p>
    <w:p w:rsidR="00F04234" w:rsidRPr="00F04234" w:rsidRDefault="00F04234" w:rsidP="00F04234">
      <w:pPr>
        <w:shd w:val="clear" w:color="auto" w:fill="FFFFFF"/>
        <w:spacing w:after="0" w:line="240" w:lineRule="auto"/>
        <w:ind w:left="284" w:firstLine="283"/>
        <w:jc w:val="both"/>
        <w:rPr>
          <w:rFonts w:eastAsia="Times New Roman" w:cs="Arial"/>
          <w:i/>
          <w:sz w:val="20"/>
          <w:szCs w:val="20"/>
          <w:lang w:val="es-ES" w:eastAsia="es-ES"/>
        </w:rPr>
      </w:pPr>
      <w:r w:rsidRPr="00F04234">
        <w:rPr>
          <w:rFonts w:eastAsia="Times New Roman" w:cs="Arial"/>
          <w:i/>
          <w:sz w:val="20"/>
          <w:szCs w:val="20"/>
          <w:lang w:val="es-ES" w:eastAsia="es-ES"/>
        </w:rPr>
        <w:t>El Consejo Científico deberá: </w:t>
      </w:r>
    </w:p>
    <w:p w:rsidR="00F04234" w:rsidRPr="00F04234" w:rsidRDefault="00F04234" w:rsidP="00F04234">
      <w:pPr>
        <w:shd w:val="clear" w:color="auto" w:fill="FFFFFF"/>
        <w:spacing w:after="0" w:line="240" w:lineRule="auto"/>
        <w:ind w:left="284" w:firstLine="283"/>
        <w:jc w:val="both"/>
        <w:rPr>
          <w:rFonts w:eastAsia="Times New Roman" w:cs="Arial"/>
          <w:i/>
          <w:sz w:val="20"/>
          <w:szCs w:val="20"/>
          <w:lang w:val="es-ES" w:eastAsia="es-ES"/>
        </w:rPr>
      </w:pPr>
    </w:p>
    <w:p w:rsidR="00F04234" w:rsidRPr="00F04234" w:rsidRDefault="00F04234" w:rsidP="00F04234">
      <w:pPr>
        <w:numPr>
          <w:ilvl w:val="0"/>
          <w:numId w:val="14"/>
        </w:numPr>
        <w:shd w:val="clear" w:color="auto" w:fill="FFFFFF"/>
        <w:spacing w:after="0" w:line="240" w:lineRule="auto"/>
        <w:contextualSpacing/>
        <w:jc w:val="both"/>
        <w:rPr>
          <w:rFonts w:eastAsia="Times New Roman" w:cs="Arial"/>
          <w:i/>
          <w:sz w:val="20"/>
          <w:szCs w:val="20"/>
          <w:lang w:val="es-ES" w:eastAsia="es-ES"/>
        </w:rPr>
      </w:pPr>
      <w:r w:rsidRPr="00F04234">
        <w:rPr>
          <w:rFonts w:eastAsia="Times New Roman" w:cs="Arial"/>
          <w:i/>
          <w:sz w:val="20"/>
          <w:szCs w:val="20"/>
          <w:lang w:val="es-ES" w:eastAsia="es-ES"/>
        </w:rPr>
        <w:t>Revisar: </w:t>
      </w:r>
    </w:p>
    <w:p w:rsidR="00F04234" w:rsidRPr="00F04234" w:rsidRDefault="00F04234" w:rsidP="00F04234">
      <w:pPr>
        <w:shd w:val="clear" w:color="auto" w:fill="FFFFFF"/>
        <w:spacing w:after="0" w:line="240" w:lineRule="auto"/>
        <w:ind w:left="960"/>
        <w:contextualSpacing/>
        <w:jc w:val="both"/>
        <w:rPr>
          <w:rFonts w:eastAsia="Times New Roman" w:cs="Arial"/>
          <w:i/>
          <w:sz w:val="20"/>
          <w:szCs w:val="20"/>
          <w:lang w:val="es-ES" w:eastAsia="es-ES"/>
        </w:rPr>
      </w:pPr>
    </w:p>
    <w:p w:rsidR="00F04234" w:rsidRPr="00F04234" w:rsidRDefault="00F04234" w:rsidP="00F04234">
      <w:pPr>
        <w:widowControl w:val="0"/>
        <w:numPr>
          <w:ilvl w:val="0"/>
          <w:numId w:val="15"/>
        </w:numPr>
        <w:shd w:val="clear" w:color="auto" w:fill="FFFFFF"/>
        <w:tabs>
          <w:tab w:val="num" w:pos="2410"/>
        </w:tabs>
        <w:suppressAutoHyphens/>
        <w:autoSpaceDE w:val="0"/>
        <w:autoSpaceDN w:val="0"/>
        <w:spacing w:after="0" w:line="240" w:lineRule="auto"/>
        <w:ind w:left="1560" w:hanging="426"/>
        <w:jc w:val="both"/>
        <w:textAlignment w:val="baseline"/>
        <w:rPr>
          <w:rFonts w:eastAsia="Times New Roman" w:cs="Arial"/>
          <w:i/>
          <w:sz w:val="20"/>
          <w:szCs w:val="20"/>
          <w:lang w:val="es-ES"/>
        </w:rPr>
      </w:pPr>
      <w:r w:rsidRPr="00F04234">
        <w:rPr>
          <w:rFonts w:eastAsia="Times New Roman" w:cs="Arial"/>
          <w:i/>
          <w:sz w:val="20"/>
          <w:szCs w:val="20"/>
          <w:lang w:val="es-ES" w:eastAsia="es-ES"/>
        </w:rPr>
        <w:t>UNEP/CMS/Resolución 7.18 (Rev.COP12) sobre el Acuerdo entre los Estados del área de distribución para la conservación del dugongo (</w:t>
      </w:r>
      <w:proofErr w:type="spellStart"/>
      <w:r w:rsidRPr="00F04234">
        <w:rPr>
          <w:rFonts w:eastAsia="Times New Roman" w:cs="Arial"/>
          <w:i/>
          <w:sz w:val="20"/>
          <w:szCs w:val="20"/>
          <w:lang w:val="es-ES" w:eastAsia="es-ES"/>
        </w:rPr>
        <w:t>Dugong</w:t>
      </w:r>
      <w:proofErr w:type="spellEnd"/>
      <w:r w:rsidRPr="00F04234">
        <w:rPr>
          <w:rFonts w:eastAsia="Times New Roman" w:cs="Arial"/>
          <w:i/>
          <w:sz w:val="20"/>
          <w:szCs w:val="20"/>
          <w:lang w:val="es-ES" w:eastAsia="es-ES"/>
        </w:rPr>
        <w:t xml:space="preserve"> </w:t>
      </w:r>
      <w:proofErr w:type="spellStart"/>
      <w:r w:rsidRPr="00F04234">
        <w:rPr>
          <w:rFonts w:eastAsia="Times New Roman" w:cs="Arial"/>
          <w:i/>
          <w:sz w:val="20"/>
          <w:szCs w:val="20"/>
          <w:lang w:val="es-ES" w:eastAsia="es-ES"/>
        </w:rPr>
        <w:t>dugon</w:t>
      </w:r>
      <w:proofErr w:type="spellEnd"/>
      <w:r w:rsidRPr="00F04234">
        <w:rPr>
          <w:rFonts w:eastAsia="Times New Roman" w:cs="Arial"/>
          <w:i/>
          <w:sz w:val="20"/>
          <w:szCs w:val="20"/>
          <w:lang w:val="es-ES" w:eastAsia="es-ES"/>
        </w:rPr>
        <w:t>),</w:t>
      </w:r>
    </w:p>
    <w:p w:rsidR="00F04234" w:rsidRPr="00F04234" w:rsidRDefault="00F04234" w:rsidP="00F04234">
      <w:pPr>
        <w:shd w:val="clear" w:color="auto" w:fill="FFFFFF"/>
        <w:tabs>
          <w:tab w:val="num" w:pos="2410"/>
        </w:tabs>
        <w:spacing w:after="0" w:line="240" w:lineRule="auto"/>
        <w:ind w:left="1560" w:hanging="426"/>
        <w:jc w:val="both"/>
        <w:rPr>
          <w:rFonts w:eastAsia="Times New Roman" w:cs="Arial"/>
          <w:i/>
          <w:sz w:val="20"/>
          <w:szCs w:val="20"/>
          <w:lang w:val="es-ES"/>
        </w:rPr>
      </w:pPr>
    </w:p>
    <w:p w:rsidR="00F04234" w:rsidRPr="00F04234" w:rsidRDefault="00F04234" w:rsidP="00F04234">
      <w:pPr>
        <w:widowControl w:val="0"/>
        <w:numPr>
          <w:ilvl w:val="0"/>
          <w:numId w:val="15"/>
        </w:numPr>
        <w:shd w:val="clear" w:color="auto" w:fill="FFFFFF"/>
        <w:tabs>
          <w:tab w:val="num" w:pos="2410"/>
        </w:tabs>
        <w:suppressAutoHyphens/>
        <w:autoSpaceDE w:val="0"/>
        <w:autoSpaceDN w:val="0"/>
        <w:spacing w:after="0" w:line="240" w:lineRule="auto"/>
        <w:ind w:left="1560" w:hanging="426"/>
        <w:jc w:val="both"/>
        <w:textAlignment w:val="baseline"/>
        <w:rPr>
          <w:rFonts w:eastAsia="Times New Roman" w:cs="Arial"/>
          <w:i/>
          <w:sz w:val="20"/>
          <w:szCs w:val="20"/>
          <w:lang w:val="es-ES"/>
        </w:rPr>
      </w:pPr>
      <w:r w:rsidRPr="00F04234">
        <w:rPr>
          <w:rFonts w:eastAsia="Times New Roman" w:cs="Arial"/>
          <w:i/>
          <w:sz w:val="20"/>
          <w:szCs w:val="20"/>
          <w:lang w:val="es-ES" w:eastAsia="es-ES"/>
        </w:rPr>
        <w:t>UNEP/CMS/Resolución 8.16 (Rev.COP12) sobre Tiburones migratorios, y</w:t>
      </w:r>
      <w:r w:rsidRPr="00F04234">
        <w:rPr>
          <w:rFonts w:eastAsia="Times New Roman" w:cs="Arial"/>
          <w:i/>
          <w:sz w:val="20"/>
          <w:szCs w:val="20"/>
          <w:lang w:val="es-ES"/>
        </w:rPr>
        <w:t xml:space="preserve"> </w:t>
      </w:r>
    </w:p>
    <w:p w:rsidR="00F04234" w:rsidRPr="00F04234" w:rsidRDefault="00F04234" w:rsidP="00F04234">
      <w:pPr>
        <w:shd w:val="clear" w:color="auto" w:fill="FFFFFF"/>
        <w:tabs>
          <w:tab w:val="num" w:pos="2410"/>
        </w:tabs>
        <w:spacing w:after="0" w:line="240" w:lineRule="auto"/>
        <w:ind w:left="1560" w:hanging="426"/>
        <w:jc w:val="both"/>
        <w:rPr>
          <w:rFonts w:eastAsia="Times New Roman" w:cs="Arial"/>
          <w:i/>
          <w:sz w:val="20"/>
          <w:szCs w:val="20"/>
          <w:lang w:val="es-ES"/>
        </w:rPr>
      </w:pPr>
    </w:p>
    <w:p w:rsidR="00F04234" w:rsidRPr="00F04234" w:rsidRDefault="00F04234" w:rsidP="00F04234">
      <w:pPr>
        <w:widowControl w:val="0"/>
        <w:numPr>
          <w:ilvl w:val="0"/>
          <w:numId w:val="15"/>
        </w:numPr>
        <w:shd w:val="clear" w:color="auto" w:fill="FFFFFF"/>
        <w:tabs>
          <w:tab w:val="num" w:pos="2410"/>
        </w:tabs>
        <w:suppressAutoHyphens/>
        <w:autoSpaceDE w:val="0"/>
        <w:autoSpaceDN w:val="0"/>
        <w:spacing w:after="0" w:line="240" w:lineRule="auto"/>
        <w:ind w:left="1560" w:hanging="426"/>
        <w:jc w:val="both"/>
        <w:textAlignment w:val="baseline"/>
        <w:rPr>
          <w:rFonts w:eastAsia="Times New Roman" w:cs="Arial"/>
          <w:i/>
          <w:sz w:val="20"/>
          <w:szCs w:val="20"/>
          <w:lang w:val="es-ES"/>
        </w:rPr>
      </w:pPr>
      <w:r w:rsidRPr="00F04234">
        <w:rPr>
          <w:rFonts w:eastAsia="Times New Roman" w:cs="Arial"/>
          <w:i/>
          <w:sz w:val="20"/>
          <w:szCs w:val="20"/>
          <w:lang w:val="es-ES" w:eastAsia="es-ES"/>
        </w:rPr>
        <w:t xml:space="preserve">UNEP/CMS/Resolución 6.3 (Rev.COP12) sobre Conservación de albatros en el hemisferio sur, </w:t>
      </w:r>
    </w:p>
    <w:p w:rsidR="00F04234" w:rsidRPr="00F04234" w:rsidRDefault="00F04234" w:rsidP="00F04234">
      <w:pPr>
        <w:shd w:val="clear" w:color="auto" w:fill="FFFFFF"/>
        <w:spacing w:after="0"/>
        <w:ind w:left="1320"/>
        <w:jc w:val="both"/>
        <w:rPr>
          <w:rFonts w:eastAsia="Times New Roman" w:cs="Arial"/>
          <w:i/>
          <w:sz w:val="20"/>
          <w:szCs w:val="20"/>
          <w:lang w:val="es-ES" w:eastAsia="es-ES"/>
        </w:rPr>
      </w:pPr>
      <w:r w:rsidRPr="00F04234">
        <w:rPr>
          <w:rFonts w:eastAsia="Times New Roman" w:cs="Arial"/>
          <w:i/>
          <w:sz w:val="20"/>
          <w:szCs w:val="20"/>
          <w:lang w:val="es-ES" w:eastAsia="es-ES"/>
        </w:rPr>
        <w:t xml:space="preserve"> para determinar si se debe revisar a la luz de la nueva información científica y de otros desarrollos y proponer enmiendas, si procede;</w:t>
      </w:r>
    </w:p>
    <w:p w:rsidR="00F04234" w:rsidRPr="00F04234" w:rsidRDefault="00F04234" w:rsidP="00F04234">
      <w:pPr>
        <w:shd w:val="clear" w:color="auto" w:fill="FFFFFF"/>
        <w:spacing w:after="0"/>
        <w:jc w:val="both"/>
        <w:rPr>
          <w:rFonts w:eastAsia="Times New Roman" w:cs="Arial"/>
          <w:i/>
          <w:sz w:val="20"/>
          <w:szCs w:val="20"/>
          <w:lang w:val="es-ES" w:eastAsia="es-ES"/>
        </w:rPr>
      </w:pPr>
    </w:p>
    <w:p w:rsidR="00F04234" w:rsidRPr="00F04234" w:rsidRDefault="00F04234" w:rsidP="00F04234">
      <w:pPr>
        <w:numPr>
          <w:ilvl w:val="0"/>
          <w:numId w:val="16"/>
        </w:numPr>
        <w:shd w:val="clear" w:color="auto" w:fill="FFFFFF"/>
        <w:spacing w:after="0" w:line="240" w:lineRule="auto"/>
        <w:contextualSpacing/>
        <w:jc w:val="both"/>
        <w:rPr>
          <w:rFonts w:eastAsia="Times New Roman" w:cs="Arial"/>
          <w:i/>
          <w:sz w:val="20"/>
          <w:szCs w:val="20"/>
          <w:lang w:val="es-ES" w:eastAsia="es-ES"/>
        </w:rPr>
      </w:pPr>
      <w:r w:rsidRPr="00F04234">
        <w:rPr>
          <w:rFonts w:eastAsia="Times New Roman" w:cs="Arial"/>
          <w:i/>
          <w:sz w:val="20"/>
          <w:szCs w:val="20"/>
          <w:lang w:val="es-ES" w:eastAsia="es-ES"/>
        </w:rPr>
        <w:t>Presentar propuestas de enmienda o una nueva Resolución, según proceda, al Comité Permanente para su consideración durante la 49º reunión del Comité Permanente.</w:t>
      </w:r>
    </w:p>
    <w:p w:rsidR="00F04234" w:rsidRPr="00F04234" w:rsidRDefault="00F04234" w:rsidP="00F04234">
      <w:pPr>
        <w:shd w:val="clear" w:color="auto" w:fill="FFFFFF"/>
        <w:spacing w:after="0" w:line="240" w:lineRule="auto"/>
        <w:rPr>
          <w:rFonts w:eastAsia="Times New Roman" w:cs="Arial"/>
          <w:i/>
          <w:sz w:val="20"/>
          <w:szCs w:val="20"/>
          <w:lang w:val="es-ES" w:eastAsia="es-ES"/>
        </w:rPr>
      </w:pPr>
    </w:p>
    <w:p w:rsidR="00F04234" w:rsidRPr="00F04234" w:rsidRDefault="00F04234" w:rsidP="00F04234">
      <w:pPr>
        <w:spacing w:after="0" w:line="240" w:lineRule="auto"/>
        <w:ind w:firstLine="567"/>
        <w:rPr>
          <w:rFonts w:ascii="Times New Roman" w:eastAsia="Times New Roman" w:hAnsi="Times New Roman" w:cs="Times New Roman"/>
          <w:b/>
          <w:i/>
          <w:sz w:val="20"/>
          <w:szCs w:val="20"/>
          <w:lang w:val="es-ES" w:eastAsia="es-ES"/>
        </w:rPr>
      </w:pPr>
      <w:r w:rsidRPr="00F04234">
        <w:rPr>
          <w:rFonts w:cs="Arial"/>
          <w:b/>
          <w:i/>
          <w:sz w:val="20"/>
          <w:szCs w:val="20"/>
          <w:shd w:val="clear" w:color="auto" w:fill="FFFFFF"/>
          <w:lang w:val="es-ES"/>
        </w:rPr>
        <w:t>12. 12</w:t>
      </w:r>
      <w:r w:rsidRPr="00F04234">
        <w:rPr>
          <w:rFonts w:eastAsia="Times New Roman" w:cs="Arial"/>
          <w:b/>
          <w:bCs/>
          <w:i/>
          <w:sz w:val="20"/>
          <w:szCs w:val="20"/>
          <w:shd w:val="clear" w:color="auto" w:fill="FFFFFF"/>
          <w:lang w:val="es-ES" w:eastAsia="es-ES"/>
        </w:rPr>
        <w:t>. Dirigido al </w:t>
      </w:r>
      <w:r w:rsidRPr="00F04234">
        <w:rPr>
          <w:rFonts w:eastAsia="Times New Roman" w:cs="Arial"/>
          <w:b/>
          <w:i/>
          <w:sz w:val="20"/>
          <w:szCs w:val="20"/>
          <w:shd w:val="clear" w:color="auto" w:fill="FFFFFF"/>
          <w:lang w:val="es-ES" w:eastAsia="es-ES"/>
        </w:rPr>
        <w:t>Comité Permanente</w:t>
      </w:r>
    </w:p>
    <w:p w:rsidR="00F04234" w:rsidRPr="00F04234" w:rsidRDefault="00F04234" w:rsidP="00F04234">
      <w:pPr>
        <w:shd w:val="clear" w:color="auto" w:fill="FFFFFF"/>
        <w:spacing w:after="0" w:line="240" w:lineRule="auto"/>
        <w:rPr>
          <w:rFonts w:eastAsia="Times New Roman" w:cs="Arial"/>
          <w:i/>
          <w:sz w:val="20"/>
          <w:szCs w:val="20"/>
          <w:lang w:val="es-ES" w:eastAsia="es-ES"/>
        </w:rPr>
      </w:pPr>
    </w:p>
    <w:p w:rsidR="00F04234" w:rsidRPr="00F04234" w:rsidRDefault="00F04234" w:rsidP="00F04234">
      <w:pPr>
        <w:shd w:val="clear" w:color="auto" w:fill="FFFFFF"/>
        <w:spacing w:after="0" w:line="240" w:lineRule="auto"/>
        <w:ind w:left="1276"/>
        <w:jc w:val="both"/>
        <w:rPr>
          <w:rFonts w:eastAsia="Times New Roman" w:cs="Arial"/>
          <w:i/>
          <w:sz w:val="20"/>
          <w:szCs w:val="20"/>
          <w:lang w:val="es-ES" w:eastAsia="es-ES"/>
        </w:rPr>
      </w:pPr>
      <w:r w:rsidRPr="00F04234">
        <w:rPr>
          <w:rFonts w:cs="Arial"/>
          <w:i/>
          <w:sz w:val="20"/>
          <w:szCs w:val="20"/>
          <w:shd w:val="clear" w:color="auto" w:fill="FFFFFF"/>
          <w:lang w:val="es-ES"/>
        </w:rPr>
        <w:t>El Comité Permanente deberá revisar y considerar las enmiendas propuestas o la nueva Resolución del Consejo Científico aludida en la Decisión 12.11 (b) y presentar cualquier propuesta de enmienda o de nueva Resolución a la 13ª reunión de la Conferencia de las Partes para su consideración y Decisión.</w:t>
      </w:r>
    </w:p>
    <w:p w:rsidR="00F04234" w:rsidRPr="00F04234" w:rsidRDefault="00F04234" w:rsidP="00F04234">
      <w:pPr>
        <w:spacing w:after="0"/>
        <w:rPr>
          <w:lang w:val="es-ES"/>
        </w:rPr>
      </w:pPr>
    </w:p>
    <w:p w:rsidR="00F04234" w:rsidRPr="00F04234" w:rsidRDefault="00F04234" w:rsidP="00F04234">
      <w:pPr>
        <w:adjustRightInd w:val="0"/>
        <w:spacing w:after="0"/>
        <w:jc w:val="both"/>
        <w:rPr>
          <w:rFonts w:cs="Arial"/>
          <w:u w:val="single"/>
          <w:lang w:val="es-ES"/>
        </w:rPr>
      </w:pPr>
      <w:r w:rsidRPr="00F04234">
        <w:rPr>
          <w:rFonts w:cs="Arial"/>
          <w:u w:val="single"/>
          <w:lang w:val="es-ES"/>
        </w:rPr>
        <w:t>Implementación de la Decisión 12.11</w:t>
      </w:r>
    </w:p>
    <w:p w:rsidR="00F04234" w:rsidRPr="00F04234" w:rsidRDefault="00F04234" w:rsidP="00F04234">
      <w:pPr>
        <w:spacing w:after="0"/>
        <w:rPr>
          <w:lang w:val="es-ES"/>
        </w:rPr>
      </w:pPr>
    </w:p>
    <w:p w:rsidR="00F04234" w:rsidRPr="00F04234" w:rsidRDefault="00F04234" w:rsidP="00F04234">
      <w:pPr>
        <w:widowControl w:val="0"/>
        <w:suppressAutoHyphens/>
        <w:autoSpaceDE w:val="0"/>
        <w:autoSpaceDN w:val="0"/>
        <w:spacing w:after="0" w:line="240" w:lineRule="auto"/>
        <w:contextualSpacing/>
        <w:jc w:val="both"/>
        <w:textAlignment w:val="baseline"/>
        <w:rPr>
          <w:rFonts w:cs="Arial"/>
          <w:lang w:val="es-ES"/>
        </w:rPr>
      </w:pPr>
      <w:r w:rsidRPr="00F04234">
        <w:rPr>
          <w:rFonts w:cs="Arial"/>
          <w:i/>
          <w:lang w:val="es-ES"/>
        </w:rPr>
        <w:t>Resolución 7.18 (Rev.COP12)</w:t>
      </w:r>
      <w:r w:rsidRPr="00F04234">
        <w:rPr>
          <w:rFonts w:cs="Arial"/>
          <w:lang w:val="es-ES"/>
        </w:rPr>
        <w:t xml:space="preserve"> </w:t>
      </w:r>
      <w:r w:rsidRPr="00F04234">
        <w:rPr>
          <w:rFonts w:cs="Arial"/>
          <w:i/>
          <w:lang w:val="es-ES"/>
        </w:rPr>
        <w:t>Acuerdo para la conservación del dugongo</w:t>
      </w:r>
      <w:r w:rsidRPr="00F04234">
        <w:rPr>
          <w:rFonts w:cs="Arial"/>
          <w:lang w:val="es-ES"/>
        </w:rPr>
        <w:t xml:space="preserve"> (</w:t>
      </w:r>
      <w:proofErr w:type="spellStart"/>
      <w:r w:rsidRPr="00F04234">
        <w:rPr>
          <w:rFonts w:cs="Arial"/>
          <w:i/>
          <w:lang w:val="es-ES"/>
        </w:rPr>
        <w:t>Dugong</w:t>
      </w:r>
      <w:proofErr w:type="spellEnd"/>
      <w:r w:rsidRPr="00F04234">
        <w:rPr>
          <w:rFonts w:cs="Arial"/>
          <w:lang w:val="es-ES"/>
        </w:rPr>
        <w:t xml:space="preserve"> </w:t>
      </w:r>
      <w:proofErr w:type="spellStart"/>
      <w:r w:rsidRPr="00F04234">
        <w:rPr>
          <w:rFonts w:cs="Arial"/>
          <w:i/>
          <w:lang w:val="es-ES"/>
        </w:rPr>
        <w:t>dugon</w:t>
      </w:r>
      <w:proofErr w:type="spellEnd"/>
      <w:r w:rsidRPr="00F04234">
        <w:rPr>
          <w:rFonts w:cs="Arial"/>
          <w:lang w:val="es-ES"/>
        </w:rPr>
        <w:t>)</w:t>
      </w:r>
    </w:p>
    <w:p w:rsidR="00F04234" w:rsidRPr="00F04234" w:rsidRDefault="00F04234" w:rsidP="00F04234">
      <w:pPr>
        <w:spacing w:after="0"/>
        <w:rPr>
          <w:lang w:val="es-ES"/>
        </w:rPr>
      </w:pPr>
    </w:p>
    <w:p w:rsidR="00F04234" w:rsidRPr="00F04234" w:rsidRDefault="00F04234" w:rsidP="00551BC0">
      <w:pPr>
        <w:pStyle w:val="Firstnumbering1"/>
      </w:pPr>
      <w:r w:rsidRPr="00F04234">
        <w:t>En la 4</w:t>
      </w:r>
      <w:r w:rsidRPr="00F04234">
        <w:rPr>
          <w:vertAlign w:val="superscript"/>
        </w:rPr>
        <w:t>ª</w:t>
      </w:r>
      <w:r w:rsidRPr="00F04234">
        <w:t xml:space="preserve"> Reunión del Comité del Periodo de Sesiones del Consejo Científico (ScC-SC3 y ScC-SC4), </w:t>
      </w:r>
      <w:r>
        <w:t>el Consejo Científico</w:t>
      </w:r>
      <w:r w:rsidRPr="00F04234">
        <w:t xml:space="preserve"> </w:t>
      </w:r>
      <w:proofErr w:type="spellStart"/>
      <w:r w:rsidRPr="00F04234">
        <w:t>revisar</w:t>
      </w:r>
      <w:r w:rsidR="00551BC0">
        <w:t>ó</w:t>
      </w:r>
      <w:proofErr w:type="spellEnd"/>
      <w:r w:rsidRPr="00F04234">
        <w:t xml:space="preserve"> la Resolución 7.18 (Rev.COP12). Ya que el objetivo de la Resolución en el momento de su adopción era el de preparar el desarrollo de un acuerdo específico, los consejeros concluyeron que la Resolución ya no era necesaria desde el momento en que entró en vigor el memorando de entendimiento sobre la conservación de los dugongos (</w:t>
      </w:r>
      <w:proofErr w:type="spellStart"/>
      <w:r w:rsidRPr="00F04234">
        <w:rPr>
          <w:i/>
        </w:rPr>
        <w:t>Dugong</w:t>
      </w:r>
      <w:proofErr w:type="spellEnd"/>
      <w:r w:rsidRPr="00F04234">
        <w:rPr>
          <w:i/>
        </w:rPr>
        <w:t xml:space="preserve"> </w:t>
      </w:r>
      <w:proofErr w:type="spellStart"/>
      <w:r w:rsidRPr="00F04234">
        <w:rPr>
          <w:i/>
        </w:rPr>
        <w:t>dugon</w:t>
      </w:r>
      <w:proofErr w:type="spellEnd"/>
      <w:r w:rsidRPr="00F04234">
        <w:t>) y sus hábitats en toda su área de distribución geográfica en 2007.</w:t>
      </w:r>
    </w:p>
    <w:p w:rsidR="00F04234" w:rsidRPr="00F04234" w:rsidRDefault="00F04234" w:rsidP="00F04234">
      <w:pPr>
        <w:adjustRightInd w:val="0"/>
        <w:spacing w:after="0"/>
        <w:ind w:left="360"/>
        <w:contextualSpacing/>
        <w:jc w:val="both"/>
        <w:rPr>
          <w:rFonts w:cs="Arial"/>
          <w:lang w:val="es-ES"/>
        </w:rPr>
      </w:pPr>
    </w:p>
    <w:p w:rsidR="00F04234" w:rsidRPr="00F04234" w:rsidRDefault="00F04234" w:rsidP="00551BC0">
      <w:pPr>
        <w:pStyle w:val="Firstnumbering1"/>
      </w:pPr>
      <w:r w:rsidRPr="00F04234">
        <w:t xml:space="preserve">Dado que el </w:t>
      </w:r>
      <w:proofErr w:type="spellStart"/>
      <w:r w:rsidRPr="00F04234">
        <w:t>MdE</w:t>
      </w:r>
      <w:proofErr w:type="spellEnd"/>
      <w:r w:rsidRPr="00F04234">
        <w:t xml:space="preserve"> contiene numerosas actividades, incluidos múltiples proyectos grandes, junto con un coordinador a tiempo completo en la oficina de la CMS en Abu </w:t>
      </w:r>
      <w:proofErr w:type="spellStart"/>
      <w:r w:rsidRPr="00F04234">
        <w:t>Dhabi</w:t>
      </w:r>
      <w:proofErr w:type="spellEnd"/>
      <w:r w:rsidRPr="00F04234">
        <w:t xml:space="preserve">, Emiratos Árabes Unidos, cualquier actividad de conservación nueva o emergente desarrollada en relación con los dugongos puede y debería realizarse bajo los auspicios de este </w:t>
      </w:r>
      <w:proofErr w:type="spellStart"/>
      <w:r w:rsidRPr="00F04234">
        <w:t>MdE</w:t>
      </w:r>
      <w:proofErr w:type="spellEnd"/>
      <w:r w:rsidRPr="00F04234">
        <w:t xml:space="preserve">.    </w:t>
      </w:r>
    </w:p>
    <w:p w:rsidR="00F04234" w:rsidRPr="00F04234" w:rsidRDefault="00F04234" w:rsidP="00F04234">
      <w:pPr>
        <w:adjustRightInd w:val="0"/>
        <w:spacing w:after="0"/>
        <w:ind w:left="360"/>
        <w:contextualSpacing/>
        <w:jc w:val="both"/>
        <w:rPr>
          <w:rFonts w:cs="Arial"/>
          <w:lang w:val="es-ES"/>
        </w:rPr>
      </w:pPr>
    </w:p>
    <w:p w:rsidR="00F04234" w:rsidRPr="00F04234" w:rsidRDefault="00F04234" w:rsidP="00551BC0">
      <w:pPr>
        <w:pStyle w:val="Firstnumbering1"/>
      </w:pPr>
      <w:r w:rsidRPr="00F04234">
        <w:t>El Consejo Científico, por lo tanto, recomend</w:t>
      </w:r>
      <w:r w:rsidR="00551BC0">
        <w:t>ó</w:t>
      </w:r>
      <w:r w:rsidRPr="00F04234">
        <w:t xml:space="preserve"> </w:t>
      </w:r>
      <w:r w:rsidR="00551BC0">
        <w:t>derogar</w:t>
      </w:r>
      <w:r w:rsidRPr="00F04234">
        <w:t xml:space="preserve"> la Resolución 7.18 (Rev.COP12) por completo. </w:t>
      </w:r>
    </w:p>
    <w:p w:rsidR="00F04234" w:rsidRPr="00F04234" w:rsidRDefault="00F04234" w:rsidP="00F04234">
      <w:pPr>
        <w:adjustRightInd w:val="0"/>
        <w:spacing w:after="0"/>
        <w:jc w:val="both"/>
        <w:rPr>
          <w:rFonts w:cs="Arial"/>
          <w:b/>
          <w:lang w:val="es-ES"/>
        </w:rPr>
      </w:pPr>
    </w:p>
    <w:p w:rsidR="00F04234" w:rsidRPr="00F04234" w:rsidRDefault="00F04234" w:rsidP="00F04234">
      <w:pPr>
        <w:adjustRightInd w:val="0"/>
        <w:spacing w:after="0"/>
        <w:jc w:val="both"/>
        <w:rPr>
          <w:rFonts w:cs="Arial"/>
          <w:lang w:val="es-ES"/>
        </w:rPr>
      </w:pPr>
      <w:r w:rsidRPr="00F04234">
        <w:rPr>
          <w:rFonts w:cs="Arial"/>
          <w:i/>
          <w:lang w:val="es-ES"/>
        </w:rPr>
        <w:lastRenderedPageBreak/>
        <w:t>Resolución 8.16 (Rev.COP12)</w:t>
      </w:r>
      <w:r w:rsidRPr="00F04234">
        <w:rPr>
          <w:rFonts w:cs="Arial"/>
          <w:lang w:val="es-ES"/>
        </w:rPr>
        <w:t xml:space="preserve"> </w:t>
      </w:r>
      <w:r w:rsidRPr="00F04234">
        <w:rPr>
          <w:rFonts w:cs="Arial"/>
          <w:i/>
          <w:lang w:val="es-ES"/>
        </w:rPr>
        <w:t>Tiburones migratorios</w:t>
      </w:r>
      <w:r w:rsidRPr="00F04234">
        <w:rPr>
          <w:rFonts w:cs="Arial"/>
          <w:lang w:val="es-ES"/>
        </w:rPr>
        <w:t>;</w:t>
      </w:r>
    </w:p>
    <w:p w:rsidR="00F04234" w:rsidRPr="00F04234" w:rsidRDefault="00F04234" w:rsidP="00F04234">
      <w:pPr>
        <w:adjustRightInd w:val="0"/>
        <w:spacing w:after="0"/>
        <w:jc w:val="both"/>
        <w:rPr>
          <w:rFonts w:cs="Arial"/>
          <w:b/>
          <w:lang w:val="es-ES"/>
        </w:rPr>
      </w:pPr>
    </w:p>
    <w:p w:rsidR="00F04234" w:rsidRPr="00F04234" w:rsidRDefault="00F04234" w:rsidP="00551BC0">
      <w:pPr>
        <w:pStyle w:val="Firstnumbering1"/>
        <w:rPr>
          <w:b/>
        </w:rPr>
      </w:pPr>
      <w:r w:rsidRPr="00F04234">
        <w:t>En</w:t>
      </w:r>
      <w:r w:rsidR="00551BC0">
        <w:t xml:space="preserve"> la reunión</w:t>
      </w:r>
      <w:r w:rsidRPr="00F04234">
        <w:t xml:space="preserve"> ScC-SC4, </w:t>
      </w:r>
      <w:r w:rsidR="00551BC0">
        <w:t xml:space="preserve">el Consejo Científico </w:t>
      </w:r>
      <w:proofErr w:type="spellStart"/>
      <w:r w:rsidRPr="00F04234">
        <w:t>revis</w:t>
      </w:r>
      <w:r w:rsidR="00551BC0">
        <w:t>ó</w:t>
      </w:r>
      <w:r w:rsidRPr="00F04234">
        <w:t>n</w:t>
      </w:r>
      <w:proofErr w:type="spellEnd"/>
      <w:r w:rsidRPr="00F04234">
        <w:t xml:space="preserve"> la Resolución 8.16 (Rev.COP12) y recomendaron la consolidación de la Resolución 8.16 (Rev.COP12) y la Resolución 11.20 sobre la Conservación de tiburones y rayas. Además, </w:t>
      </w:r>
      <w:r w:rsidR="00551BC0">
        <w:t>el Consejo Científico</w:t>
      </w:r>
      <w:r w:rsidRPr="00F04234">
        <w:t xml:space="preserve"> propu</w:t>
      </w:r>
      <w:r w:rsidR="00551BC0">
        <w:t>so</w:t>
      </w:r>
      <w:r w:rsidRPr="00F04234">
        <w:t xml:space="preserve"> añadir algunos párrafos adicionales a esta Resolución consolidada en referencia a la implementación del Artículo III (5) de la Convención sobre las especies de </w:t>
      </w:r>
      <w:proofErr w:type="spellStart"/>
      <w:r w:rsidRPr="00F04234">
        <w:t>condrictios</w:t>
      </w:r>
      <w:proofErr w:type="spellEnd"/>
      <w:r w:rsidRPr="00F04234">
        <w:t>. Estas acciones se debatieron en el documento UNEP/CMS/</w:t>
      </w:r>
      <w:r w:rsidR="00551BC0">
        <w:t>COP13/Doc.26.2.7,</w:t>
      </w:r>
      <w:r w:rsidRPr="00F04234">
        <w:t xml:space="preserve"> </w:t>
      </w:r>
    </w:p>
    <w:p w:rsidR="00F04234" w:rsidRPr="00F04234" w:rsidRDefault="00F04234" w:rsidP="00F04234">
      <w:pPr>
        <w:adjustRightInd w:val="0"/>
        <w:spacing w:after="0"/>
        <w:jc w:val="both"/>
        <w:rPr>
          <w:rFonts w:cs="Arial"/>
          <w:i/>
          <w:lang w:val="es-ES"/>
        </w:rPr>
      </w:pPr>
    </w:p>
    <w:p w:rsidR="00F04234" w:rsidRPr="00F04234" w:rsidRDefault="00F04234" w:rsidP="00F04234">
      <w:pPr>
        <w:adjustRightInd w:val="0"/>
        <w:spacing w:after="0"/>
        <w:jc w:val="both"/>
        <w:rPr>
          <w:rFonts w:cs="Arial"/>
          <w:i/>
          <w:lang w:val="es-ES"/>
        </w:rPr>
      </w:pPr>
      <w:r w:rsidRPr="00F04234">
        <w:rPr>
          <w:rFonts w:cs="Arial"/>
          <w:i/>
          <w:lang w:val="es-ES"/>
        </w:rPr>
        <w:t>Resolución 6.3 (Rev.COP12)</w:t>
      </w:r>
      <w:r w:rsidRPr="00F04234">
        <w:rPr>
          <w:rFonts w:cs="Arial"/>
          <w:lang w:val="es-ES"/>
        </w:rPr>
        <w:t xml:space="preserve"> </w:t>
      </w:r>
      <w:r w:rsidRPr="00F04234">
        <w:rPr>
          <w:rFonts w:cs="Arial"/>
          <w:i/>
          <w:lang w:val="es-ES"/>
        </w:rPr>
        <w:t>Conservación de albatros en el hemisferio sur</w:t>
      </w:r>
    </w:p>
    <w:p w:rsidR="00F04234" w:rsidRPr="00F04234" w:rsidRDefault="00F04234" w:rsidP="00F04234">
      <w:pPr>
        <w:adjustRightInd w:val="0"/>
        <w:spacing w:after="0"/>
        <w:jc w:val="both"/>
        <w:rPr>
          <w:rFonts w:cs="Arial"/>
          <w:i/>
          <w:lang w:val="es-ES"/>
        </w:rPr>
      </w:pPr>
    </w:p>
    <w:p w:rsidR="00F04234" w:rsidRPr="00F04234" w:rsidRDefault="00F04234" w:rsidP="00551BC0">
      <w:pPr>
        <w:pStyle w:val="Firstnumbering1"/>
      </w:pPr>
      <w:r w:rsidRPr="00F04234">
        <w:t>En</w:t>
      </w:r>
      <w:r w:rsidR="00551BC0">
        <w:t xml:space="preserve"> la reunión</w:t>
      </w:r>
      <w:r w:rsidRPr="00F04234">
        <w:t xml:space="preserve"> ScC-SC4, </w:t>
      </w:r>
      <w:r w:rsidR="00551BC0">
        <w:t>el Consejo Científico revisó</w:t>
      </w:r>
      <w:r w:rsidRPr="00F04234">
        <w:t xml:space="preserve"> la Resolución 6.3 (Rev.COP12). Dado que la finalidad de la Resolución en el momento de su adopción era la de preparar el desarrollo de un acuerdo específico, el Consejo concluyó que la Resolución ya no era necesaria desde el momento en que el acuerdo sobre la conservación de albatros y petreles (ACAP) entró en vigor en 2004.  Además, el enfoque único sobre el hemisferio sur está desactualizado.</w:t>
      </w:r>
    </w:p>
    <w:p w:rsidR="00F04234" w:rsidRPr="00F04234" w:rsidRDefault="00F04234" w:rsidP="00F04234">
      <w:pPr>
        <w:adjustRightInd w:val="0"/>
        <w:spacing w:after="0"/>
        <w:ind w:left="360"/>
        <w:contextualSpacing/>
        <w:jc w:val="both"/>
        <w:rPr>
          <w:rFonts w:cs="Arial"/>
          <w:lang w:val="es-ES"/>
        </w:rPr>
      </w:pPr>
    </w:p>
    <w:p w:rsidR="00F04234" w:rsidRPr="00F04234" w:rsidRDefault="00F04234" w:rsidP="00551BC0">
      <w:pPr>
        <w:pStyle w:val="Firstnumbering1"/>
      </w:pPr>
      <w:r w:rsidRPr="00F04234">
        <w:t>Debido a papel activo que desempeña el ACAP, con una Secretaría propia en Hobart, Australia, y un presupuesto considerable, cualquier actividad de conservación nueva o emergente desarrollada en relación con los albatros debería realizarse bajos los auspicios del ACAP.</w:t>
      </w:r>
    </w:p>
    <w:p w:rsidR="00F04234" w:rsidRPr="00F04234" w:rsidRDefault="00F04234" w:rsidP="00F04234">
      <w:pPr>
        <w:adjustRightInd w:val="0"/>
        <w:spacing w:after="0"/>
        <w:ind w:left="360"/>
        <w:contextualSpacing/>
        <w:jc w:val="both"/>
        <w:rPr>
          <w:rFonts w:cs="Arial"/>
          <w:lang w:val="es-ES"/>
        </w:rPr>
      </w:pPr>
    </w:p>
    <w:p w:rsidR="00F04234" w:rsidRPr="00F04234" w:rsidRDefault="00F04234" w:rsidP="00551BC0">
      <w:pPr>
        <w:pStyle w:val="Firstnumbering1"/>
      </w:pPr>
      <w:r w:rsidRPr="00F04234">
        <w:t>El Consejo Científico, por lo tanto, recomend</w:t>
      </w:r>
      <w:r w:rsidR="00551BC0">
        <w:t>ó derogar</w:t>
      </w:r>
      <w:r w:rsidRPr="00F04234">
        <w:t xml:space="preserve"> la Resolución 6.3 (Rev.COP12) por completo. </w:t>
      </w:r>
    </w:p>
    <w:p w:rsidR="00F04234" w:rsidRPr="00F04234" w:rsidRDefault="00F04234" w:rsidP="00F04234">
      <w:pPr>
        <w:adjustRightInd w:val="0"/>
        <w:spacing w:after="0"/>
        <w:jc w:val="both"/>
        <w:rPr>
          <w:rFonts w:cs="Arial"/>
          <w:u w:val="single"/>
          <w:lang w:val="es-ES"/>
        </w:rPr>
      </w:pPr>
    </w:p>
    <w:p w:rsidR="00F04234" w:rsidRPr="00F04234" w:rsidRDefault="00F04234" w:rsidP="00F04234">
      <w:pPr>
        <w:adjustRightInd w:val="0"/>
        <w:spacing w:after="0"/>
        <w:jc w:val="both"/>
        <w:rPr>
          <w:rFonts w:cs="Arial"/>
          <w:u w:val="single"/>
          <w:lang w:val="es-ES"/>
        </w:rPr>
      </w:pPr>
      <w:r w:rsidRPr="00F04234">
        <w:rPr>
          <w:rFonts w:cs="Arial"/>
          <w:u w:val="single"/>
          <w:lang w:val="es-ES"/>
        </w:rPr>
        <w:t>Puesta en marcha de la Decisión 12.12</w:t>
      </w:r>
    </w:p>
    <w:p w:rsidR="00F04234" w:rsidRPr="00F04234" w:rsidRDefault="00F04234" w:rsidP="00F04234">
      <w:pPr>
        <w:adjustRightInd w:val="0"/>
        <w:spacing w:after="0"/>
        <w:jc w:val="both"/>
        <w:rPr>
          <w:rFonts w:cs="Arial"/>
          <w:u w:val="single"/>
          <w:lang w:val="es-ES"/>
        </w:rPr>
      </w:pPr>
    </w:p>
    <w:p w:rsidR="00F04234" w:rsidRPr="00F04234" w:rsidRDefault="00F04234" w:rsidP="00551BC0">
      <w:pPr>
        <w:pStyle w:val="Firstnumbering1"/>
      </w:pPr>
      <w:r w:rsidRPr="00F04234">
        <w:t xml:space="preserve">De acuerdo con la Decisión 12.12, este documento también se </w:t>
      </w:r>
      <w:r w:rsidR="00551BC0">
        <w:t>incluyó</w:t>
      </w:r>
      <w:r w:rsidRPr="00F04234">
        <w:t xml:space="preserve"> en el orden del día de la 49</w:t>
      </w:r>
      <w:r w:rsidRPr="00F04234">
        <w:rPr>
          <w:vertAlign w:val="superscript"/>
        </w:rPr>
        <w:t>ª</w:t>
      </w:r>
      <w:r w:rsidRPr="00F04234">
        <w:t xml:space="preserve"> Reunión del Comité Permanente</w:t>
      </w:r>
      <w:r w:rsidR="00551BC0">
        <w:t xml:space="preserve">, </w:t>
      </w:r>
      <w:r w:rsidR="00551BC0" w:rsidRPr="00551BC0">
        <w:t>convocado el 19 de noviembre de 2019.   El Comité estuvo de acuerdo con las recomendaciones del Consejo Científico</w:t>
      </w:r>
    </w:p>
    <w:p w:rsidR="00F04234" w:rsidRDefault="00F04234" w:rsidP="00F04234">
      <w:pPr>
        <w:spacing w:after="0"/>
        <w:rPr>
          <w:rFonts w:cs="Arial"/>
          <w:u w:val="single"/>
          <w:lang w:val="es-ES"/>
        </w:rPr>
      </w:pPr>
    </w:p>
    <w:p w:rsidR="00551BC0" w:rsidRPr="00F04234" w:rsidRDefault="00551BC0" w:rsidP="00F04234">
      <w:pPr>
        <w:spacing w:after="0"/>
        <w:rPr>
          <w:rFonts w:cs="Arial"/>
          <w:u w:val="single"/>
          <w:lang w:val="es-ES"/>
        </w:rPr>
      </w:pPr>
    </w:p>
    <w:p w:rsidR="00F04234" w:rsidRPr="00F04234" w:rsidRDefault="00F04234" w:rsidP="00F04234">
      <w:pPr>
        <w:spacing w:after="0"/>
        <w:rPr>
          <w:rFonts w:cs="Arial"/>
          <w:u w:val="single"/>
          <w:lang w:val="es-ES"/>
        </w:rPr>
      </w:pPr>
      <w:r w:rsidRPr="00F04234">
        <w:rPr>
          <w:rFonts w:cs="Arial"/>
          <w:u w:val="single"/>
          <w:lang w:val="es-ES"/>
        </w:rPr>
        <w:t>Acciones recomendadas:</w:t>
      </w:r>
    </w:p>
    <w:p w:rsidR="00F04234" w:rsidRPr="00F04234" w:rsidRDefault="00F04234" w:rsidP="00F04234">
      <w:pPr>
        <w:spacing w:after="0"/>
        <w:rPr>
          <w:rFonts w:cs="Arial"/>
          <w:u w:val="single"/>
          <w:lang w:val="es-ES"/>
        </w:rPr>
      </w:pPr>
    </w:p>
    <w:p w:rsidR="00F04234" w:rsidRPr="00F04234" w:rsidRDefault="00F04234" w:rsidP="00551BC0">
      <w:pPr>
        <w:pStyle w:val="Firstnumbering1"/>
      </w:pPr>
      <w:r w:rsidRPr="00F04234">
        <w:t>Se recomienda a</w:t>
      </w:r>
      <w:r w:rsidR="00551BC0">
        <w:t xml:space="preserve"> </w:t>
      </w:r>
      <w:r w:rsidRPr="00F04234">
        <w:t>l</w:t>
      </w:r>
      <w:r w:rsidR="00551BC0">
        <w:t>a</w:t>
      </w:r>
      <w:r w:rsidRPr="00F04234">
        <w:t xml:space="preserve"> Con</w:t>
      </w:r>
      <w:r w:rsidR="00551BC0">
        <w:t>ferencia de las Partes</w:t>
      </w:r>
      <w:r w:rsidRPr="00F04234">
        <w:t xml:space="preserve">:  </w:t>
      </w:r>
    </w:p>
    <w:p w:rsidR="00F04234" w:rsidRPr="00F04234" w:rsidRDefault="00F04234" w:rsidP="00F04234">
      <w:pPr>
        <w:widowControl w:val="0"/>
        <w:suppressAutoHyphens/>
        <w:autoSpaceDE w:val="0"/>
        <w:autoSpaceDN w:val="0"/>
        <w:spacing w:after="0" w:line="240" w:lineRule="auto"/>
        <w:ind w:left="504"/>
        <w:contextualSpacing/>
        <w:jc w:val="both"/>
        <w:textAlignment w:val="baseline"/>
        <w:rPr>
          <w:rFonts w:eastAsia="Times New Roman" w:cs="Arial"/>
          <w:sz w:val="20"/>
          <w:szCs w:val="24"/>
          <w:lang w:val="es-ES"/>
        </w:rPr>
      </w:pPr>
    </w:p>
    <w:p w:rsidR="00F04234" w:rsidRPr="00F04234" w:rsidRDefault="00551BC0" w:rsidP="00F04234">
      <w:pPr>
        <w:widowControl w:val="0"/>
        <w:numPr>
          <w:ilvl w:val="0"/>
          <w:numId w:val="13"/>
        </w:numPr>
        <w:autoSpaceDE w:val="0"/>
        <w:autoSpaceDN w:val="0"/>
        <w:adjustRightInd w:val="0"/>
        <w:spacing w:after="0" w:line="240" w:lineRule="auto"/>
        <w:ind w:left="1440" w:hanging="720"/>
        <w:contextualSpacing/>
        <w:jc w:val="both"/>
        <w:rPr>
          <w:rFonts w:cs="Arial"/>
          <w:lang w:val="es-ES"/>
        </w:rPr>
      </w:pPr>
      <w:r>
        <w:rPr>
          <w:rFonts w:cs="Arial"/>
          <w:lang w:val="es-ES"/>
        </w:rPr>
        <w:t>derogar</w:t>
      </w:r>
      <w:r w:rsidR="00F04234" w:rsidRPr="00F04234">
        <w:rPr>
          <w:rFonts w:cs="Arial"/>
          <w:lang w:val="es-ES"/>
        </w:rPr>
        <w:t xml:space="preserve"> la Resolución 7.18 (Rev.COP12) y de la Resolución 6.3 (Rev.COP12);</w:t>
      </w:r>
    </w:p>
    <w:p w:rsidR="00F04234" w:rsidRPr="00F04234" w:rsidRDefault="00F04234" w:rsidP="00F04234">
      <w:pPr>
        <w:adjustRightInd w:val="0"/>
        <w:spacing w:after="0"/>
        <w:ind w:left="1440"/>
        <w:contextualSpacing/>
        <w:jc w:val="both"/>
        <w:rPr>
          <w:rFonts w:cs="Arial"/>
          <w:lang w:val="es-ES"/>
        </w:rPr>
      </w:pPr>
    </w:p>
    <w:p w:rsidR="00F04234" w:rsidRPr="00F04234" w:rsidRDefault="00551BC0" w:rsidP="00F04234">
      <w:pPr>
        <w:widowControl w:val="0"/>
        <w:numPr>
          <w:ilvl w:val="0"/>
          <w:numId w:val="13"/>
        </w:numPr>
        <w:autoSpaceDE w:val="0"/>
        <w:autoSpaceDN w:val="0"/>
        <w:adjustRightInd w:val="0"/>
        <w:spacing w:after="0" w:line="240" w:lineRule="auto"/>
        <w:ind w:left="1440" w:hanging="720"/>
        <w:contextualSpacing/>
        <w:jc w:val="both"/>
        <w:rPr>
          <w:rFonts w:cs="Arial"/>
          <w:lang w:val="es-ES"/>
        </w:rPr>
      </w:pPr>
      <w:r>
        <w:rPr>
          <w:rFonts w:cs="Arial"/>
          <w:lang w:val="es-ES"/>
        </w:rPr>
        <w:t>eliminar</w:t>
      </w:r>
      <w:r w:rsidR="00F04234" w:rsidRPr="00F04234">
        <w:rPr>
          <w:rFonts w:cs="Arial"/>
          <w:lang w:val="es-ES"/>
        </w:rPr>
        <w:t xml:space="preserve"> las Decisiones 12.11 y 12.12.</w:t>
      </w:r>
    </w:p>
    <w:p w:rsidR="00F04234" w:rsidRPr="00F04234" w:rsidRDefault="00F04234" w:rsidP="00F04234">
      <w:pPr>
        <w:spacing w:after="0" w:line="240" w:lineRule="auto"/>
        <w:rPr>
          <w:rFonts w:eastAsia="Times New Roman" w:cs="Arial"/>
          <w:sz w:val="24"/>
          <w:szCs w:val="24"/>
          <w:lang w:val="es-ES"/>
        </w:rPr>
      </w:pPr>
    </w:p>
    <w:p w:rsidR="00F04234" w:rsidRPr="00F04234" w:rsidRDefault="00F04234" w:rsidP="00F04234">
      <w:pPr>
        <w:spacing w:after="0" w:line="240" w:lineRule="auto"/>
        <w:ind w:left="504"/>
        <w:contextualSpacing/>
        <w:rPr>
          <w:rFonts w:eastAsia="Times New Roman" w:cs="Arial"/>
          <w:sz w:val="24"/>
          <w:szCs w:val="24"/>
          <w:lang w:val="es-ES"/>
        </w:rPr>
      </w:pPr>
    </w:p>
    <w:p w:rsidR="00002A97" w:rsidRPr="00F04234" w:rsidRDefault="00002A97" w:rsidP="00F04234">
      <w:pPr>
        <w:pStyle w:val="Title1"/>
        <w:spacing w:after="0"/>
      </w:pPr>
    </w:p>
    <w:sectPr w:rsidR="00002A97" w:rsidRPr="00F04234"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29223"/>
      <w:docPartObj>
        <w:docPartGallery w:val="Page Numbers (Bottom of Page)"/>
        <w:docPartUnique/>
      </w:docPartObj>
    </w:sdtPr>
    <w:sdtEndPr>
      <w:rPr>
        <w:noProof/>
        <w:sz w:val="18"/>
        <w:szCs w:val="18"/>
      </w:rPr>
    </w:sdtEndPr>
    <w:sdtContent>
      <w:p w:rsidR="00551BC0" w:rsidRPr="00551BC0" w:rsidRDefault="00551BC0">
        <w:pPr>
          <w:pStyle w:val="Footer"/>
          <w:jc w:val="center"/>
          <w:rPr>
            <w:sz w:val="18"/>
            <w:szCs w:val="18"/>
          </w:rPr>
        </w:pPr>
        <w:r w:rsidRPr="00551BC0">
          <w:rPr>
            <w:sz w:val="18"/>
            <w:szCs w:val="18"/>
          </w:rPr>
          <w:fldChar w:fldCharType="begin"/>
        </w:r>
        <w:r w:rsidRPr="00551BC0">
          <w:rPr>
            <w:sz w:val="18"/>
            <w:szCs w:val="18"/>
          </w:rPr>
          <w:instrText xml:space="preserve"> PAGE   \* MERGEFORMAT </w:instrText>
        </w:r>
        <w:r w:rsidRPr="00551BC0">
          <w:rPr>
            <w:sz w:val="18"/>
            <w:szCs w:val="18"/>
          </w:rPr>
          <w:fldChar w:fldCharType="separate"/>
        </w:r>
        <w:r w:rsidRPr="00551BC0">
          <w:rPr>
            <w:noProof/>
            <w:sz w:val="18"/>
            <w:szCs w:val="18"/>
          </w:rPr>
          <w:t>2</w:t>
        </w:r>
        <w:r w:rsidRPr="00551BC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49357"/>
      <w:docPartObj>
        <w:docPartGallery w:val="Page Numbers (Bottom of Page)"/>
        <w:docPartUnique/>
      </w:docPartObj>
    </w:sdtPr>
    <w:sdtEndPr>
      <w:rPr>
        <w:noProof/>
        <w:sz w:val="18"/>
        <w:szCs w:val="18"/>
      </w:rPr>
    </w:sdtEndPr>
    <w:sdtContent>
      <w:p w:rsidR="00551BC0" w:rsidRPr="00551BC0" w:rsidRDefault="00551BC0">
        <w:pPr>
          <w:pStyle w:val="Footer"/>
          <w:jc w:val="center"/>
          <w:rPr>
            <w:sz w:val="18"/>
            <w:szCs w:val="18"/>
          </w:rPr>
        </w:pPr>
        <w:r w:rsidRPr="00551BC0">
          <w:rPr>
            <w:sz w:val="18"/>
            <w:szCs w:val="18"/>
          </w:rPr>
          <w:fldChar w:fldCharType="begin"/>
        </w:r>
        <w:r w:rsidRPr="00551BC0">
          <w:rPr>
            <w:sz w:val="18"/>
            <w:szCs w:val="18"/>
          </w:rPr>
          <w:instrText xml:space="preserve"> PAGE   \* MERGEFORMAT </w:instrText>
        </w:r>
        <w:r w:rsidRPr="00551BC0">
          <w:rPr>
            <w:sz w:val="18"/>
            <w:szCs w:val="18"/>
          </w:rPr>
          <w:fldChar w:fldCharType="separate"/>
        </w:r>
        <w:r w:rsidRPr="00551BC0">
          <w:rPr>
            <w:noProof/>
            <w:sz w:val="18"/>
            <w:szCs w:val="18"/>
          </w:rPr>
          <w:t>2</w:t>
        </w:r>
        <w:r w:rsidRPr="00551BC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551BC0">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551BC0">
      <w:rPr>
        <w:rFonts w:eastAsia="Times New Roman" w:cs="Arial"/>
        <w:i/>
        <w:sz w:val="18"/>
        <w:szCs w:val="18"/>
        <w:lang w:val="fr-FR" w:eastAsia="es-ES"/>
      </w:rPr>
      <w:t>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BC0" w:rsidRPr="00002A97" w:rsidRDefault="00551BC0" w:rsidP="00551BC0">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23.2</w:t>
    </w:r>
  </w:p>
  <w:p w:rsidR="00551BC0" w:rsidRDefault="0055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956DB"/>
    <w:multiLevelType w:val="multilevel"/>
    <w:tmpl w:val="AF34CD62"/>
    <w:lvl w:ilvl="0">
      <w:start w:val="1"/>
      <w:numFmt w:val="lowerRoman"/>
      <w:lvlText w:val="%1."/>
      <w:lvlJc w:val="righ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49D0068F"/>
    <w:multiLevelType w:val="hybridMultilevel"/>
    <w:tmpl w:val="3264786C"/>
    <w:lvl w:ilvl="0" w:tplc="B3125BD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B5FE0"/>
    <w:multiLevelType w:val="hybridMultilevel"/>
    <w:tmpl w:val="A84AC226"/>
    <w:lvl w:ilvl="0" w:tplc="483C96C6">
      <w:start w:val="2"/>
      <w:numFmt w:val="lowerLetter"/>
      <w:lvlText w:val="%1)."/>
      <w:lvlJc w:val="righ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36C0D"/>
    <w:multiLevelType w:val="hybridMultilevel"/>
    <w:tmpl w:val="0380AF42"/>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0"/>
  </w:num>
  <w:num w:numId="5">
    <w:abstractNumId w:val="4"/>
  </w:num>
  <w:num w:numId="6">
    <w:abstractNumId w:val="11"/>
  </w:num>
  <w:num w:numId="7">
    <w:abstractNumId w:val="14"/>
  </w:num>
  <w:num w:numId="8">
    <w:abstractNumId w:val="8"/>
  </w:num>
  <w:num w:numId="9">
    <w:abstractNumId w:val="5"/>
  </w:num>
  <w:num w:numId="10">
    <w:abstractNumId w:val="15"/>
  </w:num>
  <w:num w:numId="11">
    <w:abstractNumId w:val="13"/>
  </w:num>
  <w:num w:numId="12">
    <w:abstractNumId w:val="12"/>
  </w:num>
  <w:num w:numId="13">
    <w:abstractNumId w:val="3"/>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66A9C"/>
    <w:rsid w:val="00192411"/>
    <w:rsid w:val="0024152C"/>
    <w:rsid w:val="002F7EC2"/>
    <w:rsid w:val="00435D03"/>
    <w:rsid w:val="004C7808"/>
    <w:rsid w:val="005330F7"/>
    <w:rsid w:val="00551BC0"/>
    <w:rsid w:val="00563598"/>
    <w:rsid w:val="006C5926"/>
    <w:rsid w:val="006F22B0"/>
    <w:rsid w:val="00790422"/>
    <w:rsid w:val="00810C64"/>
    <w:rsid w:val="0083335E"/>
    <w:rsid w:val="00943D15"/>
    <w:rsid w:val="00AC09AE"/>
    <w:rsid w:val="00B104EC"/>
    <w:rsid w:val="00B40E07"/>
    <w:rsid w:val="00BC5707"/>
    <w:rsid w:val="00BF7838"/>
    <w:rsid w:val="00D70275"/>
    <w:rsid w:val="00E607BD"/>
    <w:rsid w:val="00E77A9F"/>
    <w:rsid w:val="00E81B4A"/>
    <w:rsid w:val="00EF1D13"/>
    <w:rsid w:val="00F04234"/>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02A1"/>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2019-12-02T13:43:00Z</dcterms:created>
  <dcterms:modified xsi:type="dcterms:W3CDTF">2019-12-02T13:43:00Z</dcterms:modified>
</cp:coreProperties>
</file>