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BBF87" w14:textId="77777777" w:rsidR="00D82C56" w:rsidRDefault="00D82C56">
      <w:pPr>
        <w:rPr>
          <w:rFonts w:ascii="Arial" w:hAnsi="Arial" w:cs="Arial"/>
          <w:sz w:val="22"/>
          <w:szCs w:val="22"/>
        </w:rPr>
      </w:pPr>
    </w:p>
    <w:p w14:paraId="1D9F60F5" w14:textId="77777777" w:rsidR="00D82C56" w:rsidRDefault="00D82C56">
      <w:pPr>
        <w:rPr>
          <w:rFonts w:ascii="Arial" w:hAnsi="Arial" w:cs="Arial"/>
          <w:sz w:val="22"/>
          <w:szCs w:val="22"/>
        </w:rPr>
      </w:pPr>
    </w:p>
    <w:p w14:paraId="0657525A" w14:textId="77777777" w:rsidR="00E829C9" w:rsidRDefault="00E829C9" w:rsidP="00E829C9">
      <w:pPr>
        <w:jc w:val="center"/>
        <w:rPr>
          <w:rFonts w:ascii="Arial" w:hAnsi="Arial" w:cs="Arial"/>
          <w:b/>
          <w:sz w:val="22"/>
          <w:szCs w:val="22"/>
        </w:rPr>
      </w:pPr>
    </w:p>
    <w:p w14:paraId="46DFD019" w14:textId="77777777" w:rsidR="00341A37" w:rsidRPr="00341A37" w:rsidRDefault="00341A37" w:rsidP="00341A37">
      <w:pPr>
        <w:jc w:val="center"/>
        <w:rPr>
          <w:rFonts w:ascii="Arial" w:hAnsi="Arial" w:cs="Arial"/>
          <w:b/>
          <w:sz w:val="22"/>
          <w:szCs w:val="22"/>
          <w:lang w:val="fr-FR"/>
        </w:rPr>
      </w:pPr>
      <w:r w:rsidRPr="00341A37">
        <w:rPr>
          <w:rFonts w:ascii="Arial" w:hAnsi="Arial" w:cs="Arial"/>
          <w:b/>
          <w:sz w:val="22"/>
          <w:szCs w:val="22"/>
          <w:lang w:val="fr-FR"/>
        </w:rPr>
        <w:t>LIGNES DIRECTRICES POUR LA PRÉPARATION ET L’ÉVALUATION DES PROPOSITIONS D'AMENDEMENT DES ANNEXES DE LA CONVENTION</w:t>
      </w:r>
    </w:p>
    <w:p w14:paraId="77BA811D" w14:textId="433CC3CC" w:rsidR="00D82C56" w:rsidRPr="00EF75B9" w:rsidRDefault="005D43E4" w:rsidP="00E829C9">
      <w:pPr>
        <w:jc w:val="center"/>
        <w:rPr>
          <w:rFonts w:ascii="Arial" w:hAnsi="Arial" w:cs="Arial"/>
          <w:sz w:val="22"/>
          <w:szCs w:val="22"/>
          <w:lang w:val="fr-FR"/>
        </w:rPr>
      </w:pPr>
      <w:r w:rsidRPr="00EF75B9">
        <w:rPr>
          <w:rFonts w:ascii="Arial" w:hAnsi="Arial" w:cs="Arial"/>
          <w:sz w:val="22"/>
          <w:szCs w:val="22"/>
          <w:lang w:val="fr-FR"/>
        </w:rPr>
        <w:t>UNEP/CMS/COP13/Doc.</w:t>
      </w:r>
      <w:r w:rsidR="00341A37" w:rsidRPr="00EF75B9">
        <w:rPr>
          <w:rFonts w:ascii="Arial" w:hAnsi="Arial" w:cs="Arial"/>
          <w:sz w:val="22"/>
          <w:szCs w:val="22"/>
          <w:lang w:val="fr-FR"/>
        </w:rPr>
        <w:t>27.2</w:t>
      </w:r>
    </w:p>
    <w:p w14:paraId="48F82B79" w14:textId="77777777" w:rsidR="00D82C56" w:rsidRPr="00EF75B9" w:rsidRDefault="00D82C56" w:rsidP="00E829C9">
      <w:pPr>
        <w:jc w:val="center"/>
        <w:rPr>
          <w:rFonts w:ascii="Arial" w:hAnsi="Arial" w:cs="Arial"/>
          <w:sz w:val="22"/>
          <w:szCs w:val="22"/>
          <w:lang w:val="fr-FR"/>
        </w:rPr>
      </w:pPr>
    </w:p>
    <w:p w14:paraId="73A89732" w14:textId="4C76BAC5" w:rsidR="00D82C56" w:rsidRPr="00A048E3" w:rsidRDefault="005D43E4" w:rsidP="00E829C9">
      <w:pPr>
        <w:jc w:val="center"/>
        <w:rPr>
          <w:rFonts w:ascii="Arial" w:hAnsi="Arial" w:cs="Arial"/>
          <w:i/>
          <w:sz w:val="22"/>
          <w:szCs w:val="22"/>
          <w:lang w:val="fr-FR"/>
        </w:rPr>
      </w:pPr>
      <w:r w:rsidRPr="00A048E3">
        <w:rPr>
          <w:rFonts w:ascii="Arial" w:hAnsi="Arial" w:cs="Arial"/>
          <w:i/>
          <w:sz w:val="22"/>
          <w:szCs w:val="22"/>
          <w:lang w:val="fr-FR"/>
        </w:rPr>
        <w:t>(Pr</w:t>
      </w:r>
      <w:r w:rsidR="000226B8">
        <w:rPr>
          <w:rFonts w:ascii="Arial" w:hAnsi="Arial" w:cs="Arial"/>
          <w:i/>
          <w:sz w:val="22"/>
          <w:szCs w:val="22"/>
          <w:lang w:val="fr-FR"/>
        </w:rPr>
        <w:t>é</w:t>
      </w:r>
      <w:r w:rsidRPr="00A048E3">
        <w:rPr>
          <w:rFonts w:ascii="Arial" w:hAnsi="Arial" w:cs="Arial"/>
          <w:i/>
          <w:sz w:val="22"/>
          <w:szCs w:val="22"/>
          <w:lang w:val="fr-FR"/>
        </w:rPr>
        <w:t>par</w:t>
      </w:r>
      <w:r w:rsidR="00A048E3" w:rsidRPr="00A048E3">
        <w:rPr>
          <w:rFonts w:ascii="Arial" w:hAnsi="Arial" w:cs="Arial"/>
          <w:i/>
          <w:sz w:val="22"/>
          <w:szCs w:val="22"/>
          <w:lang w:val="fr-FR"/>
        </w:rPr>
        <w:t>é par</w:t>
      </w:r>
      <w:r w:rsidRPr="00A048E3">
        <w:rPr>
          <w:rFonts w:ascii="Arial" w:hAnsi="Arial" w:cs="Arial"/>
          <w:i/>
          <w:sz w:val="22"/>
          <w:szCs w:val="22"/>
          <w:lang w:val="fr-FR"/>
        </w:rPr>
        <w:t xml:space="preserve"> </w:t>
      </w:r>
      <w:r w:rsidR="003B0396">
        <w:rPr>
          <w:rFonts w:ascii="Arial" w:hAnsi="Arial" w:cs="Arial"/>
          <w:i/>
          <w:sz w:val="22"/>
          <w:szCs w:val="22"/>
          <w:lang w:val="fr-FR"/>
        </w:rPr>
        <w:t>le Comité plénier</w:t>
      </w:r>
      <w:r w:rsidRPr="00A048E3">
        <w:rPr>
          <w:rFonts w:ascii="Arial" w:hAnsi="Arial" w:cs="Arial"/>
          <w:i/>
          <w:sz w:val="22"/>
          <w:szCs w:val="22"/>
          <w:lang w:val="fr-FR"/>
        </w:rPr>
        <w:t>)</w:t>
      </w:r>
    </w:p>
    <w:p w14:paraId="25BD5BFE" w14:textId="77777777" w:rsidR="00D82C56" w:rsidRPr="00A048E3" w:rsidRDefault="00D82C56" w:rsidP="00E829C9">
      <w:pPr>
        <w:rPr>
          <w:rFonts w:ascii="Arial" w:hAnsi="Arial" w:cs="Arial"/>
          <w:sz w:val="22"/>
          <w:szCs w:val="22"/>
          <w:lang w:val="fr-FR"/>
        </w:rPr>
      </w:pPr>
    </w:p>
    <w:p w14:paraId="2F57C3E9" w14:textId="60B37A48" w:rsidR="00D82C56" w:rsidRDefault="00D82C56">
      <w:pPr>
        <w:rPr>
          <w:rFonts w:ascii="Arial" w:hAnsi="Arial" w:cs="Arial"/>
          <w:sz w:val="22"/>
          <w:szCs w:val="22"/>
          <w:lang w:val="fr-FR"/>
        </w:rPr>
      </w:pPr>
    </w:p>
    <w:p w14:paraId="3A255764" w14:textId="77777777" w:rsidR="00341A37" w:rsidRPr="00341A37" w:rsidRDefault="00341A37" w:rsidP="00341A37">
      <w:pPr>
        <w:tabs>
          <w:tab w:val="left" w:pos="-720"/>
          <w:tab w:val="left" w:pos="310"/>
          <w:tab w:val="left" w:pos="835"/>
        </w:tabs>
        <w:jc w:val="center"/>
        <w:rPr>
          <w:rFonts w:ascii="Arial" w:hAnsi="Arial" w:cs="Arial"/>
          <w:iCs/>
          <w:sz w:val="22"/>
          <w:szCs w:val="22"/>
          <w:lang w:val="fr-FR"/>
        </w:rPr>
      </w:pPr>
      <w:r w:rsidRPr="00341A37">
        <w:rPr>
          <w:rFonts w:ascii="Arial" w:hAnsi="Arial" w:cs="Arial"/>
          <w:iCs/>
          <w:sz w:val="22"/>
          <w:szCs w:val="22"/>
          <w:lang w:val="fr-FR"/>
        </w:rPr>
        <w:t>PROJET DE RÉSOLUTION</w:t>
      </w:r>
    </w:p>
    <w:p w14:paraId="459658D1" w14:textId="77777777" w:rsidR="00341A37" w:rsidRDefault="00341A37" w:rsidP="00341A37">
      <w:pPr>
        <w:tabs>
          <w:tab w:val="left" w:pos="-720"/>
          <w:tab w:val="left" w:pos="310"/>
          <w:tab w:val="left" w:pos="835"/>
        </w:tabs>
        <w:jc w:val="center"/>
        <w:rPr>
          <w:rFonts w:cs="Arial"/>
          <w:iCs/>
          <w:lang w:val="fr-FR"/>
        </w:rPr>
      </w:pPr>
    </w:p>
    <w:p w14:paraId="5516378A" w14:textId="77777777" w:rsidR="00341A37" w:rsidRPr="00341A37" w:rsidRDefault="00341A37" w:rsidP="00341A37">
      <w:pPr>
        <w:tabs>
          <w:tab w:val="left" w:pos="-720"/>
          <w:tab w:val="left" w:pos="310"/>
          <w:tab w:val="left" w:pos="835"/>
        </w:tabs>
        <w:jc w:val="both"/>
        <w:rPr>
          <w:rFonts w:ascii="Arial" w:hAnsi="Arial" w:cs="Arial"/>
          <w:i/>
          <w:iCs/>
          <w:sz w:val="22"/>
          <w:szCs w:val="22"/>
          <w:lang w:val="fr-FR"/>
        </w:rPr>
      </w:pPr>
    </w:p>
    <w:p w14:paraId="505D94E1" w14:textId="4A9B8C70" w:rsidR="00341A37" w:rsidRPr="00341A37" w:rsidRDefault="00341A37" w:rsidP="00341A37">
      <w:pPr>
        <w:tabs>
          <w:tab w:val="left" w:pos="-720"/>
          <w:tab w:val="left" w:pos="310"/>
          <w:tab w:val="left" w:pos="835"/>
        </w:tabs>
        <w:jc w:val="both"/>
        <w:rPr>
          <w:rFonts w:ascii="Arial" w:hAnsi="Arial" w:cs="Arial"/>
          <w:sz w:val="22"/>
          <w:szCs w:val="22"/>
          <w:lang w:val="fr-FR"/>
        </w:rPr>
      </w:pPr>
      <w:r w:rsidRPr="00341A37">
        <w:rPr>
          <w:rFonts w:ascii="Arial" w:hAnsi="Arial" w:cs="Arial"/>
          <w:i/>
          <w:iCs/>
          <w:sz w:val="22"/>
          <w:szCs w:val="22"/>
          <w:lang w:val="fr-FR"/>
        </w:rPr>
        <w:t xml:space="preserve">Rappelant </w:t>
      </w:r>
      <w:r w:rsidRPr="00341A37">
        <w:rPr>
          <w:rFonts w:ascii="Arial" w:hAnsi="Arial" w:cs="Arial"/>
          <w:sz w:val="22"/>
          <w:szCs w:val="22"/>
          <w:lang w:val="fr-FR"/>
        </w:rPr>
        <w:t>que les exigences de la CMS pour l’inscription d’espèces migratrices à l’Annexe I sont énoncées aux paragraphes 1 et 2 de l’Article III de la Convention, et que les exigences pour l’inscription des espèces migratrices à l’Annexe II sont énoncées au paragraphe 1 de l’Article IV de la Convention</w:t>
      </w:r>
      <w:r w:rsidR="00EF75B9">
        <w:rPr>
          <w:rFonts w:ascii="Arial" w:hAnsi="Arial" w:cs="Arial"/>
          <w:sz w:val="22"/>
          <w:szCs w:val="22"/>
          <w:lang w:val="fr-FR"/>
        </w:rPr>
        <w:t>,</w:t>
      </w:r>
    </w:p>
    <w:p w14:paraId="31255D39" w14:textId="77777777" w:rsidR="00341A37" w:rsidRPr="00341A37" w:rsidRDefault="00341A37" w:rsidP="00341A37">
      <w:pPr>
        <w:tabs>
          <w:tab w:val="left" w:pos="-720"/>
          <w:tab w:val="left" w:pos="310"/>
          <w:tab w:val="left" w:pos="835"/>
        </w:tabs>
        <w:jc w:val="both"/>
        <w:rPr>
          <w:rFonts w:ascii="Arial" w:hAnsi="Arial" w:cs="Arial"/>
          <w:sz w:val="22"/>
          <w:szCs w:val="22"/>
          <w:lang w:val="fr-FR"/>
        </w:rPr>
      </w:pPr>
    </w:p>
    <w:p w14:paraId="01761340" w14:textId="3A39F4FF" w:rsidR="00341A37" w:rsidRPr="00341A37" w:rsidRDefault="00341A37" w:rsidP="00341A37">
      <w:pPr>
        <w:jc w:val="both"/>
        <w:rPr>
          <w:rFonts w:ascii="Arial" w:hAnsi="Arial" w:cs="Arial"/>
          <w:sz w:val="22"/>
          <w:szCs w:val="22"/>
          <w:lang w:val="fr-FR"/>
        </w:rPr>
      </w:pPr>
      <w:r w:rsidRPr="00341A37">
        <w:rPr>
          <w:rFonts w:ascii="Arial" w:hAnsi="Arial" w:cs="Arial"/>
          <w:i/>
          <w:iCs/>
          <w:sz w:val="22"/>
          <w:szCs w:val="22"/>
          <w:lang w:val="fr-FR"/>
        </w:rPr>
        <w:t xml:space="preserve">Soulignant </w:t>
      </w:r>
      <w:r w:rsidRPr="00341A37">
        <w:rPr>
          <w:rFonts w:ascii="Arial" w:hAnsi="Arial" w:cs="Arial"/>
          <w:sz w:val="22"/>
          <w:szCs w:val="22"/>
          <w:lang w:val="fr-FR"/>
        </w:rPr>
        <w:t>que les espèces proposées pour une inscription à l’Annexe I ou à l’Annexe II de la Convention doivent être des espèces migratrices, selon la définition donnée au paragraphe 1a) de l’Article premier</w:t>
      </w:r>
      <w:r w:rsidR="00EF75B9">
        <w:rPr>
          <w:rFonts w:ascii="Arial" w:hAnsi="Arial" w:cs="Arial"/>
          <w:sz w:val="22"/>
          <w:szCs w:val="22"/>
          <w:lang w:val="fr-FR"/>
        </w:rPr>
        <w:t>,</w:t>
      </w:r>
    </w:p>
    <w:p w14:paraId="29CD32ED" w14:textId="77777777" w:rsidR="00341A37" w:rsidRPr="00341A37" w:rsidRDefault="00341A37" w:rsidP="00341A37">
      <w:pPr>
        <w:jc w:val="both"/>
        <w:rPr>
          <w:rFonts w:ascii="Arial" w:hAnsi="Arial" w:cs="Arial"/>
          <w:sz w:val="22"/>
          <w:szCs w:val="22"/>
          <w:lang w:val="fr-FR"/>
        </w:rPr>
      </w:pPr>
    </w:p>
    <w:p w14:paraId="40277C2D" w14:textId="1E90B3E8" w:rsidR="00341A37" w:rsidRPr="00341A37" w:rsidRDefault="00341A37" w:rsidP="00341A37">
      <w:pPr>
        <w:jc w:val="both"/>
        <w:rPr>
          <w:rFonts w:ascii="Arial" w:hAnsi="Arial" w:cs="Arial"/>
          <w:sz w:val="22"/>
          <w:szCs w:val="22"/>
          <w:lang w:val="fr-FR"/>
        </w:rPr>
      </w:pPr>
      <w:r w:rsidRPr="00341A37">
        <w:rPr>
          <w:rFonts w:ascii="Arial" w:hAnsi="Arial" w:cs="Arial"/>
          <w:i/>
          <w:sz w:val="22"/>
          <w:szCs w:val="22"/>
          <w:lang w:val="fr-FR"/>
        </w:rPr>
        <w:t>Rappelant</w:t>
      </w:r>
      <w:r w:rsidRPr="00341A37">
        <w:rPr>
          <w:rFonts w:ascii="Arial" w:hAnsi="Arial" w:cs="Arial"/>
          <w:sz w:val="22"/>
          <w:szCs w:val="22"/>
          <w:lang w:val="fr-FR"/>
        </w:rPr>
        <w:t xml:space="preserve"> que par sa Résolution 1.4 adoptée à sa première session elle chargeait le Conseil scientifique de formuler des directives pour l’application des termes de la Convention et de revoir la liste des espèces figurant aux Annexes à la Convention</w:t>
      </w:r>
      <w:r w:rsidR="00EF75B9">
        <w:rPr>
          <w:rFonts w:ascii="Arial" w:hAnsi="Arial" w:cs="Arial"/>
          <w:sz w:val="22"/>
          <w:szCs w:val="22"/>
          <w:lang w:val="fr-FR"/>
        </w:rPr>
        <w:t>,</w:t>
      </w:r>
    </w:p>
    <w:p w14:paraId="45D393AA" w14:textId="77777777" w:rsidR="00341A37" w:rsidRPr="00341A37" w:rsidRDefault="00341A37" w:rsidP="00341A37">
      <w:pPr>
        <w:tabs>
          <w:tab w:val="left" w:pos="-720"/>
          <w:tab w:val="left" w:pos="310"/>
          <w:tab w:val="left" w:pos="835"/>
        </w:tabs>
        <w:jc w:val="both"/>
        <w:rPr>
          <w:rFonts w:ascii="Arial" w:hAnsi="Arial" w:cs="Arial"/>
          <w:iCs/>
          <w:sz w:val="22"/>
          <w:szCs w:val="22"/>
          <w:lang w:val="fr-FR"/>
        </w:rPr>
      </w:pPr>
    </w:p>
    <w:p w14:paraId="60D4C3A9" w14:textId="6B5681CC" w:rsidR="00341A37" w:rsidRPr="00341A37" w:rsidRDefault="00341A37" w:rsidP="00341A37">
      <w:pPr>
        <w:jc w:val="both"/>
        <w:rPr>
          <w:rFonts w:ascii="Arial" w:hAnsi="Arial" w:cs="Arial"/>
          <w:sz w:val="22"/>
          <w:szCs w:val="22"/>
          <w:lang w:val="fr-FR"/>
        </w:rPr>
      </w:pPr>
      <w:r w:rsidRPr="00341A37">
        <w:rPr>
          <w:rFonts w:ascii="Arial" w:hAnsi="Arial" w:cs="Arial"/>
          <w:i/>
          <w:iCs/>
          <w:sz w:val="22"/>
          <w:szCs w:val="22"/>
          <w:lang w:val="fr-FR"/>
        </w:rPr>
        <w:t>Notant</w:t>
      </w:r>
      <w:r w:rsidRPr="00341A37">
        <w:rPr>
          <w:rFonts w:ascii="Arial" w:hAnsi="Arial" w:cs="Arial"/>
          <w:iCs/>
          <w:sz w:val="22"/>
          <w:szCs w:val="22"/>
          <w:lang w:val="fr-FR"/>
        </w:rPr>
        <w:t xml:space="preserve"> que, dans la Résolution 5.3, la Conférence des Parties a décidé d’interpréter l’expression « en danger » du paragraphe 1e) de l’Article premier de la Convention comme signifiant « exposé à l’état sauvage à un risque d’extinction très élevé et à court terme », et considérant que cette interprétation doit être maintenue</w:t>
      </w:r>
      <w:r w:rsidR="00EF75B9">
        <w:rPr>
          <w:rFonts w:ascii="Arial" w:hAnsi="Arial" w:cs="Arial"/>
          <w:iCs/>
          <w:sz w:val="22"/>
          <w:szCs w:val="22"/>
          <w:lang w:val="fr-FR"/>
        </w:rPr>
        <w:t>,</w:t>
      </w:r>
    </w:p>
    <w:p w14:paraId="5D63219B" w14:textId="77777777" w:rsidR="00341A37" w:rsidRPr="00341A37" w:rsidRDefault="00341A37" w:rsidP="00341A37">
      <w:pPr>
        <w:tabs>
          <w:tab w:val="left" w:pos="-720"/>
          <w:tab w:val="left" w:pos="310"/>
          <w:tab w:val="left" w:pos="835"/>
        </w:tabs>
        <w:jc w:val="both"/>
        <w:rPr>
          <w:rFonts w:ascii="Arial" w:hAnsi="Arial" w:cs="Arial"/>
          <w:iCs/>
          <w:sz w:val="22"/>
          <w:szCs w:val="22"/>
          <w:lang w:val="fr-FR"/>
        </w:rPr>
      </w:pPr>
    </w:p>
    <w:p w14:paraId="3F0D10C6" w14:textId="51B904BA" w:rsidR="00341A37" w:rsidRPr="00341A37" w:rsidRDefault="00341A37" w:rsidP="00341A37">
      <w:pPr>
        <w:jc w:val="both"/>
        <w:rPr>
          <w:rFonts w:ascii="Arial" w:hAnsi="Arial" w:cs="Arial"/>
          <w:sz w:val="22"/>
          <w:szCs w:val="22"/>
          <w:lang w:val="fr-FR"/>
        </w:rPr>
      </w:pPr>
      <w:r w:rsidRPr="00341A37">
        <w:rPr>
          <w:rFonts w:ascii="Arial" w:hAnsi="Arial" w:cs="Arial"/>
          <w:i/>
          <w:iCs/>
          <w:sz w:val="22"/>
          <w:szCs w:val="22"/>
          <w:lang w:val="fr-FR"/>
        </w:rPr>
        <w:t xml:space="preserve">Notant en outre </w:t>
      </w:r>
      <w:r w:rsidRPr="00341A37">
        <w:rPr>
          <w:rFonts w:ascii="Arial" w:hAnsi="Arial" w:cs="Arial"/>
          <w:sz w:val="22"/>
          <w:szCs w:val="22"/>
          <w:lang w:val="fr-FR"/>
        </w:rPr>
        <w:t>que, dans le paragraphe 1a) de la Résolution 2.2, la Conférence des Parties a adopté des lignes directrices pour l’interprétation du terme ‘cycliquement’ et de l’expression ‘de façon prévisible’ utilisés dans la définition d</w:t>
      </w:r>
      <w:proofErr w:type="gramStart"/>
      <w:r w:rsidRPr="00341A37">
        <w:rPr>
          <w:rFonts w:ascii="Arial" w:hAnsi="Arial" w:cs="Arial"/>
          <w:sz w:val="22"/>
          <w:szCs w:val="22"/>
          <w:lang w:val="fr-FR"/>
        </w:rPr>
        <w:t>’«</w:t>
      </w:r>
      <w:proofErr w:type="gramEnd"/>
      <w:r w:rsidRPr="00341A37">
        <w:rPr>
          <w:rFonts w:ascii="Arial" w:hAnsi="Arial" w:cs="Arial"/>
          <w:sz w:val="22"/>
          <w:szCs w:val="22"/>
          <w:lang w:val="fr-FR"/>
        </w:rPr>
        <w:t xml:space="preserve"> espèce migratrice », et considérant que ces interprétations doivent être maintenues</w:t>
      </w:r>
      <w:r w:rsidR="00EF75B9">
        <w:rPr>
          <w:rFonts w:ascii="Arial" w:hAnsi="Arial" w:cs="Arial"/>
          <w:sz w:val="22"/>
          <w:szCs w:val="22"/>
          <w:lang w:val="fr-FR"/>
        </w:rPr>
        <w:t>,</w:t>
      </w:r>
    </w:p>
    <w:p w14:paraId="7349511F" w14:textId="77777777" w:rsidR="00341A37" w:rsidRPr="00341A37" w:rsidRDefault="00341A37" w:rsidP="00341A37">
      <w:pPr>
        <w:jc w:val="both"/>
        <w:rPr>
          <w:rFonts w:ascii="Arial" w:hAnsi="Arial" w:cs="Arial"/>
          <w:sz w:val="22"/>
          <w:szCs w:val="22"/>
          <w:lang w:val="fr-FR"/>
        </w:rPr>
      </w:pPr>
    </w:p>
    <w:p w14:paraId="5EBA0041" w14:textId="43989B2D" w:rsidR="00341A37" w:rsidRPr="00341A37" w:rsidRDefault="00341A37" w:rsidP="00341A37">
      <w:pPr>
        <w:jc w:val="both"/>
        <w:rPr>
          <w:rFonts w:ascii="Arial" w:hAnsi="Arial" w:cs="Arial"/>
          <w:sz w:val="22"/>
          <w:szCs w:val="22"/>
          <w:lang w:val="fr-FR"/>
        </w:rPr>
      </w:pPr>
      <w:r w:rsidRPr="00341A37">
        <w:rPr>
          <w:rFonts w:ascii="Arial" w:hAnsi="Arial" w:cs="Arial"/>
          <w:i/>
          <w:iCs/>
          <w:sz w:val="22"/>
          <w:szCs w:val="22"/>
          <w:lang w:val="fr-FR"/>
        </w:rPr>
        <w:t xml:space="preserve">Notant avec satisfaction </w:t>
      </w:r>
      <w:r w:rsidRPr="00341A37">
        <w:rPr>
          <w:rFonts w:ascii="Arial" w:hAnsi="Arial" w:cs="Arial"/>
          <w:sz w:val="22"/>
          <w:szCs w:val="22"/>
          <w:lang w:val="fr-FR"/>
        </w:rPr>
        <w:t>les travaux entrepris par le Conseil scientifique de la CMS à travers le document PNUE/CMS/COP11/Doc.24.2/Rev.1 pour élaborer des lignes directrices aidant le Conseil scientifique et la Conférence des Parties à évaluer les propositions d’inscription et de retrait d’espèces des Annexes de la Convention</w:t>
      </w:r>
      <w:r w:rsidR="00EF75B9">
        <w:rPr>
          <w:rFonts w:ascii="Arial" w:hAnsi="Arial" w:cs="Arial"/>
          <w:sz w:val="22"/>
          <w:szCs w:val="22"/>
          <w:lang w:val="fr-FR"/>
        </w:rPr>
        <w:t>,</w:t>
      </w:r>
    </w:p>
    <w:p w14:paraId="20A8B055" w14:textId="77777777" w:rsidR="00341A37" w:rsidRPr="00341A37" w:rsidRDefault="00341A37" w:rsidP="00341A37">
      <w:pPr>
        <w:jc w:val="both"/>
        <w:rPr>
          <w:rFonts w:ascii="Arial" w:hAnsi="Arial" w:cs="Arial"/>
          <w:sz w:val="22"/>
          <w:szCs w:val="22"/>
          <w:lang w:val="fr-FR"/>
        </w:rPr>
      </w:pPr>
    </w:p>
    <w:p w14:paraId="028163E1" w14:textId="3DDA58E6" w:rsidR="00341A37" w:rsidRPr="00341A37" w:rsidRDefault="00341A37" w:rsidP="00341A37">
      <w:pPr>
        <w:tabs>
          <w:tab w:val="left" w:pos="-720"/>
          <w:tab w:val="left" w:pos="310"/>
          <w:tab w:val="left" w:pos="835"/>
        </w:tabs>
        <w:jc w:val="both"/>
        <w:rPr>
          <w:rFonts w:ascii="Arial" w:hAnsi="Arial" w:cs="Arial"/>
          <w:sz w:val="22"/>
          <w:szCs w:val="22"/>
          <w:lang w:val="fr-FR"/>
        </w:rPr>
      </w:pPr>
      <w:r w:rsidRPr="00341A37">
        <w:rPr>
          <w:rFonts w:ascii="Arial" w:hAnsi="Arial" w:cs="Arial"/>
          <w:i/>
          <w:iCs/>
          <w:sz w:val="22"/>
          <w:szCs w:val="22"/>
          <w:lang w:val="fr-FR"/>
        </w:rPr>
        <w:t xml:space="preserve">Considérant </w:t>
      </w:r>
      <w:r w:rsidRPr="00341A37">
        <w:rPr>
          <w:rFonts w:ascii="Arial" w:hAnsi="Arial" w:cs="Arial"/>
          <w:sz w:val="22"/>
          <w:szCs w:val="22"/>
          <w:lang w:val="fr-FR"/>
        </w:rPr>
        <w:t>que les meilleures données scientifiques disponibles doivent être utilisées pour préparer et évaluer les propositions d’inscription</w:t>
      </w:r>
      <w:r w:rsidR="00EF75B9">
        <w:rPr>
          <w:rFonts w:ascii="Arial" w:hAnsi="Arial" w:cs="Arial"/>
          <w:sz w:val="22"/>
          <w:szCs w:val="22"/>
          <w:lang w:val="fr-FR"/>
        </w:rPr>
        <w:t>,</w:t>
      </w:r>
    </w:p>
    <w:p w14:paraId="38E16EA7" w14:textId="77777777" w:rsidR="00341A37" w:rsidRPr="00341A37" w:rsidRDefault="00341A37" w:rsidP="00341A37">
      <w:pPr>
        <w:tabs>
          <w:tab w:val="left" w:pos="-720"/>
          <w:tab w:val="left" w:pos="310"/>
          <w:tab w:val="left" w:pos="835"/>
        </w:tabs>
        <w:jc w:val="both"/>
        <w:rPr>
          <w:rFonts w:ascii="Arial" w:hAnsi="Arial" w:cs="Arial"/>
          <w:sz w:val="22"/>
          <w:szCs w:val="22"/>
          <w:lang w:val="fr-FR"/>
        </w:rPr>
      </w:pPr>
    </w:p>
    <w:p w14:paraId="3B5ED430" w14:textId="6EDBA0CA" w:rsidR="00341A37" w:rsidRPr="00341A37" w:rsidRDefault="00341A37" w:rsidP="00341A37">
      <w:pPr>
        <w:jc w:val="both"/>
        <w:rPr>
          <w:rFonts w:ascii="Arial" w:hAnsi="Arial" w:cs="Arial"/>
          <w:sz w:val="22"/>
          <w:szCs w:val="22"/>
          <w:lang w:val="fr-FR"/>
        </w:rPr>
      </w:pPr>
      <w:r w:rsidRPr="00341A37">
        <w:rPr>
          <w:rFonts w:ascii="Arial" w:hAnsi="Arial" w:cs="Arial"/>
          <w:i/>
          <w:iCs/>
          <w:sz w:val="22"/>
          <w:szCs w:val="22"/>
          <w:lang w:val="fr-FR"/>
        </w:rPr>
        <w:t xml:space="preserve">Considérant en outre </w:t>
      </w:r>
      <w:r w:rsidRPr="00341A37">
        <w:rPr>
          <w:rFonts w:ascii="Arial" w:hAnsi="Arial" w:cs="Arial"/>
          <w:sz w:val="22"/>
          <w:szCs w:val="22"/>
          <w:lang w:val="fr-FR"/>
        </w:rPr>
        <w:t>que des résultats devraient être attendus en matière de conservation lorsqu’une proposition d’inscription est adoptée</w:t>
      </w:r>
      <w:r w:rsidR="00EF75B9">
        <w:rPr>
          <w:rFonts w:ascii="Arial" w:hAnsi="Arial" w:cs="Arial"/>
          <w:sz w:val="22"/>
          <w:szCs w:val="22"/>
          <w:lang w:val="fr-FR"/>
        </w:rPr>
        <w:t>,</w:t>
      </w:r>
    </w:p>
    <w:p w14:paraId="3FFF05E9" w14:textId="77777777" w:rsidR="00341A37" w:rsidRPr="00341A37" w:rsidRDefault="00341A37" w:rsidP="00341A37">
      <w:pPr>
        <w:jc w:val="both"/>
        <w:rPr>
          <w:rFonts w:ascii="Arial" w:hAnsi="Arial" w:cs="Arial"/>
          <w:sz w:val="22"/>
          <w:szCs w:val="22"/>
          <w:lang w:val="fr-FR"/>
        </w:rPr>
      </w:pPr>
    </w:p>
    <w:p w14:paraId="359298A2" w14:textId="733D192C" w:rsidR="00341A37" w:rsidRPr="00341A37" w:rsidRDefault="00341A37" w:rsidP="00341A37">
      <w:pPr>
        <w:jc w:val="both"/>
        <w:rPr>
          <w:rFonts w:ascii="Arial" w:hAnsi="Arial" w:cs="Arial"/>
          <w:sz w:val="22"/>
          <w:szCs w:val="22"/>
          <w:lang w:val="fr-FR"/>
        </w:rPr>
      </w:pPr>
      <w:r w:rsidRPr="00341A37">
        <w:rPr>
          <w:rFonts w:ascii="Arial" w:hAnsi="Arial" w:cs="Arial"/>
          <w:i/>
          <w:iCs/>
          <w:sz w:val="22"/>
          <w:szCs w:val="22"/>
          <w:lang w:val="fr-FR"/>
        </w:rPr>
        <w:t xml:space="preserve">Rappelant </w:t>
      </w:r>
      <w:r w:rsidRPr="00341A37">
        <w:rPr>
          <w:rFonts w:ascii="Arial" w:hAnsi="Arial" w:cs="Arial"/>
          <w:sz w:val="22"/>
          <w:szCs w:val="22"/>
          <w:lang w:val="fr-FR"/>
        </w:rPr>
        <w:t>que</w:t>
      </w:r>
      <w:r w:rsidRPr="00341A37">
        <w:rPr>
          <w:rFonts w:ascii="Arial" w:hAnsi="Arial" w:cs="Arial"/>
          <w:i/>
          <w:iCs/>
          <w:sz w:val="22"/>
          <w:szCs w:val="22"/>
          <w:lang w:val="fr-FR"/>
        </w:rPr>
        <w:t xml:space="preserve">, </w:t>
      </w:r>
      <w:r w:rsidRPr="00341A37">
        <w:rPr>
          <w:rFonts w:ascii="Arial" w:hAnsi="Arial" w:cs="Arial"/>
          <w:sz w:val="22"/>
          <w:szCs w:val="22"/>
          <w:lang w:val="fr-FR"/>
        </w:rPr>
        <w:t>dans la Résolution 3.1, la Conférence des Parties a décidé que les nouvelles inscriptions aux Annexes de la Convention doivent être limitées aux espèces ou aux taxons inférieurs, et que les espèces migratrices regroupées sous un taxon supérieur figurant déjà à l’Annexe II ne devront être identifiées qu’au moment de l’élaboration des accords</w:t>
      </w:r>
      <w:r w:rsidR="00EF75B9">
        <w:rPr>
          <w:rFonts w:ascii="Arial" w:hAnsi="Arial" w:cs="Arial"/>
          <w:sz w:val="22"/>
          <w:szCs w:val="22"/>
          <w:lang w:val="fr-FR"/>
        </w:rPr>
        <w:t>,</w:t>
      </w:r>
    </w:p>
    <w:p w14:paraId="53F64249" w14:textId="77777777" w:rsidR="00341A37" w:rsidRPr="00341A37" w:rsidRDefault="00341A37" w:rsidP="00341A37">
      <w:pPr>
        <w:tabs>
          <w:tab w:val="left" w:pos="-720"/>
          <w:tab w:val="left" w:pos="310"/>
          <w:tab w:val="left" w:pos="835"/>
        </w:tabs>
        <w:jc w:val="both"/>
        <w:rPr>
          <w:rFonts w:ascii="Arial" w:hAnsi="Arial" w:cs="Arial"/>
          <w:iCs/>
          <w:sz w:val="22"/>
          <w:szCs w:val="22"/>
          <w:lang w:val="fr-FR"/>
        </w:rPr>
      </w:pPr>
    </w:p>
    <w:p w14:paraId="2959D6A5" w14:textId="13980592" w:rsidR="00341A37" w:rsidRPr="00341A37" w:rsidRDefault="00341A37" w:rsidP="00341A37">
      <w:pPr>
        <w:jc w:val="both"/>
        <w:rPr>
          <w:rFonts w:ascii="Arial" w:hAnsi="Arial" w:cs="Arial"/>
          <w:sz w:val="22"/>
          <w:szCs w:val="22"/>
          <w:lang w:val="fr-FR"/>
        </w:rPr>
      </w:pPr>
      <w:r w:rsidRPr="00341A37">
        <w:rPr>
          <w:rFonts w:ascii="Arial" w:hAnsi="Arial" w:cs="Arial"/>
          <w:i/>
          <w:iCs/>
          <w:sz w:val="22"/>
          <w:szCs w:val="22"/>
          <w:lang w:val="fr-FR"/>
        </w:rPr>
        <w:t xml:space="preserve">Rappelant en outre </w:t>
      </w:r>
      <w:r w:rsidRPr="00341A37">
        <w:rPr>
          <w:rFonts w:ascii="Arial" w:hAnsi="Arial" w:cs="Arial"/>
          <w:sz w:val="22"/>
          <w:szCs w:val="22"/>
          <w:lang w:val="fr-FR"/>
        </w:rPr>
        <w:t>que de nombreuses espèces sont inscrites à la fois aux Annexes de la Convention sur le commerce international des espèces de faune et de flore sauvages menacées d'extinction (CITES) et à celles de la CMS, et que pour les États qui sont Parties à ces deux conventions, il est souhaitable que les actions des conventions soient complémentaires</w:t>
      </w:r>
      <w:r w:rsidR="00EF75B9">
        <w:rPr>
          <w:rFonts w:ascii="Arial" w:hAnsi="Arial" w:cs="Arial"/>
          <w:sz w:val="22"/>
          <w:szCs w:val="22"/>
          <w:lang w:val="fr-FR"/>
        </w:rPr>
        <w:t>,</w:t>
      </w:r>
    </w:p>
    <w:p w14:paraId="768C2F89" w14:textId="77777777" w:rsidR="00341A37" w:rsidRPr="00341A37" w:rsidRDefault="00341A37" w:rsidP="00341A37">
      <w:pPr>
        <w:tabs>
          <w:tab w:val="left" w:pos="-720"/>
          <w:tab w:val="left" w:pos="310"/>
          <w:tab w:val="left" w:pos="835"/>
        </w:tabs>
        <w:jc w:val="both"/>
        <w:rPr>
          <w:rFonts w:ascii="Arial" w:hAnsi="Arial" w:cs="Arial"/>
          <w:iCs/>
          <w:sz w:val="22"/>
          <w:szCs w:val="22"/>
          <w:lang w:val="fr-FR"/>
        </w:rPr>
      </w:pPr>
    </w:p>
    <w:p w14:paraId="7B08926D" w14:textId="74D7468A" w:rsidR="00341A37" w:rsidRPr="00341A37" w:rsidRDefault="00341A37" w:rsidP="00341A37">
      <w:pPr>
        <w:jc w:val="both"/>
        <w:rPr>
          <w:rFonts w:ascii="Arial" w:hAnsi="Arial" w:cs="Arial"/>
          <w:sz w:val="22"/>
          <w:szCs w:val="22"/>
          <w:lang w:val="fr-FR"/>
        </w:rPr>
      </w:pPr>
      <w:r w:rsidRPr="00341A37">
        <w:rPr>
          <w:rFonts w:ascii="Arial" w:hAnsi="Arial" w:cs="Arial"/>
          <w:i/>
          <w:iCs/>
          <w:sz w:val="22"/>
          <w:szCs w:val="22"/>
          <w:lang w:val="fr-FR"/>
        </w:rPr>
        <w:lastRenderedPageBreak/>
        <w:t xml:space="preserve">Rappelant en outre </w:t>
      </w:r>
      <w:r w:rsidRPr="00341A37">
        <w:rPr>
          <w:rFonts w:ascii="Arial" w:hAnsi="Arial" w:cs="Arial"/>
          <w:sz w:val="22"/>
          <w:szCs w:val="22"/>
          <w:lang w:val="fr-FR"/>
        </w:rPr>
        <w:t>que les Organisations régionales de gestion des pêches (ORGP) établissent des mesures de conservation et de gestion pour de nombreuses espèces marines (cibles ou accessoires) gérées dans le cadre de leur compétence, applicables à tous les navires de pêche opérant dans la zone de la Convention des ORGP, sur la base des avis des comités scientifiques de ces organismes</w:t>
      </w:r>
      <w:r w:rsidR="00EF75B9">
        <w:rPr>
          <w:rFonts w:ascii="Arial" w:hAnsi="Arial" w:cs="Arial"/>
          <w:sz w:val="22"/>
          <w:szCs w:val="22"/>
          <w:lang w:val="fr-FR"/>
        </w:rPr>
        <w:t>,</w:t>
      </w:r>
      <w:r w:rsidRPr="00341A37">
        <w:rPr>
          <w:rFonts w:ascii="Arial" w:hAnsi="Arial" w:cs="Arial"/>
          <w:sz w:val="22"/>
          <w:szCs w:val="22"/>
          <w:lang w:val="fr-FR"/>
        </w:rPr>
        <w:t xml:space="preserve"> et </w:t>
      </w:r>
    </w:p>
    <w:p w14:paraId="12E662F3" w14:textId="77777777" w:rsidR="00341A37" w:rsidRPr="00341A37" w:rsidRDefault="00341A37" w:rsidP="00341A37">
      <w:pPr>
        <w:tabs>
          <w:tab w:val="left" w:pos="-720"/>
          <w:tab w:val="left" w:pos="310"/>
          <w:tab w:val="left" w:pos="835"/>
        </w:tabs>
        <w:jc w:val="both"/>
        <w:rPr>
          <w:rFonts w:ascii="Arial" w:hAnsi="Arial" w:cs="Arial"/>
          <w:iCs/>
          <w:sz w:val="22"/>
          <w:szCs w:val="22"/>
          <w:lang w:val="fr-FR"/>
        </w:rPr>
      </w:pPr>
    </w:p>
    <w:p w14:paraId="2B6EC7CA" w14:textId="5BF7BFC0" w:rsidR="00341A37" w:rsidRPr="00341A37" w:rsidRDefault="00341A37" w:rsidP="00341A37">
      <w:pPr>
        <w:jc w:val="both"/>
        <w:rPr>
          <w:rFonts w:ascii="Arial" w:hAnsi="Arial" w:cs="Arial"/>
          <w:sz w:val="22"/>
          <w:szCs w:val="22"/>
          <w:lang w:val="fr-FR"/>
        </w:rPr>
      </w:pPr>
      <w:r w:rsidRPr="00341A37">
        <w:rPr>
          <w:rFonts w:ascii="Arial" w:hAnsi="Arial" w:cs="Arial"/>
          <w:i/>
          <w:iCs/>
          <w:sz w:val="22"/>
          <w:szCs w:val="22"/>
          <w:lang w:val="fr-FR"/>
        </w:rPr>
        <w:t xml:space="preserve">Reconnaissant </w:t>
      </w:r>
      <w:r w:rsidRPr="00341A37">
        <w:rPr>
          <w:rFonts w:ascii="Arial" w:hAnsi="Arial" w:cs="Arial"/>
          <w:sz w:val="22"/>
          <w:szCs w:val="22"/>
          <w:lang w:val="fr-FR"/>
        </w:rPr>
        <w:t>l’intérêt de solliciter l’avis d’autres organes intergouvernementaux à l’égard des propositions d’amendement des Annexes</w:t>
      </w:r>
      <w:r w:rsidR="00EF75B9">
        <w:rPr>
          <w:rFonts w:ascii="Arial" w:hAnsi="Arial" w:cs="Arial"/>
          <w:sz w:val="22"/>
          <w:szCs w:val="22"/>
          <w:lang w:val="fr-FR"/>
        </w:rPr>
        <w:t>,</w:t>
      </w:r>
    </w:p>
    <w:p w14:paraId="53F35D1C" w14:textId="0CAE8730" w:rsidR="00341A37" w:rsidRDefault="00341A37" w:rsidP="00341A37">
      <w:pPr>
        <w:tabs>
          <w:tab w:val="left" w:pos="-720"/>
          <w:tab w:val="left" w:pos="310"/>
          <w:tab w:val="left" w:pos="835"/>
        </w:tabs>
        <w:jc w:val="both"/>
        <w:rPr>
          <w:rFonts w:ascii="Arial" w:hAnsi="Arial" w:cs="Arial"/>
          <w:iCs/>
          <w:sz w:val="22"/>
          <w:szCs w:val="22"/>
          <w:lang w:val="fr-FR"/>
        </w:rPr>
      </w:pPr>
    </w:p>
    <w:p w14:paraId="1E84F190" w14:textId="77777777" w:rsidR="003B0396" w:rsidRPr="00341A37" w:rsidRDefault="003B0396" w:rsidP="00341A37">
      <w:pPr>
        <w:tabs>
          <w:tab w:val="left" w:pos="-720"/>
          <w:tab w:val="left" w:pos="310"/>
          <w:tab w:val="left" w:pos="835"/>
        </w:tabs>
        <w:jc w:val="both"/>
        <w:rPr>
          <w:rFonts w:ascii="Arial" w:hAnsi="Arial" w:cs="Arial"/>
          <w:iCs/>
          <w:sz w:val="22"/>
          <w:szCs w:val="22"/>
          <w:lang w:val="fr-FR"/>
        </w:rPr>
      </w:pPr>
    </w:p>
    <w:p w14:paraId="332E2782" w14:textId="77777777" w:rsidR="003B0396" w:rsidRDefault="00341A37" w:rsidP="003B0396">
      <w:pPr>
        <w:jc w:val="center"/>
        <w:rPr>
          <w:rFonts w:ascii="Arial" w:hAnsi="Arial" w:cs="Arial"/>
          <w:i/>
          <w:sz w:val="22"/>
          <w:szCs w:val="22"/>
          <w:lang w:val="fr-FR"/>
        </w:rPr>
      </w:pPr>
      <w:r w:rsidRPr="00341A37">
        <w:rPr>
          <w:rFonts w:ascii="Arial" w:hAnsi="Arial" w:cs="Arial"/>
          <w:i/>
          <w:sz w:val="22"/>
          <w:szCs w:val="22"/>
          <w:lang w:val="fr-FR"/>
        </w:rPr>
        <w:t>La Conférence des Parties à la</w:t>
      </w:r>
    </w:p>
    <w:p w14:paraId="3A47D503" w14:textId="11A2F217" w:rsidR="00341A37" w:rsidRPr="00341A37" w:rsidRDefault="00341A37" w:rsidP="003B0396">
      <w:pPr>
        <w:jc w:val="center"/>
        <w:rPr>
          <w:rFonts w:ascii="Arial" w:hAnsi="Arial" w:cs="Arial"/>
          <w:i/>
          <w:sz w:val="22"/>
          <w:szCs w:val="22"/>
          <w:lang w:val="fr-FR"/>
        </w:rPr>
      </w:pPr>
      <w:r w:rsidRPr="00341A37">
        <w:rPr>
          <w:rFonts w:ascii="Arial" w:hAnsi="Arial" w:cs="Arial"/>
          <w:i/>
          <w:sz w:val="22"/>
          <w:szCs w:val="22"/>
          <w:lang w:val="fr-FR"/>
        </w:rPr>
        <w:t>Convention sur la conservation des espèces migratrices appartenant à la faune sauvage</w:t>
      </w:r>
    </w:p>
    <w:p w14:paraId="70C3A5C2" w14:textId="77777777" w:rsidR="00341A37" w:rsidRPr="00341A37" w:rsidRDefault="00341A37" w:rsidP="00341A37">
      <w:pPr>
        <w:jc w:val="both"/>
        <w:rPr>
          <w:rFonts w:ascii="Arial" w:hAnsi="Arial" w:cs="Arial"/>
          <w:sz w:val="22"/>
          <w:szCs w:val="22"/>
          <w:lang w:val="fr-FR"/>
        </w:rPr>
      </w:pPr>
    </w:p>
    <w:p w14:paraId="1CBB033B" w14:textId="77777777" w:rsidR="00341A37" w:rsidRPr="00341A37" w:rsidRDefault="00341A37" w:rsidP="00341A37">
      <w:pPr>
        <w:widowControl/>
        <w:numPr>
          <w:ilvl w:val="0"/>
          <w:numId w:val="1"/>
        </w:numPr>
        <w:suppressAutoHyphens w:val="0"/>
        <w:autoSpaceDE/>
        <w:autoSpaceDN/>
        <w:ind w:left="567" w:hanging="567"/>
        <w:jc w:val="both"/>
        <w:textAlignment w:val="auto"/>
        <w:rPr>
          <w:rFonts w:ascii="Arial" w:hAnsi="Arial" w:cs="Arial"/>
          <w:sz w:val="22"/>
          <w:szCs w:val="22"/>
          <w:lang w:val="fr-FR"/>
        </w:rPr>
      </w:pPr>
      <w:r w:rsidRPr="00341A37">
        <w:rPr>
          <w:rFonts w:ascii="Arial" w:hAnsi="Arial" w:cs="Arial"/>
          <w:i/>
          <w:sz w:val="22"/>
          <w:szCs w:val="22"/>
          <w:lang w:val="fr-FR"/>
        </w:rPr>
        <w:t>Décide</w:t>
      </w:r>
      <w:r w:rsidRPr="00341A37">
        <w:rPr>
          <w:rFonts w:ascii="Arial" w:hAnsi="Arial" w:cs="Arial"/>
          <w:sz w:val="22"/>
          <w:szCs w:val="22"/>
          <w:lang w:val="fr-FR"/>
        </w:rPr>
        <w:t xml:space="preserve"> d’interpréter l’expression « en danger » au paragraphe 1(a) de l’Article premier de la Convention, au sens de :</w:t>
      </w:r>
    </w:p>
    <w:p w14:paraId="4D77BCBC" w14:textId="77777777" w:rsidR="00341A37" w:rsidRPr="00341A37" w:rsidRDefault="00341A37" w:rsidP="00341A37">
      <w:pPr>
        <w:ind w:left="360"/>
        <w:jc w:val="both"/>
        <w:rPr>
          <w:rFonts w:ascii="Arial" w:hAnsi="Arial" w:cs="Arial"/>
          <w:sz w:val="22"/>
          <w:szCs w:val="22"/>
          <w:lang w:val="fr-FR"/>
        </w:rPr>
      </w:pPr>
    </w:p>
    <w:p w14:paraId="05904B06" w14:textId="05F4AF38" w:rsidR="00341A37" w:rsidRPr="00341A37" w:rsidRDefault="00341A37" w:rsidP="00F52298">
      <w:pPr>
        <w:ind w:left="567"/>
        <w:jc w:val="both"/>
        <w:rPr>
          <w:rFonts w:ascii="Arial" w:hAnsi="Arial" w:cs="Arial"/>
          <w:sz w:val="22"/>
          <w:szCs w:val="22"/>
          <w:lang w:val="fr-FR"/>
        </w:rPr>
      </w:pPr>
      <w:r w:rsidRPr="00341A37">
        <w:rPr>
          <w:rFonts w:ascii="Arial" w:hAnsi="Arial" w:cs="Arial"/>
          <w:sz w:val="22"/>
          <w:szCs w:val="22"/>
          <w:lang w:val="fr-FR"/>
        </w:rPr>
        <w:t xml:space="preserve">« </w:t>
      </w:r>
      <w:proofErr w:type="gramStart"/>
      <w:r w:rsidRPr="00341A37">
        <w:rPr>
          <w:rFonts w:ascii="Arial" w:hAnsi="Arial" w:cs="Arial"/>
          <w:sz w:val="22"/>
          <w:szCs w:val="22"/>
          <w:lang w:val="fr-FR"/>
        </w:rPr>
        <w:t>exposé</w:t>
      </w:r>
      <w:proofErr w:type="gramEnd"/>
      <w:r w:rsidRPr="00341A37">
        <w:rPr>
          <w:rFonts w:ascii="Arial" w:hAnsi="Arial" w:cs="Arial"/>
          <w:sz w:val="22"/>
          <w:szCs w:val="22"/>
          <w:lang w:val="fr-FR"/>
        </w:rPr>
        <w:t xml:space="preserve"> à l’état sauvage à un risque d’extinction très élevé et à court terme »</w:t>
      </w:r>
      <w:r w:rsidR="00EF75B9">
        <w:rPr>
          <w:rFonts w:ascii="Arial" w:hAnsi="Arial" w:cs="Arial"/>
          <w:sz w:val="22"/>
          <w:szCs w:val="22"/>
          <w:lang w:val="fr-FR"/>
        </w:rPr>
        <w:t> ;</w:t>
      </w:r>
    </w:p>
    <w:p w14:paraId="0B9AC6AD" w14:textId="77777777" w:rsidR="00341A37" w:rsidRPr="00341A37" w:rsidRDefault="00341A37" w:rsidP="00341A37">
      <w:pPr>
        <w:ind w:left="360"/>
        <w:jc w:val="both"/>
        <w:rPr>
          <w:rFonts w:ascii="Arial" w:hAnsi="Arial" w:cs="Arial"/>
          <w:sz w:val="22"/>
          <w:szCs w:val="22"/>
          <w:lang w:val="fr-FR"/>
        </w:rPr>
      </w:pPr>
    </w:p>
    <w:p w14:paraId="4BC495BE" w14:textId="22D176C7" w:rsidR="00341A37" w:rsidRPr="00341A37" w:rsidRDefault="00341A37" w:rsidP="00341A37">
      <w:pPr>
        <w:widowControl/>
        <w:numPr>
          <w:ilvl w:val="0"/>
          <w:numId w:val="1"/>
        </w:numPr>
        <w:tabs>
          <w:tab w:val="left" w:pos="-720"/>
          <w:tab w:val="left" w:pos="567"/>
          <w:tab w:val="left" w:pos="835"/>
        </w:tabs>
        <w:suppressAutoHyphens w:val="0"/>
        <w:autoSpaceDE/>
        <w:autoSpaceDN/>
        <w:ind w:left="567" w:hanging="567"/>
        <w:jc w:val="both"/>
        <w:textAlignment w:val="auto"/>
        <w:rPr>
          <w:rFonts w:ascii="Arial" w:hAnsi="Arial" w:cs="Arial"/>
          <w:iCs/>
          <w:sz w:val="22"/>
          <w:szCs w:val="22"/>
          <w:lang w:val="fr-FR"/>
        </w:rPr>
      </w:pPr>
      <w:r w:rsidRPr="00341A37">
        <w:rPr>
          <w:rFonts w:ascii="Arial" w:hAnsi="Arial" w:cs="Arial"/>
          <w:i/>
          <w:iCs/>
          <w:sz w:val="22"/>
          <w:szCs w:val="22"/>
          <w:lang w:val="fr-FR"/>
        </w:rPr>
        <w:t>Convient</w:t>
      </w:r>
      <w:r w:rsidRPr="00341A37">
        <w:rPr>
          <w:rFonts w:ascii="Arial" w:hAnsi="Arial" w:cs="Arial"/>
          <w:iCs/>
          <w:sz w:val="22"/>
          <w:szCs w:val="22"/>
          <w:lang w:val="fr-FR"/>
        </w:rPr>
        <w:t xml:space="preserve"> qu’en appliquant l’interprétation de l’expression « espèces menacées » les principes généraux suivants seront suivis</w:t>
      </w:r>
      <w:r w:rsidR="004A7CBF">
        <w:rPr>
          <w:rFonts w:ascii="Arial" w:hAnsi="Arial" w:cs="Arial"/>
          <w:iCs/>
          <w:sz w:val="22"/>
          <w:szCs w:val="22"/>
          <w:lang w:val="fr-FR"/>
        </w:rPr>
        <w:t> </w:t>
      </w:r>
      <w:r w:rsidRPr="00341A37">
        <w:rPr>
          <w:rFonts w:ascii="Arial" w:hAnsi="Arial" w:cs="Arial"/>
          <w:iCs/>
          <w:sz w:val="22"/>
          <w:szCs w:val="22"/>
          <w:lang w:val="fr-FR"/>
        </w:rPr>
        <w:t>:</w:t>
      </w:r>
    </w:p>
    <w:p w14:paraId="4FB16B05" w14:textId="77777777" w:rsidR="00341A37" w:rsidRPr="00341A37" w:rsidRDefault="00341A37" w:rsidP="00341A37">
      <w:pPr>
        <w:tabs>
          <w:tab w:val="left" w:pos="-720"/>
          <w:tab w:val="left" w:pos="310"/>
          <w:tab w:val="left" w:pos="835"/>
        </w:tabs>
        <w:ind w:left="360"/>
        <w:jc w:val="both"/>
        <w:rPr>
          <w:rFonts w:ascii="Arial" w:hAnsi="Arial" w:cs="Arial"/>
          <w:iCs/>
          <w:sz w:val="22"/>
          <w:szCs w:val="22"/>
          <w:lang w:val="fr-FR"/>
        </w:rPr>
      </w:pPr>
    </w:p>
    <w:p w14:paraId="64638637" w14:textId="5A584ABF" w:rsidR="00341A37" w:rsidRPr="00341A37" w:rsidRDefault="00341A37" w:rsidP="00341A37">
      <w:pPr>
        <w:widowControl/>
        <w:numPr>
          <w:ilvl w:val="1"/>
          <w:numId w:val="1"/>
        </w:numPr>
        <w:tabs>
          <w:tab w:val="left" w:pos="-720"/>
          <w:tab w:val="left" w:pos="310"/>
          <w:tab w:val="left" w:pos="1276"/>
        </w:tabs>
        <w:suppressAutoHyphens w:val="0"/>
        <w:autoSpaceDE/>
        <w:autoSpaceDN/>
        <w:ind w:left="1134" w:hanging="567"/>
        <w:jc w:val="both"/>
        <w:textAlignment w:val="auto"/>
        <w:rPr>
          <w:rFonts w:ascii="Arial" w:hAnsi="Arial" w:cs="Arial"/>
          <w:iCs/>
          <w:sz w:val="22"/>
          <w:szCs w:val="22"/>
          <w:lang w:val="fr-FR"/>
        </w:rPr>
      </w:pPr>
      <w:r w:rsidRPr="00341A37">
        <w:rPr>
          <w:rFonts w:ascii="Arial" w:hAnsi="Arial" w:cs="Arial"/>
          <w:iCs/>
          <w:sz w:val="22"/>
          <w:szCs w:val="22"/>
          <w:lang w:val="fr-FR"/>
        </w:rPr>
        <w:t>La restriction imposée à l’inscription d’espèces à l’Annexe I, qui correspond aux espèces « en danger », vaut pour les futures propositions d’inscription mais pas nécessairement rétroactivement pour les espèces déjà inscrites</w:t>
      </w:r>
      <w:r w:rsidR="00EF75B9">
        <w:rPr>
          <w:rFonts w:ascii="Arial" w:hAnsi="Arial" w:cs="Arial"/>
          <w:iCs/>
          <w:sz w:val="22"/>
          <w:szCs w:val="22"/>
          <w:lang w:val="fr-FR"/>
        </w:rPr>
        <w:t> ;</w:t>
      </w:r>
    </w:p>
    <w:p w14:paraId="5920DF4B" w14:textId="77777777" w:rsidR="00341A37" w:rsidRPr="00341A37" w:rsidRDefault="00341A37" w:rsidP="00341A37">
      <w:pPr>
        <w:tabs>
          <w:tab w:val="left" w:pos="-720"/>
          <w:tab w:val="left" w:pos="310"/>
          <w:tab w:val="left" w:pos="1276"/>
        </w:tabs>
        <w:ind w:left="1134" w:hanging="567"/>
        <w:jc w:val="both"/>
        <w:rPr>
          <w:rFonts w:ascii="Arial" w:hAnsi="Arial" w:cs="Arial"/>
          <w:iCs/>
          <w:sz w:val="22"/>
          <w:szCs w:val="22"/>
          <w:lang w:val="fr-FR"/>
        </w:rPr>
      </w:pPr>
    </w:p>
    <w:p w14:paraId="5D232EFD" w14:textId="5FC68D45" w:rsidR="00341A37" w:rsidRPr="00341A37" w:rsidRDefault="00341A37" w:rsidP="00341A37">
      <w:pPr>
        <w:widowControl/>
        <w:numPr>
          <w:ilvl w:val="1"/>
          <w:numId w:val="1"/>
        </w:numPr>
        <w:tabs>
          <w:tab w:val="left" w:pos="-720"/>
          <w:tab w:val="left" w:pos="310"/>
          <w:tab w:val="left" w:pos="1276"/>
        </w:tabs>
        <w:suppressAutoHyphens w:val="0"/>
        <w:autoSpaceDE/>
        <w:autoSpaceDN/>
        <w:ind w:left="1134" w:hanging="567"/>
        <w:jc w:val="both"/>
        <w:textAlignment w:val="auto"/>
        <w:rPr>
          <w:rFonts w:ascii="Arial" w:hAnsi="Arial" w:cs="Arial"/>
          <w:iCs/>
          <w:sz w:val="22"/>
          <w:szCs w:val="22"/>
          <w:lang w:val="fr-FR"/>
        </w:rPr>
      </w:pPr>
      <w:r w:rsidRPr="00341A37">
        <w:rPr>
          <w:rFonts w:ascii="Arial" w:hAnsi="Arial" w:cs="Arial"/>
          <w:iCs/>
          <w:sz w:val="22"/>
          <w:szCs w:val="22"/>
          <w:lang w:val="fr-FR"/>
        </w:rPr>
        <w:t>Sachant que l’alinéa b) du paragraphe 3 de l’Article III de la Convention dispose qu’une espèce migratrice peut être supprimée de l’Annexe I lorsque l’on est assuré que ladite espèce ne risque pas d’être à nouveau mise en danger en raison du défaut de protection résultant de sa suppression de l’Annexe I, et se référant à l'interprétation du terme « en danger » figurant dans la présente Résolution; les espèces catégorisées «éteintes», «en danger critique d'extinction» ou «en danger» par la Liste rouge catégories et critères de l'Union internationale pour la conservation de la nature (UICN) (version 3.1, deuxième édition), devraient être conservées à l'Annexe I</w:t>
      </w:r>
      <w:r w:rsidR="00EF75B9">
        <w:rPr>
          <w:rFonts w:ascii="Arial" w:hAnsi="Arial" w:cs="Arial"/>
          <w:iCs/>
          <w:sz w:val="22"/>
          <w:szCs w:val="22"/>
          <w:lang w:val="fr-FR"/>
        </w:rPr>
        <w:t> ;</w:t>
      </w:r>
    </w:p>
    <w:p w14:paraId="29CE8B95" w14:textId="77777777" w:rsidR="00341A37" w:rsidRPr="00341A37" w:rsidRDefault="00341A37" w:rsidP="00341A37">
      <w:pPr>
        <w:pStyle w:val="ListParagraph"/>
        <w:spacing w:after="0" w:line="240" w:lineRule="auto"/>
        <w:jc w:val="both"/>
        <w:rPr>
          <w:rFonts w:cs="Arial"/>
          <w:iCs/>
          <w:lang w:val="fr-FR"/>
        </w:rPr>
      </w:pPr>
    </w:p>
    <w:p w14:paraId="73CDADA4" w14:textId="5EDA43DD" w:rsidR="00341A37" w:rsidRPr="003B0396" w:rsidRDefault="00341A37" w:rsidP="00341A37">
      <w:pPr>
        <w:widowControl/>
        <w:numPr>
          <w:ilvl w:val="0"/>
          <w:numId w:val="1"/>
        </w:numPr>
        <w:tabs>
          <w:tab w:val="left" w:pos="-720"/>
          <w:tab w:val="left" w:pos="567"/>
          <w:tab w:val="left" w:pos="835"/>
        </w:tabs>
        <w:suppressAutoHyphens w:val="0"/>
        <w:autoSpaceDE/>
        <w:autoSpaceDN/>
        <w:ind w:left="567" w:hanging="567"/>
        <w:jc w:val="both"/>
        <w:textAlignment w:val="auto"/>
        <w:rPr>
          <w:rFonts w:ascii="Arial" w:hAnsi="Arial" w:cs="Arial"/>
          <w:iCs/>
          <w:sz w:val="22"/>
          <w:szCs w:val="22"/>
          <w:lang w:val="fr-FR"/>
        </w:rPr>
      </w:pPr>
      <w:r w:rsidRPr="003B0396">
        <w:rPr>
          <w:rFonts w:ascii="Arial" w:hAnsi="Arial" w:cs="Arial"/>
          <w:i/>
          <w:iCs/>
          <w:sz w:val="22"/>
          <w:szCs w:val="22"/>
          <w:lang w:val="fr-FR"/>
        </w:rPr>
        <w:t xml:space="preserve">Décide </w:t>
      </w:r>
      <w:r w:rsidRPr="003B0396">
        <w:rPr>
          <w:rFonts w:ascii="Arial" w:hAnsi="Arial" w:cs="Arial"/>
          <w:sz w:val="22"/>
          <w:szCs w:val="22"/>
          <w:lang w:val="fr-FR"/>
        </w:rPr>
        <w:t>que,</w:t>
      </w:r>
      <w:r w:rsidRPr="003B0396">
        <w:rPr>
          <w:rFonts w:ascii="Arial" w:hAnsi="Arial" w:cs="Arial"/>
          <w:iCs/>
          <w:sz w:val="22"/>
          <w:szCs w:val="22"/>
          <w:lang w:val="fr-FR"/>
        </w:rPr>
        <w:t xml:space="preserve"> pour l’interprétation du terme </w:t>
      </w:r>
      <w:r w:rsidR="003B0396">
        <w:rPr>
          <w:rFonts w:ascii="Arial" w:hAnsi="Arial" w:cs="Arial"/>
          <w:iCs/>
          <w:sz w:val="22"/>
          <w:szCs w:val="22"/>
          <w:lang w:val="fr-FR"/>
        </w:rPr>
        <w:t>« </w:t>
      </w:r>
      <w:r w:rsidRPr="003B0396">
        <w:rPr>
          <w:rFonts w:ascii="Arial" w:hAnsi="Arial" w:cs="Arial"/>
          <w:iCs/>
          <w:sz w:val="22"/>
          <w:szCs w:val="22"/>
          <w:lang w:val="fr-FR"/>
        </w:rPr>
        <w:t>espèce migratrice</w:t>
      </w:r>
      <w:r w:rsidR="003B0396">
        <w:rPr>
          <w:rFonts w:ascii="Arial" w:hAnsi="Arial" w:cs="Arial"/>
          <w:iCs/>
          <w:sz w:val="22"/>
          <w:szCs w:val="22"/>
          <w:lang w:val="fr-FR"/>
        </w:rPr>
        <w:t> »</w:t>
      </w:r>
      <w:r w:rsidRPr="003B0396">
        <w:rPr>
          <w:rFonts w:ascii="Arial" w:hAnsi="Arial" w:cs="Arial"/>
          <w:iCs/>
          <w:sz w:val="22"/>
          <w:szCs w:val="22"/>
          <w:lang w:val="fr-FR"/>
        </w:rPr>
        <w:t xml:space="preserve"> figurant à l’alinéa a) du paragraphe 1 de l’Article I de la Convention</w:t>
      </w:r>
      <w:r w:rsidR="003B0396" w:rsidRPr="003B0396">
        <w:rPr>
          <w:rFonts w:ascii="Arial" w:hAnsi="Arial" w:cs="Arial"/>
          <w:iCs/>
          <w:sz w:val="22"/>
          <w:szCs w:val="22"/>
          <w:lang w:val="fr-FR"/>
        </w:rPr>
        <w:t> </w:t>
      </w:r>
      <w:r w:rsidRPr="003B0396">
        <w:rPr>
          <w:rFonts w:ascii="Arial" w:hAnsi="Arial" w:cs="Arial"/>
          <w:iCs/>
          <w:sz w:val="22"/>
          <w:szCs w:val="22"/>
          <w:lang w:val="fr-FR"/>
        </w:rPr>
        <w:t xml:space="preserve">: </w:t>
      </w:r>
    </w:p>
    <w:p w14:paraId="348B569A" w14:textId="77777777" w:rsidR="00341A37" w:rsidRPr="003B0396" w:rsidRDefault="00341A37" w:rsidP="00341A37">
      <w:pPr>
        <w:tabs>
          <w:tab w:val="left" w:pos="-720"/>
          <w:tab w:val="left" w:pos="310"/>
          <w:tab w:val="left" w:pos="835"/>
        </w:tabs>
        <w:ind w:left="360"/>
        <w:jc w:val="both"/>
        <w:rPr>
          <w:rFonts w:ascii="Arial" w:hAnsi="Arial" w:cs="Arial"/>
          <w:iCs/>
          <w:sz w:val="22"/>
          <w:szCs w:val="22"/>
          <w:lang w:val="fr-FR"/>
        </w:rPr>
      </w:pPr>
    </w:p>
    <w:p w14:paraId="60862CAF" w14:textId="5ECBB61B" w:rsidR="00341A37" w:rsidRPr="00341A37" w:rsidRDefault="00341A37" w:rsidP="00341A37">
      <w:pPr>
        <w:ind w:left="1134" w:hanging="567"/>
        <w:jc w:val="both"/>
        <w:rPr>
          <w:rFonts w:ascii="Arial" w:hAnsi="Arial" w:cs="Arial"/>
          <w:sz w:val="22"/>
          <w:szCs w:val="22"/>
          <w:lang w:val="fr-FR"/>
        </w:rPr>
      </w:pPr>
      <w:bookmarkStart w:id="0" w:name="_Hlk21615455"/>
      <w:r w:rsidRPr="003B0396">
        <w:rPr>
          <w:rFonts w:ascii="Arial" w:hAnsi="Arial" w:cs="Arial"/>
          <w:sz w:val="22"/>
          <w:szCs w:val="22"/>
          <w:lang w:val="fr-FR"/>
        </w:rPr>
        <w:t xml:space="preserve">(i) </w:t>
      </w:r>
      <w:bookmarkStart w:id="1" w:name="_Hlk21615466"/>
      <w:r w:rsidRPr="003B0396">
        <w:rPr>
          <w:rFonts w:ascii="Arial" w:hAnsi="Arial" w:cs="Arial"/>
          <w:sz w:val="22"/>
          <w:szCs w:val="22"/>
          <w:lang w:val="fr-FR"/>
        </w:rPr>
        <w:tab/>
      </w:r>
      <w:bookmarkEnd w:id="0"/>
      <w:bookmarkEnd w:id="1"/>
      <w:r w:rsidRPr="003B0396">
        <w:rPr>
          <w:rFonts w:ascii="Arial" w:hAnsi="Arial" w:cs="Arial"/>
          <w:sz w:val="22"/>
          <w:szCs w:val="22"/>
          <w:lang w:val="fr-FR"/>
        </w:rPr>
        <w:t>Le terme « cycliquement » figurant dans le membre</w:t>
      </w:r>
      <w:r w:rsidRPr="00341A37">
        <w:rPr>
          <w:rFonts w:ascii="Arial" w:hAnsi="Arial" w:cs="Arial"/>
          <w:sz w:val="22"/>
          <w:szCs w:val="22"/>
          <w:lang w:val="fr-FR"/>
        </w:rPr>
        <w:t xml:space="preserve"> de phrase « cycliquement et de façon prévisible » désigne tout cycle, quelle qu’en soit la nature, par exemple astronomique (circadien, annuel, etc.), biologique ou climatique, et quelle qu’en soit la fréquence</w:t>
      </w:r>
      <w:r w:rsidR="00EF75B9">
        <w:rPr>
          <w:rFonts w:ascii="Arial" w:hAnsi="Arial" w:cs="Arial"/>
          <w:sz w:val="22"/>
          <w:szCs w:val="22"/>
          <w:lang w:val="fr-FR"/>
        </w:rPr>
        <w:t> ;</w:t>
      </w:r>
    </w:p>
    <w:p w14:paraId="166D0E24" w14:textId="77777777" w:rsidR="00341A37" w:rsidRPr="00341A37" w:rsidRDefault="00341A37" w:rsidP="00341A37">
      <w:pPr>
        <w:ind w:left="1134" w:hanging="567"/>
        <w:jc w:val="both"/>
        <w:rPr>
          <w:rFonts w:ascii="Arial" w:hAnsi="Arial" w:cs="Arial"/>
          <w:sz w:val="22"/>
          <w:szCs w:val="22"/>
          <w:lang w:val="fr-FR"/>
        </w:rPr>
      </w:pPr>
    </w:p>
    <w:p w14:paraId="70C44960" w14:textId="5528257D" w:rsidR="00341A37" w:rsidRPr="00341A37" w:rsidRDefault="00341A37" w:rsidP="00341A37">
      <w:pPr>
        <w:ind w:left="1134" w:hanging="567"/>
        <w:jc w:val="both"/>
        <w:rPr>
          <w:rFonts w:ascii="Arial" w:hAnsi="Arial" w:cs="Arial"/>
          <w:sz w:val="22"/>
          <w:szCs w:val="22"/>
          <w:lang w:val="fr-FR"/>
        </w:rPr>
      </w:pPr>
      <w:bookmarkStart w:id="2" w:name="_Hlk21615493"/>
      <w:r w:rsidRPr="00341A37">
        <w:rPr>
          <w:rFonts w:ascii="Arial" w:hAnsi="Arial" w:cs="Arial"/>
          <w:sz w:val="22"/>
          <w:szCs w:val="22"/>
          <w:lang w:val="fr-FR"/>
        </w:rPr>
        <w:t xml:space="preserve">(ii) </w:t>
      </w:r>
      <w:r w:rsidRPr="00341A37">
        <w:rPr>
          <w:rFonts w:ascii="Arial" w:hAnsi="Arial" w:cs="Arial"/>
          <w:sz w:val="22"/>
          <w:szCs w:val="22"/>
          <w:lang w:val="fr-FR"/>
        </w:rPr>
        <w:tab/>
      </w:r>
      <w:bookmarkEnd w:id="2"/>
      <w:r w:rsidRPr="00341A37">
        <w:rPr>
          <w:rFonts w:ascii="Arial" w:hAnsi="Arial" w:cs="Arial"/>
          <w:sz w:val="22"/>
          <w:szCs w:val="22"/>
          <w:lang w:val="fr-FR"/>
        </w:rPr>
        <w:t>L’expression « de façon prévisible » figurant dans le membre de phrase « cycliquement et de façon prévisible » signifie qu’on peut s’attendre qu’un phénomène se reproduise dans un certain nombre de circonstances données, sans qu’il ait nécessairement une périodicité régulière</w:t>
      </w:r>
      <w:r w:rsidR="00EF75B9">
        <w:rPr>
          <w:rFonts w:ascii="Arial" w:hAnsi="Arial" w:cs="Arial"/>
          <w:sz w:val="22"/>
          <w:szCs w:val="22"/>
          <w:lang w:val="fr-FR"/>
        </w:rPr>
        <w:t> ;</w:t>
      </w:r>
    </w:p>
    <w:p w14:paraId="353FE0F6" w14:textId="77777777" w:rsidR="00341A37" w:rsidRPr="00341A37" w:rsidRDefault="00341A37" w:rsidP="00341A37">
      <w:pPr>
        <w:ind w:left="1134" w:hanging="567"/>
        <w:jc w:val="both"/>
        <w:rPr>
          <w:rFonts w:ascii="Arial" w:hAnsi="Arial" w:cs="Arial"/>
          <w:sz w:val="22"/>
          <w:szCs w:val="22"/>
          <w:lang w:val="fr-FR"/>
        </w:rPr>
      </w:pPr>
    </w:p>
    <w:p w14:paraId="6EA60539" w14:textId="10A0226C" w:rsidR="00341A37" w:rsidRPr="00341A37" w:rsidRDefault="00341A37" w:rsidP="00341A37">
      <w:pPr>
        <w:widowControl/>
        <w:numPr>
          <w:ilvl w:val="0"/>
          <w:numId w:val="1"/>
        </w:numPr>
        <w:tabs>
          <w:tab w:val="left" w:pos="-720"/>
          <w:tab w:val="left" w:pos="709"/>
          <w:tab w:val="left" w:pos="835"/>
        </w:tabs>
        <w:suppressAutoHyphens w:val="0"/>
        <w:autoSpaceDE/>
        <w:autoSpaceDN/>
        <w:ind w:left="567" w:hanging="567"/>
        <w:jc w:val="both"/>
        <w:textAlignment w:val="auto"/>
        <w:rPr>
          <w:rFonts w:ascii="Arial" w:hAnsi="Arial" w:cs="Arial"/>
          <w:iCs/>
          <w:sz w:val="22"/>
          <w:szCs w:val="22"/>
          <w:lang w:val="fr-FR"/>
        </w:rPr>
      </w:pPr>
      <w:r w:rsidRPr="00341A37">
        <w:rPr>
          <w:rFonts w:ascii="Arial" w:hAnsi="Arial" w:cs="Arial"/>
          <w:i/>
          <w:sz w:val="22"/>
          <w:szCs w:val="22"/>
          <w:lang w:val="fr-FR"/>
        </w:rPr>
        <w:t>Décide</w:t>
      </w:r>
      <w:r w:rsidRPr="00341A37">
        <w:rPr>
          <w:rFonts w:ascii="Arial" w:hAnsi="Arial" w:cs="Arial"/>
          <w:sz w:val="22"/>
          <w:szCs w:val="22"/>
          <w:lang w:val="fr-FR"/>
        </w:rPr>
        <w:t xml:space="preserve"> qu’en vertu du principe de précaution et en cas d’incertitude concernant l’état d’une espèce, les Parties doivent agir dans le meilleur intérêt de conservation de l’espèce et, lors de l’examen des propositions d’amendement de l’Annexe I ou II, doivent adopter des mesures proportionnelles aux risques encourus par l’espèce</w:t>
      </w:r>
      <w:r w:rsidR="00EF75B9">
        <w:rPr>
          <w:rFonts w:ascii="Arial" w:hAnsi="Arial" w:cs="Arial"/>
          <w:sz w:val="22"/>
          <w:szCs w:val="22"/>
          <w:lang w:val="fr-FR"/>
        </w:rPr>
        <w:t> ;</w:t>
      </w:r>
    </w:p>
    <w:p w14:paraId="72233CF6" w14:textId="77777777" w:rsidR="00341A37" w:rsidRPr="00341A37" w:rsidRDefault="00341A37" w:rsidP="00341A37">
      <w:pPr>
        <w:tabs>
          <w:tab w:val="left" w:pos="-720"/>
          <w:tab w:val="left" w:pos="709"/>
          <w:tab w:val="left" w:pos="835"/>
        </w:tabs>
        <w:ind w:left="567" w:hanging="567"/>
        <w:jc w:val="both"/>
        <w:rPr>
          <w:rFonts w:ascii="Arial" w:hAnsi="Arial" w:cs="Arial"/>
          <w:iCs/>
          <w:sz w:val="22"/>
          <w:szCs w:val="22"/>
          <w:lang w:val="fr-FR"/>
        </w:rPr>
      </w:pPr>
    </w:p>
    <w:p w14:paraId="4CE6A0E1" w14:textId="56E7AE24" w:rsidR="00341A37" w:rsidRPr="00341A37" w:rsidRDefault="00341A37" w:rsidP="00341A37">
      <w:pPr>
        <w:widowControl/>
        <w:numPr>
          <w:ilvl w:val="0"/>
          <w:numId w:val="1"/>
        </w:numPr>
        <w:tabs>
          <w:tab w:val="left" w:pos="-720"/>
          <w:tab w:val="left" w:pos="709"/>
          <w:tab w:val="left" w:pos="835"/>
        </w:tabs>
        <w:suppressAutoHyphens w:val="0"/>
        <w:autoSpaceDE/>
        <w:autoSpaceDN/>
        <w:ind w:left="567" w:hanging="567"/>
        <w:jc w:val="both"/>
        <w:textAlignment w:val="auto"/>
        <w:rPr>
          <w:rFonts w:ascii="Arial" w:hAnsi="Arial" w:cs="Arial"/>
          <w:iCs/>
          <w:sz w:val="22"/>
          <w:szCs w:val="22"/>
          <w:lang w:val="fr-FR"/>
        </w:rPr>
      </w:pPr>
      <w:r w:rsidRPr="00341A37">
        <w:rPr>
          <w:rFonts w:ascii="Arial" w:hAnsi="Arial" w:cs="Arial"/>
          <w:i/>
          <w:sz w:val="22"/>
          <w:szCs w:val="22"/>
          <w:lang w:val="fr-FR"/>
        </w:rPr>
        <w:t>Convient</w:t>
      </w:r>
      <w:r w:rsidRPr="00341A37">
        <w:rPr>
          <w:rFonts w:ascii="Arial" w:hAnsi="Arial" w:cs="Arial"/>
          <w:sz w:val="22"/>
          <w:szCs w:val="22"/>
          <w:lang w:val="fr-FR"/>
        </w:rPr>
        <w:t xml:space="preserve"> que seules les espèces ou les taxons inférieurs seront ajoutés aux Annexes à la Convention et que les espèces migratrices regroupées sous un taxon supérieur figurant déjà à l’Annexe II ne devront être identifiées qu’au moment de l’élaboration des Accords en application de l’article IV de la Convention</w:t>
      </w:r>
      <w:r w:rsidR="00EF75B9">
        <w:rPr>
          <w:rFonts w:ascii="Arial" w:hAnsi="Arial" w:cs="Arial"/>
          <w:sz w:val="22"/>
          <w:szCs w:val="22"/>
          <w:lang w:val="fr-FR"/>
        </w:rPr>
        <w:t> ;</w:t>
      </w:r>
    </w:p>
    <w:p w14:paraId="46B6A6CA" w14:textId="77777777" w:rsidR="00341A37" w:rsidRPr="00341A37" w:rsidRDefault="00341A37" w:rsidP="00341A37">
      <w:pPr>
        <w:pStyle w:val="ListParagraph"/>
        <w:tabs>
          <w:tab w:val="left" w:pos="709"/>
        </w:tabs>
        <w:spacing w:after="0" w:line="240" w:lineRule="auto"/>
        <w:ind w:left="567" w:hanging="567"/>
        <w:jc w:val="both"/>
        <w:rPr>
          <w:rFonts w:cs="Arial"/>
          <w:iCs/>
          <w:lang w:val="fr-FR"/>
        </w:rPr>
      </w:pPr>
    </w:p>
    <w:p w14:paraId="1630ADD3" w14:textId="77777777" w:rsidR="00341A37" w:rsidRPr="00341A37" w:rsidRDefault="00341A37" w:rsidP="00341A37">
      <w:pPr>
        <w:pStyle w:val="ListParagraph"/>
        <w:tabs>
          <w:tab w:val="left" w:pos="709"/>
        </w:tabs>
        <w:spacing w:after="0" w:line="240" w:lineRule="auto"/>
        <w:ind w:left="567" w:hanging="567"/>
        <w:jc w:val="both"/>
        <w:rPr>
          <w:rFonts w:cs="Arial"/>
          <w:iCs/>
          <w:lang w:val="fr-FR"/>
        </w:rPr>
      </w:pPr>
    </w:p>
    <w:p w14:paraId="55834947" w14:textId="55C87E61" w:rsidR="00B15CD6" w:rsidRDefault="00B15CD6" w:rsidP="00341A37">
      <w:pPr>
        <w:widowControl/>
        <w:numPr>
          <w:ilvl w:val="0"/>
          <w:numId w:val="1"/>
        </w:numPr>
        <w:tabs>
          <w:tab w:val="left" w:pos="-720"/>
          <w:tab w:val="left" w:pos="709"/>
          <w:tab w:val="left" w:pos="835"/>
        </w:tabs>
        <w:suppressAutoHyphens w:val="0"/>
        <w:autoSpaceDE/>
        <w:autoSpaceDN/>
        <w:ind w:left="567" w:hanging="567"/>
        <w:jc w:val="both"/>
        <w:textAlignment w:val="auto"/>
        <w:rPr>
          <w:rFonts w:ascii="Arial" w:hAnsi="Arial" w:cs="Arial"/>
          <w:iCs/>
          <w:sz w:val="22"/>
          <w:szCs w:val="22"/>
          <w:lang w:val="fr-FR"/>
        </w:rPr>
      </w:pPr>
      <w:r w:rsidRPr="00B15CD6">
        <w:rPr>
          <w:rFonts w:ascii="Arial" w:hAnsi="Arial" w:cs="Arial"/>
          <w:i/>
          <w:iCs/>
          <w:sz w:val="22"/>
          <w:szCs w:val="22"/>
          <w:lang w:val="fr-FR"/>
        </w:rPr>
        <w:t>Adopte</w:t>
      </w:r>
      <w:r w:rsidRPr="00B15CD6">
        <w:rPr>
          <w:rFonts w:ascii="Arial" w:hAnsi="Arial" w:cs="Arial"/>
          <w:iCs/>
          <w:sz w:val="22"/>
          <w:szCs w:val="22"/>
          <w:lang w:val="fr-FR"/>
        </w:rPr>
        <w:t xml:space="preserve"> la directive selon laquelle</w:t>
      </w:r>
      <w:r>
        <w:rPr>
          <w:rFonts w:ascii="Arial" w:hAnsi="Arial" w:cs="Arial"/>
          <w:iCs/>
          <w:sz w:val="22"/>
          <w:szCs w:val="22"/>
          <w:lang w:val="fr-FR"/>
        </w:rPr>
        <w:t>,</w:t>
      </w:r>
      <w:r w:rsidRPr="00B15CD6">
        <w:rPr>
          <w:rFonts w:ascii="Arial" w:hAnsi="Arial" w:cs="Arial"/>
          <w:iCs/>
          <w:sz w:val="22"/>
          <w:szCs w:val="22"/>
          <w:lang w:val="fr-FR"/>
        </w:rPr>
        <w:t xml:space="preserve"> lorsqu’une partie importante d’une population géographiquement distincte </w:t>
      </w:r>
      <w:r>
        <w:rPr>
          <w:rFonts w:ascii="Arial" w:hAnsi="Arial" w:cs="Arial"/>
          <w:iCs/>
          <w:sz w:val="22"/>
          <w:szCs w:val="22"/>
          <w:lang w:val="fr-FR"/>
        </w:rPr>
        <w:t>d’une</w:t>
      </w:r>
      <w:r w:rsidRPr="00B15CD6">
        <w:rPr>
          <w:rFonts w:ascii="Arial" w:hAnsi="Arial" w:cs="Arial"/>
          <w:iCs/>
          <w:sz w:val="22"/>
          <w:szCs w:val="22"/>
          <w:lang w:val="fr-FR"/>
        </w:rPr>
        <w:t xml:space="preserve"> espèce </w:t>
      </w:r>
      <w:r>
        <w:rPr>
          <w:rFonts w:ascii="Arial" w:hAnsi="Arial" w:cs="Arial"/>
          <w:iCs/>
          <w:sz w:val="22"/>
          <w:szCs w:val="22"/>
          <w:lang w:val="fr-FR"/>
        </w:rPr>
        <w:t xml:space="preserve">migratrice </w:t>
      </w:r>
      <w:r w:rsidRPr="00B15CD6">
        <w:rPr>
          <w:rFonts w:ascii="Arial" w:hAnsi="Arial" w:cs="Arial"/>
          <w:iCs/>
          <w:sz w:val="22"/>
          <w:szCs w:val="22"/>
          <w:lang w:val="fr-FR"/>
        </w:rPr>
        <w:t xml:space="preserve">se trouve occasionnellement sur </w:t>
      </w:r>
      <w:r>
        <w:rPr>
          <w:rFonts w:ascii="Arial" w:hAnsi="Arial" w:cs="Arial"/>
          <w:iCs/>
          <w:sz w:val="22"/>
          <w:szCs w:val="22"/>
          <w:lang w:val="fr-FR"/>
        </w:rPr>
        <w:t>le</w:t>
      </w:r>
      <w:r w:rsidRPr="00B15CD6">
        <w:rPr>
          <w:rFonts w:ascii="Arial" w:hAnsi="Arial" w:cs="Arial"/>
          <w:iCs/>
          <w:sz w:val="22"/>
          <w:szCs w:val="22"/>
          <w:lang w:val="fr-FR"/>
        </w:rPr>
        <w:t xml:space="preserve"> territoire</w:t>
      </w:r>
      <w:r>
        <w:rPr>
          <w:rFonts w:ascii="Arial" w:hAnsi="Arial" w:cs="Arial"/>
          <w:iCs/>
          <w:sz w:val="22"/>
          <w:szCs w:val="22"/>
          <w:lang w:val="fr-FR"/>
        </w:rPr>
        <w:t xml:space="preserve"> d’</w:t>
      </w:r>
      <w:r w:rsidRPr="00B15CD6">
        <w:rPr>
          <w:rFonts w:ascii="Arial" w:hAnsi="Arial" w:cs="Arial"/>
          <w:iCs/>
          <w:sz w:val="22"/>
          <w:szCs w:val="22"/>
          <w:lang w:val="fr-FR"/>
        </w:rPr>
        <w:t>un État</w:t>
      </w:r>
      <w:r>
        <w:rPr>
          <w:rFonts w:ascii="Arial" w:hAnsi="Arial" w:cs="Arial"/>
          <w:iCs/>
          <w:sz w:val="22"/>
          <w:szCs w:val="22"/>
          <w:lang w:val="fr-FR"/>
        </w:rPr>
        <w:t xml:space="preserve">, celui-ci </w:t>
      </w:r>
      <w:r w:rsidRPr="00B15CD6">
        <w:rPr>
          <w:rFonts w:ascii="Arial" w:hAnsi="Arial" w:cs="Arial"/>
          <w:iCs/>
          <w:sz w:val="22"/>
          <w:szCs w:val="22"/>
          <w:lang w:val="fr-FR"/>
        </w:rPr>
        <w:t>devrait être considéré comme un « État de l’aire de répartition »</w:t>
      </w:r>
      <w:r w:rsidR="00EF75B9">
        <w:rPr>
          <w:rFonts w:ascii="Arial" w:hAnsi="Arial" w:cs="Arial"/>
          <w:iCs/>
          <w:sz w:val="22"/>
          <w:szCs w:val="22"/>
          <w:lang w:val="fr-FR"/>
        </w:rPr>
        <w:t> ;</w:t>
      </w:r>
    </w:p>
    <w:p w14:paraId="3F88BFB4" w14:textId="77777777" w:rsidR="00B15CD6" w:rsidRPr="00B15CD6" w:rsidRDefault="00B15CD6" w:rsidP="00B15CD6">
      <w:pPr>
        <w:widowControl/>
        <w:tabs>
          <w:tab w:val="left" w:pos="-720"/>
          <w:tab w:val="left" w:pos="709"/>
          <w:tab w:val="left" w:pos="835"/>
        </w:tabs>
        <w:suppressAutoHyphens w:val="0"/>
        <w:autoSpaceDE/>
        <w:autoSpaceDN/>
        <w:ind w:left="567"/>
        <w:jc w:val="both"/>
        <w:textAlignment w:val="auto"/>
        <w:rPr>
          <w:rFonts w:ascii="Arial" w:hAnsi="Arial" w:cs="Arial"/>
          <w:iCs/>
          <w:sz w:val="22"/>
          <w:szCs w:val="22"/>
          <w:lang w:val="fr-FR"/>
        </w:rPr>
      </w:pPr>
    </w:p>
    <w:p w14:paraId="6489364A" w14:textId="79088717" w:rsidR="00341A37" w:rsidRPr="00341A37" w:rsidRDefault="00341A37" w:rsidP="00341A37">
      <w:pPr>
        <w:widowControl/>
        <w:numPr>
          <w:ilvl w:val="0"/>
          <w:numId w:val="1"/>
        </w:numPr>
        <w:tabs>
          <w:tab w:val="left" w:pos="-720"/>
          <w:tab w:val="left" w:pos="709"/>
          <w:tab w:val="left" w:pos="835"/>
        </w:tabs>
        <w:suppressAutoHyphens w:val="0"/>
        <w:autoSpaceDE/>
        <w:autoSpaceDN/>
        <w:ind w:left="567" w:hanging="567"/>
        <w:jc w:val="both"/>
        <w:textAlignment w:val="auto"/>
        <w:rPr>
          <w:rFonts w:ascii="Arial" w:hAnsi="Arial" w:cs="Arial"/>
          <w:iCs/>
          <w:sz w:val="22"/>
          <w:szCs w:val="22"/>
          <w:lang w:val="fr-FR"/>
        </w:rPr>
      </w:pPr>
      <w:r w:rsidRPr="00341A37">
        <w:rPr>
          <w:rFonts w:ascii="Arial" w:hAnsi="Arial" w:cs="Arial"/>
          <w:i/>
          <w:sz w:val="22"/>
          <w:szCs w:val="22"/>
          <w:lang w:val="fr-FR"/>
        </w:rPr>
        <w:t>Adopte</w:t>
      </w:r>
      <w:r w:rsidRPr="00341A37">
        <w:rPr>
          <w:rFonts w:ascii="Arial" w:hAnsi="Arial" w:cs="Arial"/>
          <w:sz w:val="22"/>
          <w:szCs w:val="22"/>
          <w:lang w:val="fr-FR"/>
        </w:rPr>
        <w:t xml:space="preserve"> le </w:t>
      </w:r>
      <w:r w:rsidR="00B15CD6">
        <w:rPr>
          <w:rFonts w:ascii="Arial" w:hAnsi="Arial" w:cs="Arial"/>
          <w:sz w:val="22"/>
          <w:szCs w:val="22"/>
          <w:lang w:val="fr-FR"/>
        </w:rPr>
        <w:t>M</w:t>
      </w:r>
      <w:r w:rsidRPr="00341A37">
        <w:rPr>
          <w:rFonts w:ascii="Arial" w:hAnsi="Arial" w:cs="Arial"/>
          <w:sz w:val="22"/>
          <w:szCs w:val="22"/>
          <w:lang w:val="fr-FR"/>
        </w:rPr>
        <w:t>odèle pour les propositions d'amendements des Annexes de la CMS figurant à l'Annexe 2 de la présente Résolution</w:t>
      </w:r>
      <w:r w:rsidR="00EF75B9">
        <w:rPr>
          <w:rFonts w:ascii="Arial" w:hAnsi="Arial" w:cs="Arial"/>
          <w:sz w:val="22"/>
          <w:szCs w:val="22"/>
          <w:lang w:val="fr-FR"/>
        </w:rPr>
        <w:t> ;</w:t>
      </w:r>
    </w:p>
    <w:p w14:paraId="7EF4AF63" w14:textId="77777777" w:rsidR="00341A37" w:rsidRPr="00341A37" w:rsidRDefault="00341A37" w:rsidP="00341A37">
      <w:pPr>
        <w:pStyle w:val="ListParagraph"/>
        <w:tabs>
          <w:tab w:val="left" w:pos="709"/>
        </w:tabs>
        <w:spacing w:after="0" w:line="240" w:lineRule="auto"/>
        <w:ind w:left="567" w:hanging="567"/>
        <w:jc w:val="both"/>
        <w:rPr>
          <w:rFonts w:cs="Arial"/>
          <w:iCs/>
          <w:lang w:val="fr-FR"/>
        </w:rPr>
      </w:pPr>
    </w:p>
    <w:p w14:paraId="0BF9687F" w14:textId="5369438E" w:rsidR="00341A37" w:rsidRPr="00341A37" w:rsidRDefault="00341A37" w:rsidP="00341A37">
      <w:pPr>
        <w:widowControl/>
        <w:numPr>
          <w:ilvl w:val="0"/>
          <w:numId w:val="1"/>
        </w:numPr>
        <w:tabs>
          <w:tab w:val="left" w:pos="-720"/>
          <w:tab w:val="left" w:pos="567"/>
          <w:tab w:val="left" w:pos="835"/>
        </w:tabs>
        <w:suppressAutoHyphens w:val="0"/>
        <w:autoSpaceDE/>
        <w:autoSpaceDN/>
        <w:ind w:left="567" w:hanging="567"/>
        <w:jc w:val="both"/>
        <w:textAlignment w:val="auto"/>
        <w:rPr>
          <w:rFonts w:ascii="Arial" w:hAnsi="Arial" w:cs="Arial"/>
          <w:iCs/>
          <w:sz w:val="22"/>
          <w:szCs w:val="22"/>
          <w:lang w:val="fr-FR"/>
        </w:rPr>
      </w:pPr>
      <w:r w:rsidRPr="00341A37">
        <w:rPr>
          <w:rFonts w:ascii="Arial" w:hAnsi="Arial" w:cs="Arial"/>
          <w:i/>
          <w:sz w:val="22"/>
          <w:szCs w:val="22"/>
          <w:lang w:val="fr-FR"/>
        </w:rPr>
        <w:t>Prie</w:t>
      </w:r>
      <w:r w:rsidRPr="00341A37">
        <w:rPr>
          <w:rFonts w:ascii="Arial" w:hAnsi="Arial" w:cs="Arial"/>
          <w:sz w:val="22"/>
          <w:szCs w:val="22"/>
          <w:lang w:val="fr-FR"/>
        </w:rPr>
        <w:t xml:space="preserve"> les Parties</w:t>
      </w:r>
      <w:r w:rsidR="00B15CD6">
        <w:rPr>
          <w:rFonts w:ascii="Arial" w:hAnsi="Arial" w:cs="Arial"/>
          <w:sz w:val="22"/>
          <w:szCs w:val="22"/>
          <w:lang w:val="fr-FR"/>
        </w:rPr>
        <w:t>,</w:t>
      </w:r>
      <w:r w:rsidRPr="00341A37">
        <w:rPr>
          <w:rFonts w:ascii="Arial" w:hAnsi="Arial" w:cs="Arial"/>
          <w:sz w:val="22"/>
          <w:szCs w:val="22"/>
          <w:lang w:val="fr-FR"/>
        </w:rPr>
        <w:t xml:space="preserve"> lorsqu’elles établissent des propositions d’inscription de nouvelles espèces à l’Annexe I</w:t>
      </w:r>
      <w:r w:rsidR="00B15CD6">
        <w:rPr>
          <w:rFonts w:ascii="Arial" w:hAnsi="Arial" w:cs="Arial"/>
          <w:sz w:val="22"/>
          <w:szCs w:val="22"/>
          <w:lang w:val="fr-FR"/>
        </w:rPr>
        <w:t>,</w:t>
      </w:r>
      <w:r w:rsidRPr="00341A37">
        <w:rPr>
          <w:rFonts w:ascii="Arial" w:hAnsi="Arial" w:cs="Arial"/>
          <w:sz w:val="22"/>
          <w:szCs w:val="22"/>
          <w:lang w:val="fr-FR"/>
        </w:rPr>
        <w:t xml:space="preserve"> de se demander si ces espèces devraient également figurer à l’Annexe II</w:t>
      </w:r>
      <w:r w:rsidR="00EF75B9">
        <w:rPr>
          <w:rFonts w:ascii="Arial" w:hAnsi="Arial" w:cs="Arial"/>
          <w:sz w:val="22"/>
          <w:szCs w:val="22"/>
          <w:lang w:val="fr-FR"/>
        </w:rPr>
        <w:t> ;</w:t>
      </w:r>
    </w:p>
    <w:p w14:paraId="7A2A899A" w14:textId="77777777" w:rsidR="00341A37" w:rsidRPr="00341A37" w:rsidRDefault="00341A37" w:rsidP="00341A37">
      <w:pPr>
        <w:pStyle w:val="ListParagraph"/>
        <w:tabs>
          <w:tab w:val="left" w:pos="567"/>
        </w:tabs>
        <w:spacing w:after="0" w:line="240" w:lineRule="auto"/>
        <w:ind w:left="567" w:hanging="567"/>
        <w:jc w:val="both"/>
        <w:rPr>
          <w:rFonts w:cs="Arial"/>
          <w:iCs/>
          <w:lang w:val="fr-FR"/>
        </w:rPr>
      </w:pPr>
    </w:p>
    <w:p w14:paraId="4CEDE55C" w14:textId="39081F15" w:rsidR="00341A37" w:rsidRPr="00341A37" w:rsidRDefault="00341A37" w:rsidP="00341A37">
      <w:pPr>
        <w:widowControl/>
        <w:numPr>
          <w:ilvl w:val="0"/>
          <w:numId w:val="1"/>
        </w:numPr>
        <w:tabs>
          <w:tab w:val="left" w:pos="-720"/>
          <w:tab w:val="left" w:pos="567"/>
          <w:tab w:val="left" w:pos="835"/>
        </w:tabs>
        <w:suppressAutoHyphens w:val="0"/>
        <w:autoSpaceDE/>
        <w:autoSpaceDN/>
        <w:ind w:left="567" w:hanging="567"/>
        <w:jc w:val="both"/>
        <w:textAlignment w:val="auto"/>
        <w:rPr>
          <w:rFonts w:ascii="Arial" w:hAnsi="Arial" w:cs="Arial"/>
          <w:iCs/>
          <w:sz w:val="22"/>
          <w:szCs w:val="22"/>
          <w:lang w:val="fr-FR"/>
        </w:rPr>
      </w:pPr>
      <w:r w:rsidRPr="00341A37">
        <w:rPr>
          <w:rFonts w:ascii="Arial" w:hAnsi="Arial" w:cs="Arial"/>
          <w:i/>
          <w:sz w:val="22"/>
          <w:szCs w:val="22"/>
          <w:lang w:val="fr-FR"/>
        </w:rPr>
        <w:t>Prie</w:t>
      </w:r>
      <w:r w:rsidRPr="00341A37">
        <w:rPr>
          <w:rFonts w:ascii="Arial" w:hAnsi="Arial" w:cs="Arial"/>
          <w:sz w:val="22"/>
          <w:szCs w:val="22"/>
          <w:lang w:val="fr-FR"/>
        </w:rPr>
        <w:t xml:space="preserve"> instamment toute Partie qui propose l’adjonction à l’Annexe II d’une espèce pour laquelle elle est État de l’aire de répartition d’entreprendre des négociations avec d’autres États de l’aire de répartition en vue de la conclusion d’un Accord ou action concertée portant sur ladite espèce</w:t>
      </w:r>
      <w:r w:rsidR="00EF75B9">
        <w:rPr>
          <w:rFonts w:ascii="Arial" w:hAnsi="Arial" w:cs="Arial"/>
          <w:sz w:val="22"/>
          <w:szCs w:val="22"/>
          <w:lang w:val="fr-FR"/>
        </w:rPr>
        <w:t> ;</w:t>
      </w:r>
    </w:p>
    <w:p w14:paraId="5D84E38B" w14:textId="77777777" w:rsidR="00341A37" w:rsidRPr="00341A37" w:rsidRDefault="00341A37" w:rsidP="00341A37">
      <w:pPr>
        <w:pStyle w:val="ListParagraph"/>
        <w:tabs>
          <w:tab w:val="left" w:pos="567"/>
        </w:tabs>
        <w:spacing w:after="0" w:line="240" w:lineRule="auto"/>
        <w:ind w:left="567" w:hanging="567"/>
        <w:jc w:val="both"/>
        <w:rPr>
          <w:rFonts w:cs="Arial"/>
          <w:i/>
          <w:lang w:val="fr-FR"/>
        </w:rPr>
      </w:pPr>
    </w:p>
    <w:p w14:paraId="4E1A45A1" w14:textId="3C48F22C" w:rsidR="00341A37" w:rsidRPr="008B78A8" w:rsidRDefault="00341A37" w:rsidP="00341A37">
      <w:pPr>
        <w:widowControl/>
        <w:numPr>
          <w:ilvl w:val="0"/>
          <w:numId w:val="1"/>
        </w:numPr>
        <w:tabs>
          <w:tab w:val="left" w:pos="-720"/>
          <w:tab w:val="left" w:pos="567"/>
          <w:tab w:val="left" w:pos="835"/>
        </w:tabs>
        <w:suppressAutoHyphens w:val="0"/>
        <w:autoSpaceDE/>
        <w:autoSpaceDN/>
        <w:ind w:left="567" w:hanging="567"/>
        <w:jc w:val="both"/>
        <w:textAlignment w:val="auto"/>
        <w:rPr>
          <w:rFonts w:ascii="Arial" w:hAnsi="Arial" w:cs="Arial"/>
          <w:iCs/>
          <w:sz w:val="22"/>
          <w:szCs w:val="22"/>
          <w:lang w:val="fr-FR"/>
        </w:rPr>
      </w:pPr>
      <w:r w:rsidRPr="00341A37">
        <w:rPr>
          <w:rFonts w:ascii="Arial" w:hAnsi="Arial" w:cs="Arial"/>
          <w:i/>
          <w:sz w:val="22"/>
          <w:szCs w:val="22"/>
          <w:lang w:val="fr-FR"/>
        </w:rPr>
        <w:t>Encourage</w:t>
      </w:r>
      <w:r w:rsidRPr="00341A37">
        <w:rPr>
          <w:rFonts w:ascii="Arial" w:hAnsi="Arial" w:cs="Arial"/>
          <w:sz w:val="22"/>
          <w:szCs w:val="22"/>
          <w:lang w:val="fr-FR"/>
        </w:rPr>
        <w:t xml:space="preserve"> les Parties à envisager de présenter des propositions d’inscription aux Annexes d’espèces de régions du monde actuellement sous-représentées et à aider les pays en développement Parties à élaborer ce type de proposition</w:t>
      </w:r>
      <w:r w:rsidR="00EF75B9">
        <w:rPr>
          <w:rFonts w:ascii="Arial" w:hAnsi="Arial" w:cs="Arial"/>
          <w:sz w:val="22"/>
          <w:szCs w:val="22"/>
          <w:lang w:val="fr-FR"/>
        </w:rPr>
        <w:t> ;</w:t>
      </w:r>
    </w:p>
    <w:p w14:paraId="70597265" w14:textId="77777777" w:rsidR="008B78A8" w:rsidRPr="008B78A8" w:rsidRDefault="008B78A8" w:rsidP="008B78A8">
      <w:pPr>
        <w:widowControl/>
        <w:tabs>
          <w:tab w:val="left" w:pos="-720"/>
          <w:tab w:val="left" w:pos="567"/>
          <w:tab w:val="left" w:pos="835"/>
        </w:tabs>
        <w:suppressAutoHyphens w:val="0"/>
        <w:autoSpaceDE/>
        <w:autoSpaceDN/>
        <w:ind w:left="567"/>
        <w:jc w:val="both"/>
        <w:textAlignment w:val="auto"/>
        <w:rPr>
          <w:rFonts w:ascii="Arial" w:hAnsi="Arial" w:cs="Arial"/>
          <w:iCs/>
          <w:sz w:val="22"/>
          <w:szCs w:val="22"/>
          <w:lang w:val="fr-FR"/>
        </w:rPr>
      </w:pPr>
    </w:p>
    <w:p w14:paraId="7FF707F5" w14:textId="464C60E3" w:rsidR="008B78A8" w:rsidRPr="00341A37" w:rsidRDefault="008B78A8" w:rsidP="00341A37">
      <w:pPr>
        <w:widowControl/>
        <w:numPr>
          <w:ilvl w:val="0"/>
          <w:numId w:val="1"/>
        </w:numPr>
        <w:tabs>
          <w:tab w:val="left" w:pos="-720"/>
          <w:tab w:val="left" w:pos="567"/>
          <w:tab w:val="left" w:pos="835"/>
        </w:tabs>
        <w:suppressAutoHyphens w:val="0"/>
        <w:autoSpaceDE/>
        <w:autoSpaceDN/>
        <w:ind w:left="567" w:hanging="567"/>
        <w:jc w:val="both"/>
        <w:textAlignment w:val="auto"/>
        <w:rPr>
          <w:rFonts w:ascii="Arial" w:hAnsi="Arial" w:cs="Arial"/>
          <w:iCs/>
          <w:sz w:val="22"/>
          <w:szCs w:val="22"/>
          <w:lang w:val="fr-FR"/>
        </w:rPr>
      </w:pPr>
      <w:r w:rsidRPr="008B78A8">
        <w:rPr>
          <w:rFonts w:ascii="Arial" w:hAnsi="Arial" w:cs="Arial"/>
          <w:i/>
          <w:sz w:val="22"/>
          <w:szCs w:val="22"/>
          <w:lang w:val="fr-FR"/>
        </w:rPr>
        <w:t>Prie instamment</w:t>
      </w:r>
      <w:r>
        <w:rPr>
          <w:rFonts w:ascii="Arial" w:hAnsi="Arial" w:cs="Arial"/>
          <w:iCs/>
          <w:sz w:val="22"/>
          <w:szCs w:val="22"/>
          <w:lang w:val="fr-FR"/>
        </w:rPr>
        <w:t xml:space="preserve"> les auteurs</w:t>
      </w:r>
      <w:r w:rsidR="00BB5120">
        <w:rPr>
          <w:rFonts w:ascii="Arial" w:hAnsi="Arial" w:cs="Arial"/>
          <w:iCs/>
          <w:sz w:val="22"/>
          <w:szCs w:val="22"/>
          <w:lang w:val="fr-FR"/>
        </w:rPr>
        <w:t xml:space="preserve"> de propositions</w:t>
      </w:r>
      <w:r>
        <w:rPr>
          <w:rFonts w:ascii="Arial" w:hAnsi="Arial" w:cs="Arial"/>
          <w:iCs/>
          <w:sz w:val="22"/>
          <w:szCs w:val="22"/>
          <w:lang w:val="fr-FR"/>
        </w:rPr>
        <w:t>, dans la mesure du possible, de consulter les États de l’aire de répartition et leurs autorités compétentes avant de soumettre leur</w:t>
      </w:r>
      <w:r w:rsidR="00BB5120">
        <w:rPr>
          <w:rFonts w:ascii="Arial" w:hAnsi="Arial" w:cs="Arial"/>
          <w:iCs/>
          <w:sz w:val="22"/>
          <w:szCs w:val="22"/>
          <w:lang w:val="fr-FR"/>
        </w:rPr>
        <w:t>s</w:t>
      </w:r>
      <w:r>
        <w:rPr>
          <w:rFonts w:ascii="Arial" w:hAnsi="Arial" w:cs="Arial"/>
          <w:iCs/>
          <w:sz w:val="22"/>
          <w:szCs w:val="22"/>
          <w:lang w:val="fr-FR"/>
        </w:rPr>
        <w:t xml:space="preserve"> proposition</w:t>
      </w:r>
      <w:r w:rsidR="00BB5120">
        <w:rPr>
          <w:rFonts w:ascii="Arial" w:hAnsi="Arial" w:cs="Arial"/>
          <w:iCs/>
          <w:sz w:val="22"/>
          <w:szCs w:val="22"/>
          <w:lang w:val="fr-FR"/>
        </w:rPr>
        <w:t>s</w:t>
      </w:r>
      <w:r w:rsidR="00EF75B9">
        <w:rPr>
          <w:rFonts w:ascii="Arial" w:hAnsi="Arial" w:cs="Arial"/>
          <w:iCs/>
          <w:sz w:val="22"/>
          <w:szCs w:val="22"/>
          <w:lang w:val="fr-FR"/>
        </w:rPr>
        <w:t> ;</w:t>
      </w:r>
    </w:p>
    <w:p w14:paraId="60EE0E2C" w14:textId="77777777" w:rsidR="00341A37" w:rsidRPr="00341A37" w:rsidRDefault="00341A37" w:rsidP="00341A37">
      <w:pPr>
        <w:pStyle w:val="ListParagraph"/>
        <w:tabs>
          <w:tab w:val="left" w:pos="567"/>
        </w:tabs>
        <w:spacing w:after="0" w:line="240" w:lineRule="auto"/>
        <w:ind w:left="567" w:hanging="567"/>
        <w:jc w:val="both"/>
        <w:rPr>
          <w:rFonts w:cs="Arial"/>
          <w:iCs/>
          <w:lang w:val="fr-FR"/>
        </w:rPr>
      </w:pPr>
    </w:p>
    <w:p w14:paraId="4BFE1914" w14:textId="4EABB22D" w:rsidR="008B78A8" w:rsidRPr="008B78A8" w:rsidRDefault="00341A37" w:rsidP="008B78A8">
      <w:pPr>
        <w:widowControl/>
        <w:numPr>
          <w:ilvl w:val="0"/>
          <w:numId w:val="1"/>
        </w:numPr>
        <w:tabs>
          <w:tab w:val="left" w:pos="-720"/>
          <w:tab w:val="left" w:pos="567"/>
          <w:tab w:val="left" w:pos="835"/>
        </w:tabs>
        <w:suppressAutoHyphens w:val="0"/>
        <w:autoSpaceDE/>
        <w:autoSpaceDN/>
        <w:ind w:left="567" w:hanging="567"/>
        <w:jc w:val="both"/>
        <w:textAlignment w:val="auto"/>
        <w:rPr>
          <w:rFonts w:ascii="Arial" w:hAnsi="Arial" w:cs="Arial"/>
          <w:iCs/>
          <w:sz w:val="22"/>
          <w:szCs w:val="22"/>
          <w:lang w:val="fr-FR"/>
        </w:rPr>
      </w:pPr>
      <w:r w:rsidRPr="00341A37">
        <w:rPr>
          <w:rFonts w:ascii="Arial" w:hAnsi="Arial" w:cs="Arial"/>
          <w:i/>
          <w:sz w:val="22"/>
          <w:szCs w:val="22"/>
          <w:lang w:val="fr-FR"/>
        </w:rPr>
        <w:t>Prie</w:t>
      </w:r>
      <w:r w:rsidRPr="00341A37">
        <w:rPr>
          <w:rFonts w:ascii="Arial" w:hAnsi="Arial" w:cs="Arial"/>
          <w:sz w:val="22"/>
          <w:szCs w:val="22"/>
          <w:lang w:val="fr-FR"/>
        </w:rPr>
        <w:t xml:space="preserve"> le Secrétariat de consulter d’autres organismes intergouvernementaux, y compris les ORGP, ayant une fonction en relation avec toute espèce faisant l’objet d’une proposition d’amendement des </w:t>
      </w:r>
      <w:proofErr w:type="gramStart"/>
      <w:r w:rsidRPr="00341A37">
        <w:rPr>
          <w:rFonts w:ascii="Arial" w:hAnsi="Arial" w:cs="Arial"/>
          <w:sz w:val="22"/>
          <w:szCs w:val="22"/>
          <w:lang w:val="fr-FR"/>
        </w:rPr>
        <w:t>Annexes;</w:t>
      </w:r>
      <w:proofErr w:type="gramEnd"/>
      <w:r w:rsidRPr="00341A37">
        <w:rPr>
          <w:rFonts w:ascii="Arial" w:hAnsi="Arial" w:cs="Arial"/>
          <w:sz w:val="22"/>
          <w:szCs w:val="22"/>
          <w:lang w:val="fr-FR"/>
        </w:rPr>
        <w:t xml:space="preserve"> et de rendre compte des résultats de ces consultations à la Conférence des Parties</w:t>
      </w:r>
      <w:r w:rsidR="00EF75B9">
        <w:rPr>
          <w:rFonts w:ascii="Arial" w:hAnsi="Arial" w:cs="Arial"/>
          <w:sz w:val="22"/>
          <w:szCs w:val="22"/>
          <w:lang w:val="fr-FR"/>
        </w:rPr>
        <w:t> ; et</w:t>
      </w:r>
    </w:p>
    <w:p w14:paraId="25382DAD" w14:textId="77777777" w:rsidR="00341A37" w:rsidRPr="00341A37" w:rsidRDefault="00341A37" w:rsidP="00341A37">
      <w:pPr>
        <w:pStyle w:val="ListParagraph"/>
        <w:tabs>
          <w:tab w:val="left" w:pos="567"/>
        </w:tabs>
        <w:spacing w:after="0" w:line="240" w:lineRule="auto"/>
        <w:ind w:left="567" w:hanging="567"/>
        <w:jc w:val="both"/>
        <w:rPr>
          <w:rFonts w:cs="Arial"/>
          <w:iCs/>
          <w:lang w:val="fr-FR"/>
        </w:rPr>
      </w:pPr>
    </w:p>
    <w:p w14:paraId="773CFBF1" w14:textId="77777777" w:rsidR="00341A37" w:rsidRPr="00341A37" w:rsidRDefault="00341A37" w:rsidP="00341A37">
      <w:pPr>
        <w:widowControl/>
        <w:numPr>
          <w:ilvl w:val="0"/>
          <w:numId w:val="1"/>
        </w:numPr>
        <w:tabs>
          <w:tab w:val="left" w:pos="-720"/>
          <w:tab w:val="left" w:pos="567"/>
          <w:tab w:val="left" w:pos="835"/>
        </w:tabs>
        <w:suppressAutoHyphens w:val="0"/>
        <w:autoSpaceDE/>
        <w:autoSpaceDN/>
        <w:ind w:left="567" w:hanging="567"/>
        <w:jc w:val="both"/>
        <w:textAlignment w:val="auto"/>
        <w:rPr>
          <w:rFonts w:ascii="Arial" w:hAnsi="Arial" w:cs="Arial"/>
          <w:i/>
          <w:iCs/>
          <w:sz w:val="22"/>
          <w:szCs w:val="22"/>
          <w:lang w:val="fr-FR"/>
        </w:rPr>
      </w:pPr>
      <w:r w:rsidRPr="00341A37">
        <w:rPr>
          <w:rFonts w:ascii="Arial" w:hAnsi="Arial" w:cs="Arial"/>
          <w:i/>
          <w:iCs/>
          <w:sz w:val="22"/>
          <w:szCs w:val="22"/>
          <w:lang w:val="fr-FR"/>
        </w:rPr>
        <w:t>Abroge</w:t>
      </w:r>
    </w:p>
    <w:p w14:paraId="799A524B" w14:textId="77777777" w:rsidR="00341A37" w:rsidRPr="00341A37" w:rsidRDefault="00341A37" w:rsidP="00341A37">
      <w:pPr>
        <w:pStyle w:val="ListParagraph"/>
        <w:tabs>
          <w:tab w:val="left" w:pos="567"/>
        </w:tabs>
        <w:spacing w:after="0" w:line="240" w:lineRule="auto"/>
        <w:ind w:left="567" w:hanging="567"/>
        <w:jc w:val="both"/>
        <w:rPr>
          <w:rFonts w:cs="Arial"/>
          <w:iCs/>
          <w:lang w:val="fr-FR"/>
        </w:rPr>
      </w:pPr>
    </w:p>
    <w:p w14:paraId="3054104B" w14:textId="3F08D923" w:rsidR="00341A37" w:rsidRPr="00341A37" w:rsidRDefault="00341A37" w:rsidP="00341A37">
      <w:pPr>
        <w:widowControl/>
        <w:numPr>
          <w:ilvl w:val="1"/>
          <w:numId w:val="1"/>
        </w:numPr>
        <w:tabs>
          <w:tab w:val="left" w:pos="-720"/>
          <w:tab w:val="left" w:pos="310"/>
          <w:tab w:val="left" w:pos="1276"/>
        </w:tabs>
        <w:suppressAutoHyphens w:val="0"/>
        <w:autoSpaceDE/>
        <w:autoSpaceDN/>
        <w:ind w:left="1134" w:hanging="567"/>
        <w:jc w:val="both"/>
        <w:textAlignment w:val="auto"/>
        <w:rPr>
          <w:rFonts w:ascii="Arial" w:hAnsi="Arial" w:cs="Arial"/>
          <w:iCs/>
          <w:sz w:val="22"/>
          <w:szCs w:val="22"/>
          <w:lang w:val="fr-FR"/>
        </w:rPr>
      </w:pPr>
      <w:proofErr w:type="gramStart"/>
      <w:r w:rsidRPr="00341A37">
        <w:rPr>
          <w:rFonts w:ascii="Arial" w:hAnsi="Arial" w:cs="Arial"/>
          <w:iCs/>
          <w:sz w:val="22"/>
          <w:szCs w:val="22"/>
          <w:lang w:val="fr-FR"/>
        </w:rPr>
        <w:t>la</w:t>
      </w:r>
      <w:proofErr w:type="gramEnd"/>
      <w:r w:rsidRPr="00341A37">
        <w:rPr>
          <w:rFonts w:ascii="Arial" w:hAnsi="Arial" w:cs="Arial"/>
          <w:iCs/>
          <w:sz w:val="22"/>
          <w:szCs w:val="22"/>
          <w:lang w:val="fr-FR"/>
        </w:rPr>
        <w:t xml:space="preserve"> Résolution</w:t>
      </w:r>
      <w:r w:rsidR="00BB5120">
        <w:rPr>
          <w:rFonts w:ascii="Arial" w:hAnsi="Arial" w:cs="Arial"/>
          <w:iCs/>
          <w:sz w:val="22"/>
          <w:szCs w:val="22"/>
          <w:lang w:val="fr-FR"/>
        </w:rPr>
        <w:t> </w:t>
      </w:r>
      <w:r w:rsidRPr="00341A37">
        <w:rPr>
          <w:rFonts w:ascii="Arial" w:hAnsi="Arial" w:cs="Arial"/>
          <w:iCs/>
          <w:sz w:val="22"/>
          <w:szCs w:val="22"/>
          <w:lang w:val="fr-FR"/>
        </w:rPr>
        <w:t xml:space="preserve">3.1 (Rev.COP12) </w:t>
      </w:r>
      <w:r w:rsidRPr="00BB5120">
        <w:rPr>
          <w:rFonts w:ascii="Arial" w:hAnsi="Arial" w:cs="Arial"/>
          <w:i/>
          <w:sz w:val="22"/>
          <w:szCs w:val="22"/>
          <w:lang w:val="fr-FR"/>
        </w:rPr>
        <w:t>Liste des espèces énumérées aux Annexes à la Convention</w:t>
      </w:r>
      <w:r w:rsidR="00BB5120">
        <w:rPr>
          <w:rFonts w:ascii="Arial" w:hAnsi="Arial" w:cs="Arial"/>
          <w:iCs/>
          <w:sz w:val="22"/>
          <w:szCs w:val="22"/>
          <w:lang w:val="fr-FR"/>
        </w:rPr>
        <w:t>;</w:t>
      </w:r>
    </w:p>
    <w:p w14:paraId="2401C944" w14:textId="77777777" w:rsidR="00341A37" w:rsidRPr="00341A37" w:rsidRDefault="00341A37" w:rsidP="00341A37">
      <w:pPr>
        <w:tabs>
          <w:tab w:val="left" w:pos="-720"/>
          <w:tab w:val="left" w:pos="310"/>
          <w:tab w:val="left" w:pos="1276"/>
        </w:tabs>
        <w:ind w:left="1134" w:hanging="567"/>
        <w:jc w:val="both"/>
        <w:rPr>
          <w:rFonts w:ascii="Arial" w:hAnsi="Arial" w:cs="Arial"/>
          <w:iCs/>
          <w:sz w:val="22"/>
          <w:szCs w:val="22"/>
          <w:lang w:val="fr-FR"/>
        </w:rPr>
      </w:pPr>
    </w:p>
    <w:p w14:paraId="7392FC22" w14:textId="517EEFCD" w:rsidR="00341A37" w:rsidRPr="00341A37" w:rsidRDefault="00341A37" w:rsidP="00341A37">
      <w:pPr>
        <w:widowControl/>
        <w:numPr>
          <w:ilvl w:val="1"/>
          <w:numId w:val="1"/>
        </w:numPr>
        <w:tabs>
          <w:tab w:val="left" w:pos="-720"/>
          <w:tab w:val="left" w:pos="310"/>
          <w:tab w:val="left" w:pos="1276"/>
        </w:tabs>
        <w:suppressAutoHyphens w:val="0"/>
        <w:autoSpaceDE/>
        <w:autoSpaceDN/>
        <w:ind w:left="1134" w:hanging="567"/>
        <w:jc w:val="both"/>
        <w:textAlignment w:val="auto"/>
        <w:rPr>
          <w:rFonts w:ascii="Arial" w:hAnsi="Arial" w:cs="Arial"/>
          <w:iCs/>
          <w:sz w:val="22"/>
          <w:szCs w:val="22"/>
          <w:lang w:val="fr-FR"/>
        </w:rPr>
      </w:pPr>
      <w:proofErr w:type="gramStart"/>
      <w:r w:rsidRPr="00341A37">
        <w:rPr>
          <w:rFonts w:ascii="Arial" w:hAnsi="Arial" w:cs="Arial"/>
          <w:iCs/>
          <w:sz w:val="22"/>
          <w:szCs w:val="22"/>
          <w:lang w:val="fr-FR"/>
        </w:rPr>
        <w:t>la</w:t>
      </w:r>
      <w:proofErr w:type="gramEnd"/>
      <w:r w:rsidRPr="00341A37">
        <w:rPr>
          <w:rFonts w:ascii="Arial" w:hAnsi="Arial" w:cs="Arial"/>
          <w:iCs/>
          <w:sz w:val="22"/>
          <w:szCs w:val="22"/>
          <w:lang w:val="fr-FR"/>
        </w:rPr>
        <w:t xml:space="preserve"> Résolution</w:t>
      </w:r>
      <w:r w:rsidR="00BB5120">
        <w:rPr>
          <w:rFonts w:ascii="Arial" w:hAnsi="Arial" w:cs="Arial"/>
          <w:iCs/>
          <w:sz w:val="22"/>
          <w:szCs w:val="22"/>
          <w:lang w:val="fr-FR"/>
        </w:rPr>
        <w:t> </w:t>
      </w:r>
      <w:r w:rsidRPr="00341A37">
        <w:rPr>
          <w:rFonts w:ascii="Arial" w:hAnsi="Arial" w:cs="Arial"/>
          <w:iCs/>
          <w:sz w:val="22"/>
          <w:szCs w:val="22"/>
          <w:lang w:val="fr-FR"/>
        </w:rPr>
        <w:t xml:space="preserve">11.33 (Rev.COP12) </w:t>
      </w:r>
      <w:r w:rsidRPr="00BB5120">
        <w:rPr>
          <w:rFonts w:ascii="Arial" w:hAnsi="Arial" w:cs="Arial"/>
          <w:i/>
          <w:sz w:val="22"/>
          <w:szCs w:val="22"/>
          <w:lang w:val="fr-FR"/>
        </w:rPr>
        <w:t>Lignes directrices pour l’évaluation des propositions d’inscription aux Annexes I et II de la Convention</w:t>
      </w:r>
      <w:r w:rsidRPr="00341A37">
        <w:rPr>
          <w:rFonts w:ascii="Arial" w:hAnsi="Arial" w:cs="Arial"/>
          <w:iCs/>
          <w:sz w:val="22"/>
          <w:szCs w:val="22"/>
          <w:lang w:val="fr-FR"/>
        </w:rPr>
        <w:t>.</w:t>
      </w:r>
    </w:p>
    <w:p w14:paraId="68DF9AA9" w14:textId="77777777" w:rsidR="00341A37" w:rsidRPr="00341A37" w:rsidRDefault="00341A37" w:rsidP="00341A37">
      <w:pPr>
        <w:pStyle w:val="ListParagraph"/>
        <w:tabs>
          <w:tab w:val="left" w:pos="1276"/>
        </w:tabs>
        <w:spacing w:after="0" w:line="240" w:lineRule="auto"/>
        <w:ind w:left="1134" w:hanging="567"/>
        <w:jc w:val="both"/>
        <w:rPr>
          <w:rFonts w:cs="Arial"/>
          <w:iCs/>
          <w:lang w:val="fr-FR"/>
        </w:rPr>
      </w:pPr>
    </w:p>
    <w:p w14:paraId="60670FB2" w14:textId="4E7846D4" w:rsidR="00341A37" w:rsidRDefault="00341A37" w:rsidP="00341A37">
      <w:pPr>
        <w:jc w:val="both"/>
        <w:rPr>
          <w:rFonts w:ascii="Arial" w:hAnsi="Arial" w:cs="Arial"/>
          <w:sz w:val="22"/>
          <w:szCs w:val="22"/>
          <w:lang w:val="fr-FR"/>
        </w:rPr>
      </w:pPr>
      <w:r>
        <w:rPr>
          <w:rFonts w:ascii="Arial" w:hAnsi="Arial" w:cs="Arial"/>
          <w:sz w:val="22"/>
          <w:szCs w:val="22"/>
          <w:lang w:val="fr-FR"/>
        </w:rPr>
        <w:br w:type="page"/>
      </w:r>
    </w:p>
    <w:p w14:paraId="77420D4D" w14:textId="3039CF2B" w:rsidR="00341A37" w:rsidRDefault="00341A37" w:rsidP="00341A37">
      <w:pPr>
        <w:jc w:val="both"/>
        <w:rPr>
          <w:rFonts w:ascii="Arial" w:hAnsi="Arial" w:cs="Arial"/>
          <w:sz w:val="22"/>
          <w:szCs w:val="22"/>
          <w:lang w:val="fr-FR"/>
        </w:rPr>
      </w:pPr>
    </w:p>
    <w:p w14:paraId="11EF06E5" w14:textId="77777777" w:rsidR="00341A37" w:rsidRDefault="00341A37" w:rsidP="00341A37">
      <w:pPr>
        <w:pStyle w:val="FourthnumberingA"/>
        <w:numPr>
          <w:ilvl w:val="0"/>
          <w:numId w:val="0"/>
        </w:numPr>
        <w:jc w:val="right"/>
        <w:rPr>
          <w:b/>
        </w:rPr>
      </w:pPr>
    </w:p>
    <w:p w14:paraId="19E83631" w14:textId="77777777" w:rsidR="00341A37" w:rsidRDefault="00341A37" w:rsidP="00341A37">
      <w:pPr>
        <w:pStyle w:val="FourthnumberingA"/>
        <w:numPr>
          <w:ilvl w:val="0"/>
          <w:numId w:val="0"/>
        </w:numPr>
        <w:jc w:val="center"/>
      </w:pPr>
      <w:r>
        <w:t>PROJET DE DÉCISION</w:t>
      </w:r>
    </w:p>
    <w:p w14:paraId="7C73B5B6" w14:textId="77777777" w:rsidR="00341A37" w:rsidRDefault="00341A37" w:rsidP="00341A37">
      <w:pPr>
        <w:pStyle w:val="FourthnumberingA"/>
        <w:numPr>
          <w:ilvl w:val="0"/>
          <w:numId w:val="0"/>
        </w:numPr>
        <w:jc w:val="center"/>
        <w:rPr>
          <w:b/>
        </w:rPr>
      </w:pPr>
    </w:p>
    <w:p w14:paraId="7E0F04FE" w14:textId="77777777" w:rsidR="00341A37" w:rsidRDefault="00341A37" w:rsidP="00341A37">
      <w:pPr>
        <w:pStyle w:val="FourthnumberingA"/>
        <w:numPr>
          <w:ilvl w:val="0"/>
          <w:numId w:val="0"/>
        </w:numPr>
        <w:jc w:val="center"/>
        <w:rPr>
          <w:b/>
        </w:rPr>
      </w:pPr>
      <w:r>
        <w:rPr>
          <w:b/>
        </w:rPr>
        <w:t>DÉFINITION DES TERMES « ÉTAT DE L'AIRE DE RÉPARTITION » ET « ERRATIQUE »</w:t>
      </w:r>
    </w:p>
    <w:p w14:paraId="213F8A79" w14:textId="77777777" w:rsidR="00341A37" w:rsidRDefault="00341A37" w:rsidP="00341A37">
      <w:pPr>
        <w:pStyle w:val="FourthnumberingA"/>
        <w:numPr>
          <w:ilvl w:val="0"/>
          <w:numId w:val="0"/>
        </w:numPr>
        <w:ind w:left="2268"/>
        <w:jc w:val="center"/>
        <w:rPr>
          <w:b/>
        </w:rPr>
      </w:pPr>
    </w:p>
    <w:p w14:paraId="1DB003B9" w14:textId="77777777" w:rsidR="00341A37" w:rsidRDefault="00341A37" w:rsidP="00341A37">
      <w:pPr>
        <w:pStyle w:val="FourthnumberingA"/>
        <w:numPr>
          <w:ilvl w:val="0"/>
          <w:numId w:val="0"/>
        </w:numPr>
        <w:jc w:val="left"/>
        <w:rPr>
          <w:b/>
          <w:i/>
        </w:rPr>
      </w:pPr>
    </w:p>
    <w:p w14:paraId="048B99CA" w14:textId="77777777" w:rsidR="00341A37" w:rsidRDefault="00341A37" w:rsidP="00341A37">
      <w:pPr>
        <w:pStyle w:val="FourthnumberingA"/>
        <w:numPr>
          <w:ilvl w:val="0"/>
          <w:numId w:val="0"/>
        </w:numPr>
        <w:jc w:val="left"/>
        <w:rPr>
          <w:b/>
          <w:i/>
        </w:rPr>
      </w:pPr>
      <w:r>
        <w:rPr>
          <w:b/>
          <w:i/>
        </w:rPr>
        <w:t xml:space="preserve">Adressé au Conseil scientifique </w:t>
      </w:r>
    </w:p>
    <w:p w14:paraId="7A979C17" w14:textId="77777777" w:rsidR="00341A37" w:rsidRDefault="00341A37" w:rsidP="00341A37">
      <w:pPr>
        <w:pStyle w:val="FourthnumberingA"/>
        <w:numPr>
          <w:ilvl w:val="0"/>
          <w:numId w:val="0"/>
        </w:numPr>
        <w:jc w:val="left"/>
        <w:rPr>
          <w:b/>
          <w:i/>
        </w:rPr>
      </w:pPr>
    </w:p>
    <w:p w14:paraId="254C2A06" w14:textId="14B475C8" w:rsidR="00341A37" w:rsidRDefault="00341A37" w:rsidP="00EF75B9">
      <w:pPr>
        <w:pStyle w:val="FourthnumberingA"/>
        <w:numPr>
          <w:ilvl w:val="0"/>
          <w:numId w:val="0"/>
        </w:numPr>
        <w:ind w:left="851" w:hanging="851"/>
      </w:pPr>
      <w:r>
        <w:t xml:space="preserve">13.AA </w:t>
      </w:r>
      <w:r>
        <w:tab/>
        <w:t>Le Conseil scientifique, sous réserve des ressources</w:t>
      </w:r>
      <w:r w:rsidR="00394A21">
        <w:t xml:space="preserve"> disponibles</w:t>
      </w:r>
      <w:r>
        <w:t xml:space="preserve">, est prié </w:t>
      </w:r>
      <w:r w:rsidR="004A0003">
        <w:t>de </w:t>
      </w:r>
      <w:r>
        <w:t>:</w:t>
      </w:r>
    </w:p>
    <w:p w14:paraId="75F4F1D5" w14:textId="77777777" w:rsidR="00341A37" w:rsidRDefault="00341A37" w:rsidP="00341A37">
      <w:pPr>
        <w:pStyle w:val="FourthnumberingA"/>
        <w:numPr>
          <w:ilvl w:val="0"/>
          <w:numId w:val="0"/>
        </w:numPr>
      </w:pPr>
    </w:p>
    <w:p w14:paraId="2C43981A" w14:textId="3A545B7A" w:rsidR="00711C85" w:rsidRDefault="00341A37" w:rsidP="00EF75B9">
      <w:pPr>
        <w:pStyle w:val="FourthnumberingA"/>
        <w:numPr>
          <w:ilvl w:val="0"/>
          <w:numId w:val="0"/>
        </w:numPr>
        <w:ind w:left="1276" w:hanging="425"/>
      </w:pPr>
      <w:r w:rsidRPr="00711C85">
        <w:t xml:space="preserve">a) </w:t>
      </w:r>
      <w:r w:rsidRPr="00711C85">
        <w:tab/>
      </w:r>
      <w:r w:rsidR="004A0003">
        <w:t>P</w:t>
      </w:r>
      <w:r w:rsidR="00B412F7" w:rsidRPr="00711C85">
        <w:t xml:space="preserve">roposer, à titre d’orientations à l’intention des Parties, des interprétations </w:t>
      </w:r>
      <w:r w:rsidR="00711C85" w:rsidRPr="00711C85">
        <w:t xml:space="preserve">des termes « État de l'aire de répartition » et « erratique » en </w:t>
      </w:r>
      <w:proofErr w:type="gramStart"/>
      <w:r w:rsidR="00711C85" w:rsidRPr="00711C85">
        <w:t>contexte;</w:t>
      </w:r>
      <w:proofErr w:type="gramEnd"/>
    </w:p>
    <w:p w14:paraId="1CE97C87" w14:textId="77777777" w:rsidR="00711C85" w:rsidRPr="00711C85" w:rsidRDefault="00711C85" w:rsidP="00EF75B9">
      <w:pPr>
        <w:pStyle w:val="FourthnumberingA"/>
        <w:numPr>
          <w:ilvl w:val="0"/>
          <w:numId w:val="0"/>
        </w:numPr>
        <w:ind w:left="1276" w:hanging="425"/>
      </w:pPr>
    </w:p>
    <w:p w14:paraId="2B4B41A5" w14:textId="319696AF" w:rsidR="00341A37" w:rsidRDefault="00341A37" w:rsidP="00EF75B9">
      <w:pPr>
        <w:pStyle w:val="FourthnumberingA"/>
        <w:numPr>
          <w:ilvl w:val="0"/>
          <w:numId w:val="0"/>
        </w:numPr>
        <w:ind w:left="1276" w:hanging="425"/>
      </w:pPr>
      <w:r>
        <w:t xml:space="preserve">b) </w:t>
      </w:r>
      <w:r>
        <w:tab/>
      </w:r>
      <w:r w:rsidR="004A0003">
        <w:t>F</w:t>
      </w:r>
      <w:r>
        <w:t>aire rapport à la</w:t>
      </w:r>
      <w:r w:rsidR="00394A21">
        <w:t xml:space="preserve"> 14</w:t>
      </w:r>
      <w:r w:rsidR="00394A21" w:rsidRPr="00394A21">
        <w:rPr>
          <w:vertAlign w:val="superscript"/>
        </w:rPr>
        <w:t>e</w:t>
      </w:r>
      <w:r w:rsidR="00394A21">
        <w:t xml:space="preserve"> session de</w:t>
      </w:r>
      <w:r>
        <w:t xml:space="preserve"> Conférence des Parties sur les progrès accomplis dans la mise en œuvre de la présente Décision.</w:t>
      </w:r>
    </w:p>
    <w:p w14:paraId="012213DD" w14:textId="77777777" w:rsidR="00341A37" w:rsidRDefault="00341A37" w:rsidP="00EF75B9">
      <w:pPr>
        <w:pStyle w:val="FourthnumberingA"/>
        <w:numPr>
          <w:ilvl w:val="0"/>
          <w:numId w:val="0"/>
        </w:numPr>
        <w:ind w:left="567" w:hanging="425"/>
      </w:pPr>
    </w:p>
    <w:p w14:paraId="34CD7518" w14:textId="77777777" w:rsidR="00341A37" w:rsidRPr="00341A37" w:rsidRDefault="00341A37" w:rsidP="00341A37">
      <w:pPr>
        <w:jc w:val="both"/>
        <w:rPr>
          <w:rFonts w:ascii="Arial" w:hAnsi="Arial" w:cs="Arial"/>
          <w:sz w:val="22"/>
          <w:szCs w:val="22"/>
          <w:lang w:val="fr-FR"/>
        </w:rPr>
      </w:pPr>
      <w:bookmarkStart w:id="3" w:name="_GoBack"/>
      <w:bookmarkEnd w:id="3"/>
    </w:p>
    <w:sectPr w:rsidR="00341A37" w:rsidRPr="00341A37">
      <w:headerReference w:type="even" r:id="rId7"/>
      <w:headerReference w:type="default" r:id="rId8"/>
      <w:footerReference w:type="even" r:id="rId9"/>
      <w:footerReference w:type="default" r:id="rId10"/>
      <w:headerReference w:type="first" r:id="rId11"/>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53F46" w14:textId="77777777" w:rsidR="0043102F" w:rsidRDefault="0043102F">
      <w:r>
        <w:separator/>
      </w:r>
    </w:p>
  </w:endnote>
  <w:endnote w:type="continuationSeparator" w:id="0">
    <w:p w14:paraId="6261E283" w14:textId="77777777" w:rsidR="0043102F" w:rsidRDefault="0043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4938B" w14:textId="77777777" w:rsidR="00A16E93" w:rsidRDefault="005D43E4">
    <w:pPr>
      <w:pStyle w:val="Footer"/>
      <w:jc w:val="center"/>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3A3BC" w14:textId="77777777" w:rsidR="00A16E93" w:rsidRDefault="005D43E4">
    <w:pPr>
      <w:pStyle w:val="Footer"/>
      <w:jc w:val="center"/>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2</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03887" w14:textId="77777777" w:rsidR="0043102F" w:rsidRDefault="0043102F">
      <w:r>
        <w:rPr>
          <w:color w:val="000000"/>
        </w:rPr>
        <w:separator/>
      </w:r>
    </w:p>
  </w:footnote>
  <w:footnote w:type="continuationSeparator" w:id="0">
    <w:p w14:paraId="34C95178" w14:textId="77777777" w:rsidR="0043102F" w:rsidRDefault="00431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7A60C" w14:textId="248E420C" w:rsidR="00A16E93" w:rsidRDefault="005D43E4" w:rsidP="00C32FF1">
    <w:pPr>
      <w:pBdr>
        <w:bottom w:val="single" w:sz="4" w:space="1" w:color="000000"/>
      </w:pBdr>
      <w:tabs>
        <w:tab w:val="left" w:pos="5040"/>
        <w:tab w:val="left" w:pos="5760"/>
        <w:tab w:val="left" w:pos="6008"/>
        <w:tab w:val="left" w:pos="6480"/>
        <w:tab w:val="left" w:pos="7200"/>
        <w:tab w:val="left" w:pos="7920"/>
        <w:tab w:val="left" w:pos="8640"/>
      </w:tabs>
      <w:rPr>
        <w:rFonts w:ascii="Arial" w:hAnsi="Arial" w:cs="Arial"/>
        <w:i/>
        <w:szCs w:val="20"/>
        <w:lang w:val="en-GB"/>
      </w:rPr>
    </w:pPr>
    <w:r>
      <w:rPr>
        <w:rFonts w:ascii="Arial" w:hAnsi="Arial" w:cs="Arial"/>
        <w:i/>
        <w:szCs w:val="20"/>
        <w:lang w:val="en-GB"/>
      </w:rPr>
      <w:t>UNEP/CMS/COP13/CRP</w:t>
    </w:r>
    <w:r w:rsidR="00341A37">
      <w:rPr>
        <w:rFonts w:ascii="Arial" w:hAnsi="Arial" w:cs="Arial"/>
        <w:i/>
        <w:szCs w:val="20"/>
        <w:lang w:val="en-GB"/>
      </w:rPr>
      <w:t>27.2</w:t>
    </w:r>
  </w:p>
  <w:p w14:paraId="50B9F4CC" w14:textId="77777777" w:rsidR="00A16E93" w:rsidRDefault="00EF7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F3F0B" w14:textId="5A33CBB0" w:rsidR="00A16E93" w:rsidRDefault="005D43E4">
    <w:pPr>
      <w:pBdr>
        <w:bottom w:val="single" w:sz="4" w:space="1" w:color="000000"/>
      </w:pBdr>
      <w:tabs>
        <w:tab w:val="left" w:pos="5040"/>
        <w:tab w:val="left" w:pos="5760"/>
        <w:tab w:val="left" w:pos="6008"/>
        <w:tab w:val="left" w:pos="6480"/>
        <w:tab w:val="left" w:pos="7200"/>
        <w:tab w:val="left" w:pos="7920"/>
        <w:tab w:val="left" w:pos="8640"/>
      </w:tabs>
      <w:jc w:val="both"/>
      <w:rPr>
        <w:rFonts w:ascii="Arial" w:hAnsi="Arial" w:cs="Arial"/>
        <w:i/>
        <w:szCs w:val="20"/>
        <w:lang w:val="en-GB"/>
      </w:rPr>
    </w:pPr>
    <w:r>
      <w:rPr>
        <w:rFonts w:ascii="Arial" w:hAnsi="Arial" w:cs="Arial"/>
        <w:i/>
        <w:szCs w:val="20"/>
        <w:lang w:val="en-GB"/>
      </w:rPr>
      <w:t>UNEP/CMS/COP13/CRP</w:t>
    </w:r>
    <w:r w:rsidR="00341A37">
      <w:rPr>
        <w:rFonts w:ascii="Arial" w:hAnsi="Arial" w:cs="Arial"/>
        <w:i/>
        <w:szCs w:val="20"/>
        <w:lang w:val="en-GB"/>
      </w:rPr>
      <w:t>27.2</w:t>
    </w:r>
  </w:p>
  <w:p w14:paraId="75025A37" w14:textId="77777777" w:rsidR="00A16E93" w:rsidRDefault="00EF75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A398" w14:textId="6BF3D63E" w:rsidR="007A1066" w:rsidRPr="00E829C9" w:rsidRDefault="007A1066" w:rsidP="007A1066">
    <w:pPr>
      <w:pBdr>
        <w:bottom w:val="single" w:sz="4" w:space="1" w:color="auto"/>
      </w:pBdr>
      <w:tabs>
        <w:tab w:val="left" w:pos="5040"/>
        <w:tab w:val="left" w:pos="5760"/>
        <w:tab w:val="left" w:pos="6008"/>
        <w:tab w:val="left" w:pos="6480"/>
        <w:tab w:val="left" w:pos="7200"/>
        <w:tab w:val="left" w:pos="7920"/>
        <w:tab w:val="left" w:pos="8640"/>
      </w:tabs>
      <w:ind w:firstLine="536"/>
      <w:jc w:val="right"/>
      <w:rPr>
        <w:rFonts w:ascii="Arial" w:hAnsi="Arial" w:cs="Arial"/>
        <w:bCs/>
        <w:i/>
        <w:iCs/>
        <w:szCs w:val="20"/>
        <w:lang w:val="en-GB"/>
      </w:rPr>
    </w:pPr>
    <w:r w:rsidRPr="00E829C9">
      <w:rPr>
        <w:rFonts w:ascii="Arial" w:hAnsi="Arial" w:cs="Arial"/>
        <w:bCs/>
        <w:i/>
        <w:iCs/>
        <w:szCs w:val="20"/>
        <w:lang w:val="en-GB"/>
      </w:rPr>
      <w:t>UNEP/CMS/COP13/CRP</w:t>
    </w:r>
    <w:r w:rsidR="00341A37">
      <w:rPr>
        <w:rFonts w:ascii="Arial" w:hAnsi="Arial" w:cs="Arial"/>
        <w:bCs/>
        <w:i/>
        <w:iCs/>
        <w:szCs w:val="20"/>
        <w:lang w:val="en-GB"/>
      </w:rPr>
      <w:t>27.2</w:t>
    </w:r>
  </w:p>
  <w:p w14:paraId="117A266F" w14:textId="77777777" w:rsidR="007A1066" w:rsidRDefault="007A1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4AD7"/>
    <w:multiLevelType w:val="hybridMultilevel"/>
    <w:tmpl w:val="72EEB7D8"/>
    <w:lvl w:ilvl="0" w:tplc="0409000F">
      <w:start w:val="1"/>
      <w:numFmt w:val="decimal"/>
      <w:lvlText w:val="%1."/>
      <w:lvlJc w:val="left"/>
      <w:pPr>
        <w:ind w:left="5747" w:hanging="360"/>
      </w:p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CBD1754"/>
    <w:multiLevelType w:val="hybridMultilevel"/>
    <w:tmpl w:val="29EC8866"/>
    <w:lvl w:ilvl="0" w:tplc="5C302D7C">
      <w:start w:val="1"/>
      <w:numFmt w:val="upperLetter"/>
      <w:pStyle w:val="FourthnumberingA"/>
      <w:lvlText w:val="%1."/>
      <w:lvlJc w:val="righ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C56"/>
    <w:rsid w:val="000226B8"/>
    <w:rsid w:val="000B0D60"/>
    <w:rsid w:val="001648A3"/>
    <w:rsid w:val="002223BB"/>
    <w:rsid w:val="00341A37"/>
    <w:rsid w:val="00394A21"/>
    <w:rsid w:val="003B0396"/>
    <w:rsid w:val="003F1AD8"/>
    <w:rsid w:val="0043102F"/>
    <w:rsid w:val="00487D0A"/>
    <w:rsid w:val="004A0003"/>
    <w:rsid w:val="004A7CBF"/>
    <w:rsid w:val="005645C4"/>
    <w:rsid w:val="005D43E4"/>
    <w:rsid w:val="005F0639"/>
    <w:rsid w:val="00711C85"/>
    <w:rsid w:val="007A1066"/>
    <w:rsid w:val="008B78A8"/>
    <w:rsid w:val="009573CA"/>
    <w:rsid w:val="00A048E3"/>
    <w:rsid w:val="00B15CD6"/>
    <w:rsid w:val="00B412F7"/>
    <w:rsid w:val="00BB5120"/>
    <w:rsid w:val="00C32FF1"/>
    <w:rsid w:val="00D82C56"/>
    <w:rsid w:val="00E829C9"/>
    <w:rsid w:val="00EF75B9"/>
    <w:rsid w:val="00F52298"/>
    <w:rsid w:val="00FE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E5BA"/>
  <w15:docId w15:val="{AD42D6AB-2F48-49C8-938C-62CFA7EE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uppressAutoHyphens/>
      <w:autoSpaceDE w:val="0"/>
      <w:spacing w:after="0" w:line="240" w:lineRule="auto"/>
    </w:pPr>
    <w:rPr>
      <w:rFonts w:ascii="Times New Roman" w:eastAsia="Times New Roman" w:hAnsi="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sz w:val="20"/>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eastAsia="Times New Roman" w:hAnsi="Times New Roman" w:cs="Times New Roman"/>
      <w:sz w:val="20"/>
      <w:szCs w:val="24"/>
    </w:rPr>
  </w:style>
  <w:style w:type="character" w:customStyle="1" w:styleId="ListParagraphChar">
    <w:name w:val="List Paragraph Char"/>
    <w:basedOn w:val="DefaultParagraphFont"/>
    <w:link w:val="ListParagraph"/>
    <w:uiPriority w:val="99"/>
    <w:locked/>
    <w:rsid w:val="00341A37"/>
  </w:style>
  <w:style w:type="paragraph" w:styleId="ListParagraph">
    <w:name w:val="List Paragraph"/>
    <w:basedOn w:val="Normal"/>
    <w:link w:val="ListParagraphChar"/>
    <w:uiPriority w:val="99"/>
    <w:qFormat/>
    <w:rsid w:val="00341A37"/>
    <w:pPr>
      <w:widowControl/>
      <w:suppressAutoHyphens w:val="0"/>
      <w:autoSpaceDE/>
      <w:autoSpaceDN/>
      <w:spacing w:after="160" w:line="256" w:lineRule="auto"/>
      <w:ind w:left="720"/>
      <w:contextualSpacing/>
      <w:textAlignment w:val="auto"/>
    </w:pPr>
    <w:rPr>
      <w:rFonts w:ascii="Arial" w:eastAsia="Calibri" w:hAnsi="Arial"/>
      <w:sz w:val="22"/>
      <w:szCs w:val="22"/>
    </w:rPr>
  </w:style>
  <w:style w:type="paragraph" w:customStyle="1" w:styleId="p1">
    <w:name w:val="p1"/>
    <w:basedOn w:val="Normal"/>
    <w:rsid w:val="00341A37"/>
    <w:pPr>
      <w:widowControl/>
      <w:suppressAutoHyphens w:val="0"/>
      <w:autoSpaceDE/>
      <w:autoSpaceDN/>
      <w:textAlignment w:val="auto"/>
    </w:pPr>
    <w:rPr>
      <w:rFonts w:ascii="Times" w:eastAsia="MS Mincho" w:hAnsi="Times"/>
      <w:sz w:val="17"/>
      <w:szCs w:val="17"/>
    </w:rPr>
  </w:style>
  <w:style w:type="character" w:customStyle="1" w:styleId="FourthnumberingAChar">
    <w:name w:val="Fourth numbering A. Char"/>
    <w:basedOn w:val="DefaultParagraphFont"/>
    <w:link w:val="FourthnumberingA"/>
    <w:locked/>
    <w:rsid w:val="00341A37"/>
    <w:rPr>
      <w:lang w:val="fr-FR"/>
    </w:rPr>
  </w:style>
  <w:style w:type="paragraph" w:customStyle="1" w:styleId="FourthnumberingA">
    <w:name w:val="Fourth numbering A."/>
    <w:basedOn w:val="Normal"/>
    <w:link w:val="FourthnumberingAChar"/>
    <w:qFormat/>
    <w:rsid w:val="00341A37"/>
    <w:pPr>
      <w:widowControl/>
      <w:numPr>
        <w:numId w:val="2"/>
      </w:numPr>
      <w:suppressAutoHyphens w:val="0"/>
      <w:autoSpaceDE/>
      <w:autoSpaceDN/>
      <w:ind w:left="2268" w:hanging="283"/>
      <w:contextualSpacing/>
      <w:jc w:val="both"/>
      <w:textAlignment w:val="auto"/>
    </w:pPr>
    <w:rPr>
      <w:rFonts w:ascii="Arial" w:eastAsia="Calibri" w:hAnsi="Arial"/>
      <w:sz w:val="22"/>
      <w:szCs w:val="22"/>
      <w:lang w:val="fr-FR"/>
    </w:rPr>
  </w:style>
  <w:style w:type="paragraph" w:styleId="BalloonText">
    <w:name w:val="Balloon Text"/>
    <w:basedOn w:val="Normal"/>
    <w:link w:val="BalloonTextChar"/>
    <w:uiPriority w:val="99"/>
    <w:semiHidden/>
    <w:unhideWhenUsed/>
    <w:rsid w:val="00394A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A2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56395">
      <w:bodyDiv w:val="1"/>
      <w:marLeft w:val="0"/>
      <w:marRight w:val="0"/>
      <w:marTop w:val="0"/>
      <w:marBottom w:val="0"/>
      <w:divBdr>
        <w:top w:val="none" w:sz="0" w:space="0" w:color="auto"/>
        <w:left w:val="none" w:sz="0" w:space="0" w:color="auto"/>
        <w:bottom w:val="none" w:sz="0" w:space="0" w:color="auto"/>
        <w:right w:val="none" w:sz="0" w:space="0" w:color="auto"/>
      </w:divBdr>
    </w:div>
    <w:div w:id="898443207">
      <w:bodyDiv w:val="1"/>
      <w:marLeft w:val="0"/>
      <w:marRight w:val="0"/>
      <w:marTop w:val="0"/>
      <w:marBottom w:val="0"/>
      <w:divBdr>
        <w:top w:val="none" w:sz="0" w:space="0" w:color="auto"/>
        <w:left w:val="none" w:sz="0" w:space="0" w:color="auto"/>
        <w:bottom w:val="none" w:sz="0" w:space="0" w:color="auto"/>
        <w:right w:val="none" w:sz="0" w:space="0" w:color="auto"/>
      </w:divBdr>
    </w:div>
    <w:div w:id="1128205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7265</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dc:description/>
  <cp:lastModifiedBy>Catherine Brueckner</cp:lastModifiedBy>
  <cp:revision>2</cp:revision>
  <cp:lastPrinted>2020-02-03T15:02:00Z</cp:lastPrinted>
  <dcterms:created xsi:type="dcterms:W3CDTF">2020-02-21T19:18:00Z</dcterms:created>
  <dcterms:modified xsi:type="dcterms:W3CDTF">2020-02-21T19:18:00Z</dcterms:modified>
</cp:coreProperties>
</file>