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rsidP="009A196B">
      <w:pPr>
        <w:widowControl/>
        <w:rPr>
          <w:rFonts w:ascii="Arial" w:hAnsi="Arial" w:cs="Arial"/>
          <w:sz w:val="22"/>
          <w:szCs w:val="22"/>
        </w:rPr>
      </w:pPr>
    </w:p>
    <w:p w14:paraId="1D9F60F5" w14:textId="77777777" w:rsidR="00D82C56" w:rsidRDefault="00D82C56" w:rsidP="009A196B">
      <w:pPr>
        <w:widowControl/>
        <w:rPr>
          <w:rFonts w:ascii="Arial" w:hAnsi="Arial" w:cs="Arial"/>
          <w:sz w:val="22"/>
          <w:szCs w:val="22"/>
        </w:rPr>
      </w:pPr>
    </w:p>
    <w:p w14:paraId="0657525A" w14:textId="77777777" w:rsidR="00E829C9" w:rsidRDefault="00E829C9" w:rsidP="009A196B">
      <w:pPr>
        <w:widowControl/>
        <w:jc w:val="center"/>
        <w:rPr>
          <w:rFonts w:ascii="Arial" w:hAnsi="Arial" w:cs="Arial"/>
          <w:b/>
          <w:sz w:val="22"/>
          <w:szCs w:val="22"/>
        </w:rPr>
      </w:pPr>
    </w:p>
    <w:p w14:paraId="3E3434EF" w14:textId="77777777" w:rsidR="00E27D28" w:rsidRPr="00E27D28" w:rsidRDefault="00E27D28" w:rsidP="009A196B">
      <w:pPr>
        <w:widowControl/>
        <w:jc w:val="center"/>
        <w:rPr>
          <w:rFonts w:ascii="Arial" w:hAnsi="Arial" w:cs="Arial"/>
          <w:b/>
          <w:sz w:val="22"/>
          <w:szCs w:val="22"/>
          <w:lang w:val="fr-FR"/>
        </w:rPr>
      </w:pPr>
      <w:r w:rsidRPr="00E27D28">
        <w:rPr>
          <w:rFonts w:ascii="Arial" w:hAnsi="Arial" w:cs="Arial"/>
          <w:b/>
          <w:sz w:val="22"/>
          <w:szCs w:val="22"/>
          <w:lang w:val="fr-FR"/>
        </w:rPr>
        <w:t>DÉVELOPPEMENT D’INFRASTRUCTURES ET ESPÈCES MIGRATRICES</w:t>
      </w:r>
    </w:p>
    <w:p w14:paraId="77BA811D" w14:textId="2708DD85" w:rsidR="00D82C56" w:rsidRPr="00B04B28" w:rsidRDefault="005D43E4" w:rsidP="009A196B">
      <w:pPr>
        <w:widowControl/>
        <w:jc w:val="center"/>
        <w:rPr>
          <w:rFonts w:ascii="Arial" w:hAnsi="Arial" w:cs="Arial"/>
          <w:sz w:val="22"/>
          <w:szCs w:val="22"/>
          <w:lang w:val="fr-FR"/>
        </w:rPr>
      </w:pPr>
      <w:r w:rsidRPr="00B04B28">
        <w:rPr>
          <w:rFonts w:ascii="Arial" w:hAnsi="Arial" w:cs="Arial"/>
          <w:sz w:val="22"/>
          <w:szCs w:val="22"/>
          <w:lang w:val="fr-FR"/>
        </w:rPr>
        <w:t>UNEP/CMS/COP13/Doc.</w:t>
      </w:r>
      <w:r w:rsidR="00E27D28" w:rsidRPr="00B04B28">
        <w:rPr>
          <w:rFonts w:ascii="Arial" w:hAnsi="Arial" w:cs="Arial"/>
          <w:sz w:val="22"/>
          <w:szCs w:val="22"/>
          <w:lang w:val="fr-FR"/>
        </w:rPr>
        <w:t>26.4.11</w:t>
      </w:r>
    </w:p>
    <w:p w14:paraId="48F82B79" w14:textId="77777777" w:rsidR="00D82C56" w:rsidRPr="00B04B28" w:rsidRDefault="00D82C56" w:rsidP="009A196B">
      <w:pPr>
        <w:widowControl/>
        <w:jc w:val="center"/>
        <w:rPr>
          <w:rFonts w:ascii="Arial" w:hAnsi="Arial" w:cs="Arial"/>
          <w:sz w:val="22"/>
          <w:szCs w:val="22"/>
          <w:lang w:val="fr-FR"/>
        </w:rPr>
      </w:pPr>
    </w:p>
    <w:p w14:paraId="73A89732" w14:textId="25F2CEF5" w:rsidR="00D82C56" w:rsidRPr="00A048E3" w:rsidRDefault="005D43E4" w:rsidP="009A196B">
      <w:pPr>
        <w:widowControl/>
        <w:jc w:val="center"/>
        <w:rPr>
          <w:rFonts w:ascii="Arial" w:hAnsi="Arial" w:cs="Arial"/>
          <w:i/>
          <w:sz w:val="22"/>
          <w:szCs w:val="22"/>
          <w:lang w:val="fr-FR"/>
        </w:rPr>
      </w:pPr>
      <w:r w:rsidRPr="00A048E3">
        <w:rPr>
          <w:rFonts w:ascii="Arial" w:hAnsi="Arial" w:cs="Arial"/>
          <w:i/>
          <w:sz w:val="22"/>
          <w:szCs w:val="22"/>
          <w:lang w:val="fr-FR"/>
        </w:rPr>
        <w:t>(Pr</w:t>
      </w:r>
      <w:r w:rsidR="000226B8">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B04B28">
        <w:rPr>
          <w:rFonts w:ascii="Arial" w:hAnsi="Arial" w:cs="Arial"/>
          <w:i/>
          <w:sz w:val="22"/>
          <w:szCs w:val="22"/>
          <w:lang w:val="fr-FR"/>
        </w:rPr>
        <w:t xml:space="preserve"> le Comité plénier</w:t>
      </w:r>
      <w:r w:rsidRPr="00A048E3">
        <w:rPr>
          <w:rFonts w:ascii="Arial" w:hAnsi="Arial" w:cs="Arial"/>
          <w:i/>
          <w:sz w:val="22"/>
          <w:szCs w:val="22"/>
          <w:lang w:val="fr-FR"/>
        </w:rPr>
        <w:t>)</w:t>
      </w:r>
    </w:p>
    <w:p w14:paraId="25BD5BFE" w14:textId="77777777" w:rsidR="00D82C56" w:rsidRPr="00A048E3" w:rsidRDefault="00D82C56" w:rsidP="009A196B">
      <w:pPr>
        <w:widowControl/>
        <w:rPr>
          <w:rFonts w:ascii="Arial" w:hAnsi="Arial" w:cs="Arial"/>
          <w:sz w:val="22"/>
          <w:szCs w:val="22"/>
          <w:lang w:val="fr-FR"/>
        </w:rPr>
      </w:pPr>
    </w:p>
    <w:p w14:paraId="649C5778" w14:textId="77777777" w:rsidR="00D82C56" w:rsidRPr="00A048E3" w:rsidRDefault="00D82C56" w:rsidP="009A196B">
      <w:pPr>
        <w:widowControl/>
        <w:rPr>
          <w:rFonts w:ascii="Arial" w:hAnsi="Arial" w:cs="Arial"/>
          <w:sz w:val="22"/>
          <w:szCs w:val="22"/>
          <w:lang w:val="fr-FR"/>
        </w:rPr>
      </w:pPr>
    </w:p>
    <w:p w14:paraId="5CD49333" w14:textId="1DE2FDFF" w:rsidR="00D82C56" w:rsidRPr="00A048E3" w:rsidRDefault="00A048E3" w:rsidP="009A196B">
      <w:pPr>
        <w:widowControl/>
        <w:jc w:val="center"/>
        <w:rPr>
          <w:rFonts w:ascii="Arial" w:hAnsi="Arial" w:cs="Arial"/>
          <w:sz w:val="22"/>
          <w:szCs w:val="22"/>
          <w:lang w:val="fr-FR"/>
        </w:rPr>
      </w:pPr>
      <w:r w:rsidRPr="00A048E3">
        <w:rPr>
          <w:rFonts w:ascii="Arial" w:hAnsi="Arial" w:cs="Arial"/>
          <w:sz w:val="22"/>
          <w:szCs w:val="22"/>
          <w:lang w:val="fr-FR"/>
        </w:rPr>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E27D28">
        <w:rPr>
          <w:rFonts w:ascii="Arial" w:hAnsi="Arial" w:cs="Arial"/>
          <w:sz w:val="22"/>
          <w:szCs w:val="22"/>
          <w:lang w:val="fr-FR"/>
        </w:rPr>
        <w:t>S</w:t>
      </w:r>
    </w:p>
    <w:p w14:paraId="621FE7FD" w14:textId="77777777" w:rsidR="00D82C56" w:rsidRPr="00A048E3" w:rsidRDefault="00D82C56" w:rsidP="009A196B">
      <w:pPr>
        <w:widowControl/>
        <w:rPr>
          <w:rFonts w:ascii="Arial" w:hAnsi="Arial" w:cs="Arial"/>
          <w:sz w:val="22"/>
          <w:szCs w:val="22"/>
          <w:lang w:val="fr-FR"/>
        </w:rPr>
      </w:pPr>
    </w:p>
    <w:p w14:paraId="441F18FA" w14:textId="1D6EE271" w:rsidR="00E27D28" w:rsidRPr="00E27D28" w:rsidRDefault="00E27D28" w:rsidP="009A196B">
      <w:pPr>
        <w:widowControl/>
        <w:jc w:val="both"/>
        <w:rPr>
          <w:rFonts w:ascii="Arial" w:eastAsiaTheme="minorEastAsia" w:hAnsi="Arial" w:cs="Arial"/>
          <w:b/>
          <w:i/>
          <w:sz w:val="22"/>
          <w:szCs w:val="22"/>
          <w:lang w:val="fr-FR"/>
        </w:rPr>
      </w:pPr>
      <w:bookmarkStart w:id="0" w:name="_Hlk20832630"/>
      <w:r>
        <w:rPr>
          <w:rFonts w:ascii="Arial" w:eastAsiaTheme="minorEastAsia" w:hAnsi="Arial" w:cs="Arial"/>
          <w:b/>
          <w:i/>
          <w:sz w:val="22"/>
          <w:szCs w:val="22"/>
          <w:lang w:val="fr-FR"/>
        </w:rPr>
        <w:t>Adressé aux</w:t>
      </w:r>
      <w:r w:rsidRPr="00E27D28">
        <w:rPr>
          <w:rFonts w:ascii="Arial" w:eastAsiaTheme="minorEastAsia" w:hAnsi="Arial" w:cs="Arial"/>
          <w:b/>
          <w:i/>
          <w:sz w:val="22"/>
          <w:szCs w:val="22"/>
          <w:lang w:val="fr-FR"/>
        </w:rPr>
        <w:t xml:space="preserve"> Parties </w:t>
      </w:r>
    </w:p>
    <w:p w14:paraId="780E0210" w14:textId="77777777" w:rsidR="00E27D28" w:rsidRPr="00E27D28" w:rsidRDefault="00E27D28" w:rsidP="009A196B">
      <w:pPr>
        <w:widowControl/>
        <w:jc w:val="both"/>
        <w:rPr>
          <w:rFonts w:ascii="Arial" w:eastAsiaTheme="minorEastAsia" w:hAnsi="Arial" w:cs="Arial"/>
          <w:sz w:val="22"/>
          <w:szCs w:val="22"/>
          <w:lang w:val="fr-FR"/>
        </w:rPr>
      </w:pPr>
    </w:p>
    <w:p w14:paraId="4C721872" w14:textId="52B3C274" w:rsidR="00E27D28" w:rsidRPr="00E27D28" w:rsidRDefault="00E27D28" w:rsidP="009A196B">
      <w:pPr>
        <w:widowControl/>
        <w:ind w:left="851" w:hanging="851"/>
        <w:jc w:val="both"/>
        <w:rPr>
          <w:rFonts w:ascii="Arial" w:eastAsiaTheme="minorEastAsia" w:hAnsi="Arial" w:cs="Arial"/>
          <w:iCs/>
          <w:sz w:val="22"/>
          <w:szCs w:val="22"/>
          <w:lang w:val="fr-FR"/>
        </w:rPr>
      </w:pPr>
      <w:r w:rsidRPr="00E27D28">
        <w:rPr>
          <w:rFonts w:ascii="Arial" w:eastAsiaTheme="minorEastAsia" w:hAnsi="Arial" w:cs="Arial"/>
          <w:sz w:val="22"/>
          <w:szCs w:val="22"/>
          <w:lang w:val="fr-FR"/>
        </w:rPr>
        <w:t>13.AA</w:t>
      </w:r>
      <w:r w:rsidRPr="00E27D28">
        <w:rPr>
          <w:rFonts w:ascii="Arial" w:eastAsiaTheme="minorEastAsia" w:hAnsi="Arial" w:cs="Arial"/>
          <w:sz w:val="22"/>
          <w:szCs w:val="22"/>
          <w:lang w:val="fr-FR"/>
        </w:rPr>
        <w:tab/>
      </w:r>
      <w:r w:rsidRPr="00E27D28">
        <w:rPr>
          <w:rFonts w:ascii="Arial" w:eastAsiaTheme="minorEastAsia" w:hAnsi="Arial" w:cs="Arial"/>
          <w:iCs/>
          <w:sz w:val="22"/>
          <w:szCs w:val="22"/>
          <w:lang w:val="fr-FR"/>
        </w:rPr>
        <w:t xml:space="preserve">Les Parties sont invitées à </w:t>
      </w:r>
      <w:r w:rsidR="00B04B28">
        <w:rPr>
          <w:rFonts w:ascii="Arial" w:eastAsiaTheme="minorEastAsia" w:hAnsi="Arial" w:cs="Arial"/>
          <w:iCs/>
          <w:sz w:val="22"/>
          <w:szCs w:val="22"/>
          <w:lang w:val="fr-FR"/>
        </w:rPr>
        <w:t xml:space="preserve">fournir des informations, en reprenant le modèle des rapports nationaux, sur les </w:t>
      </w:r>
      <w:r w:rsidRPr="00E27D28">
        <w:rPr>
          <w:rFonts w:ascii="Arial" w:eastAsiaTheme="minorEastAsia" w:hAnsi="Arial" w:cs="Arial"/>
          <w:iCs/>
          <w:sz w:val="22"/>
          <w:szCs w:val="22"/>
          <w:lang w:val="fr-FR"/>
        </w:rPr>
        <w:t xml:space="preserve">mesures prises pour mettre en œuvre le paragraphe 2 de la Résolution 7.2 (Rev.COP12) </w:t>
      </w:r>
      <w:r w:rsidRPr="00E27D28">
        <w:rPr>
          <w:rFonts w:ascii="Arial" w:eastAsiaTheme="minorEastAsia" w:hAnsi="Arial" w:cs="Arial"/>
          <w:i/>
          <w:sz w:val="22"/>
          <w:szCs w:val="22"/>
          <w:lang w:val="fr-FR"/>
        </w:rPr>
        <w:t>Évaluation d’impact et espèces migratrices</w:t>
      </w:r>
      <w:r w:rsidRPr="00E27D28">
        <w:rPr>
          <w:rFonts w:ascii="Arial" w:eastAsiaTheme="minorEastAsia" w:hAnsi="Arial" w:cs="Arial"/>
          <w:iCs/>
          <w:sz w:val="22"/>
          <w:szCs w:val="22"/>
          <w:lang w:val="fr-FR"/>
        </w:rPr>
        <w:t>, et à partager des informations relatives aux défis, aux enseignements tirés et aux besoins en matière de renforcement des capacités.</w:t>
      </w:r>
      <w:r w:rsidRPr="00E27D28">
        <w:rPr>
          <w:rFonts w:ascii="Arial" w:eastAsiaTheme="minorEastAsia" w:hAnsi="Arial" w:cs="Arial"/>
          <w:sz w:val="22"/>
          <w:szCs w:val="22"/>
          <w:lang w:val="fr-FR"/>
        </w:rPr>
        <w:t xml:space="preserve"> </w:t>
      </w:r>
    </w:p>
    <w:p w14:paraId="5020B856" w14:textId="77777777" w:rsidR="00E27D28" w:rsidRPr="00E27D28" w:rsidRDefault="00E27D28" w:rsidP="009A196B">
      <w:pPr>
        <w:widowControl/>
        <w:jc w:val="both"/>
        <w:rPr>
          <w:rFonts w:ascii="Arial" w:eastAsiaTheme="minorEastAsia" w:hAnsi="Arial" w:cs="Arial"/>
          <w:b/>
          <w:i/>
          <w:sz w:val="22"/>
          <w:szCs w:val="22"/>
          <w:lang w:val="fr-FR"/>
        </w:rPr>
      </w:pPr>
    </w:p>
    <w:p w14:paraId="124C9CCD" w14:textId="5167C9C9" w:rsidR="00E27D28" w:rsidRPr="00E27D28" w:rsidRDefault="00E27D28" w:rsidP="009A196B">
      <w:pPr>
        <w:widowControl/>
        <w:jc w:val="both"/>
        <w:rPr>
          <w:rFonts w:ascii="Arial" w:eastAsiaTheme="minorEastAsia" w:hAnsi="Arial" w:cs="Arial"/>
          <w:b/>
          <w:i/>
          <w:sz w:val="22"/>
          <w:szCs w:val="22"/>
          <w:lang w:val="fr-FR"/>
        </w:rPr>
      </w:pPr>
      <w:r>
        <w:rPr>
          <w:rFonts w:ascii="Arial" w:eastAsiaTheme="minorEastAsia" w:hAnsi="Arial" w:cs="Arial"/>
          <w:b/>
          <w:i/>
          <w:sz w:val="22"/>
          <w:szCs w:val="22"/>
          <w:lang w:val="fr-FR"/>
        </w:rPr>
        <w:t>Adressé au</w:t>
      </w:r>
      <w:r w:rsidRPr="00E27D28">
        <w:rPr>
          <w:rFonts w:ascii="Arial" w:eastAsiaTheme="minorEastAsia" w:hAnsi="Arial" w:cs="Arial"/>
          <w:b/>
          <w:i/>
          <w:sz w:val="22"/>
          <w:szCs w:val="22"/>
          <w:lang w:val="fr-FR"/>
        </w:rPr>
        <w:t xml:space="preserve"> Conseil scientifique</w:t>
      </w:r>
    </w:p>
    <w:p w14:paraId="20282AFC" w14:textId="77777777" w:rsidR="00E27D28" w:rsidRPr="00E27D28" w:rsidRDefault="00E27D28" w:rsidP="009A196B">
      <w:pPr>
        <w:widowControl/>
        <w:jc w:val="both"/>
        <w:rPr>
          <w:rFonts w:ascii="Arial" w:eastAsiaTheme="minorEastAsia" w:hAnsi="Arial" w:cs="Arial"/>
          <w:b/>
          <w:sz w:val="22"/>
          <w:szCs w:val="22"/>
          <w:lang w:val="fr-FR"/>
        </w:rPr>
      </w:pPr>
    </w:p>
    <w:p w14:paraId="4005B61A" w14:textId="086FB7F0" w:rsidR="00E27D28" w:rsidRPr="00E27D28" w:rsidRDefault="00E27D28" w:rsidP="003109A5">
      <w:pPr>
        <w:widowControl/>
        <w:ind w:left="851" w:hanging="794"/>
        <w:jc w:val="both"/>
        <w:rPr>
          <w:rFonts w:ascii="Arial" w:eastAsiaTheme="minorEastAsia" w:hAnsi="Arial" w:cs="Arial"/>
          <w:iCs/>
          <w:sz w:val="22"/>
          <w:szCs w:val="22"/>
          <w:lang w:val="fr-FR"/>
        </w:rPr>
      </w:pPr>
      <w:r w:rsidRPr="00E27D28">
        <w:rPr>
          <w:rFonts w:ascii="Arial" w:eastAsiaTheme="minorEastAsia" w:hAnsi="Arial" w:cs="Arial"/>
          <w:sz w:val="22"/>
          <w:szCs w:val="22"/>
          <w:lang w:val="fr-FR"/>
        </w:rPr>
        <w:t>13.BB</w:t>
      </w:r>
      <w:r w:rsidRPr="00E27D28">
        <w:rPr>
          <w:rFonts w:ascii="Arial" w:eastAsiaTheme="minorEastAsia" w:hAnsi="Arial" w:cs="Arial"/>
          <w:sz w:val="22"/>
          <w:szCs w:val="22"/>
          <w:lang w:val="fr-FR"/>
        </w:rPr>
        <w:tab/>
      </w:r>
      <w:r w:rsidRPr="00E27D28">
        <w:rPr>
          <w:rFonts w:ascii="Arial" w:eastAsiaTheme="minorEastAsia" w:hAnsi="Arial" w:cs="Arial"/>
          <w:iCs/>
          <w:sz w:val="22"/>
          <w:szCs w:val="22"/>
          <w:lang w:val="fr-FR"/>
        </w:rPr>
        <w:t>Le Conseil scientifique est invité</w:t>
      </w:r>
      <w:r w:rsidR="00B04B28">
        <w:rPr>
          <w:rFonts w:ascii="Arial" w:eastAsiaTheme="minorEastAsia" w:hAnsi="Arial" w:cs="Arial"/>
          <w:iCs/>
          <w:sz w:val="22"/>
          <w:szCs w:val="22"/>
          <w:lang w:val="fr-FR"/>
        </w:rPr>
        <w:t xml:space="preserve">, sous réserve des ressources disponibles, </w:t>
      </w:r>
      <w:r w:rsidRPr="00E27D28">
        <w:rPr>
          <w:rFonts w:ascii="Arial" w:eastAsiaTheme="minorEastAsia" w:hAnsi="Arial" w:cs="Arial"/>
          <w:iCs/>
          <w:sz w:val="22"/>
          <w:szCs w:val="22"/>
          <w:lang w:val="fr-FR"/>
        </w:rPr>
        <w:t xml:space="preserve">à créer un groupe de travail multilatéral sur les infrastructures linéaires, composé de parties prenantes ayant une expérience et des connaissances sur l’impact du développement des infrastructures linéaires sur les espèces migratrices et les options d’atténuation. Le Groupe de travail </w:t>
      </w:r>
      <w:r w:rsidR="00B04B28">
        <w:rPr>
          <w:rFonts w:ascii="Arial" w:eastAsiaTheme="minorEastAsia" w:hAnsi="Arial" w:cs="Arial"/>
          <w:iCs/>
          <w:sz w:val="22"/>
          <w:szCs w:val="22"/>
          <w:lang w:val="fr-FR"/>
        </w:rPr>
        <w:t>est prié de</w:t>
      </w:r>
      <w:r w:rsidRPr="00E27D28">
        <w:rPr>
          <w:rFonts w:ascii="Arial" w:eastAsiaTheme="minorEastAsia" w:hAnsi="Arial" w:cs="Arial"/>
          <w:iCs/>
          <w:sz w:val="22"/>
          <w:szCs w:val="22"/>
          <w:lang w:val="fr-FR"/>
        </w:rPr>
        <w:t xml:space="preserve"> :  </w:t>
      </w:r>
    </w:p>
    <w:p w14:paraId="3627D1E5" w14:textId="77777777" w:rsidR="00E27D28" w:rsidRPr="00E27D28" w:rsidRDefault="00E27D28" w:rsidP="009A196B">
      <w:pPr>
        <w:widowControl/>
        <w:ind w:left="1514"/>
        <w:contextualSpacing/>
        <w:jc w:val="both"/>
        <w:rPr>
          <w:rFonts w:ascii="Arial" w:eastAsiaTheme="minorEastAsia" w:hAnsi="Arial" w:cs="Arial"/>
          <w:iCs/>
          <w:sz w:val="22"/>
          <w:szCs w:val="22"/>
          <w:lang w:val="fr-FR"/>
        </w:rPr>
      </w:pPr>
    </w:p>
    <w:p w14:paraId="30AC1EDA" w14:textId="77777777" w:rsidR="00E27D28" w:rsidRPr="00E27D28" w:rsidRDefault="00E27D28" w:rsidP="003109A5">
      <w:pPr>
        <w:widowControl/>
        <w:numPr>
          <w:ilvl w:val="0"/>
          <w:numId w:val="1"/>
        </w:numPr>
        <w:autoSpaceDE/>
        <w:autoSpaceDN/>
        <w:ind w:left="1276" w:hanging="425"/>
        <w:contextualSpacing/>
        <w:jc w:val="both"/>
        <w:textAlignment w:val="auto"/>
        <w:rPr>
          <w:rFonts w:ascii="Arial" w:eastAsiaTheme="minorEastAsia" w:hAnsi="Arial" w:cs="Arial"/>
          <w:iCs/>
          <w:sz w:val="22"/>
          <w:szCs w:val="22"/>
          <w:lang w:val="fr-FR"/>
        </w:rPr>
      </w:pPr>
      <w:proofErr w:type="gramStart"/>
      <w:r w:rsidRPr="00E27D28">
        <w:rPr>
          <w:rFonts w:ascii="Arial" w:eastAsiaTheme="minorEastAsia" w:hAnsi="Arial" w:cs="Arial"/>
          <w:iCs/>
          <w:sz w:val="22"/>
          <w:szCs w:val="22"/>
          <w:lang w:val="fr-FR"/>
        </w:rPr>
        <w:t>examiner</w:t>
      </w:r>
      <w:proofErr w:type="gramEnd"/>
      <w:r w:rsidRPr="00E27D28">
        <w:rPr>
          <w:rFonts w:ascii="Arial" w:eastAsiaTheme="minorEastAsia" w:hAnsi="Arial" w:cs="Arial"/>
          <w:iCs/>
          <w:sz w:val="22"/>
          <w:szCs w:val="22"/>
          <w:lang w:val="fr-FR"/>
        </w:rPr>
        <w:t xml:space="preserve"> les informations disponibles concernant le développement des infrastructures linéaires et les impacts potentiels sur les espèces migratrices, la compilation des réponses reçues en vertu de la Décision 13.AA telle qu’elle a été préparée par le Secrétariat en vertu de la Décision 13.DD (a), et d’autres informations pertinentes ;</w:t>
      </w:r>
    </w:p>
    <w:p w14:paraId="562850CF" w14:textId="77777777" w:rsidR="00E27D28" w:rsidRPr="00E27D28" w:rsidRDefault="00E27D28" w:rsidP="003109A5">
      <w:pPr>
        <w:widowControl/>
        <w:ind w:left="1276" w:hanging="425"/>
        <w:contextualSpacing/>
        <w:jc w:val="both"/>
        <w:rPr>
          <w:rFonts w:ascii="Arial" w:eastAsiaTheme="minorEastAsia" w:hAnsi="Arial" w:cs="Arial"/>
          <w:iCs/>
          <w:sz w:val="22"/>
          <w:szCs w:val="22"/>
          <w:lang w:val="fr-FR"/>
        </w:rPr>
      </w:pPr>
    </w:p>
    <w:p w14:paraId="63B0F734" w14:textId="2A2B228F" w:rsidR="00E27D28" w:rsidRPr="00E27D28" w:rsidRDefault="00E27D28" w:rsidP="003109A5">
      <w:pPr>
        <w:widowControl/>
        <w:numPr>
          <w:ilvl w:val="0"/>
          <w:numId w:val="1"/>
        </w:numPr>
        <w:autoSpaceDE/>
        <w:autoSpaceDN/>
        <w:ind w:left="1276" w:hanging="425"/>
        <w:contextualSpacing/>
        <w:jc w:val="both"/>
        <w:textAlignment w:val="auto"/>
        <w:rPr>
          <w:rFonts w:ascii="Arial" w:eastAsiaTheme="minorEastAsia" w:hAnsi="Arial" w:cs="Arial"/>
          <w:iCs/>
          <w:sz w:val="22"/>
          <w:szCs w:val="22"/>
          <w:lang w:val="fr-FR"/>
        </w:rPr>
      </w:pPr>
      <w:r w:rsidRPr="00E27D28">
        <w:rPr>
          <w:rFonts w:ascii="Arial" w:eastAsiaTheme="minorEastAsia" w:hAnsi="Arial" w:cs="Arial"/>
          <w:iCs/>
          <w:sz w:val="22"/>
          <w:szCs w:val="22"/>
          <w:lang w:val="fr-FR"/>
        </w:rPr>
        <w:t xml:space="preserve">identifier les domaines dans lesquels une assistance supplémentaire est nécessaire pour améliorer la mise en œuvre du paragraphe 2 de la Résolution 7.2 (Rev.COP12), qui exhorte </w:t>
      </w:r>
      <w:r w:rsidRPr="00E27D28">
        <w:rPr>
          <w:rFonts w:ascii="Arial" w:eastAsiaTheme="minorEastAsia" w:hAnsi="Arial" w:cs="Arial"/>
          <w:i/>
          <w:iCs/>
          <w:sz w:val="22"/>
          <w:szCs w:val="22"/>
          <w:lang w:val="fr-FR"/>
        </w:rPr>
        <w:t>les Parties à inclure dans l’EIE et l’EES, chaque fois que cela est pertinent, une prise en considération aussi complète que possible des effets impliquant une gêne sérieuse à la migration en application de l’Article III (4) (b) de la Convention, des effets transfrontaliers sur les espèces migratrices et des impacts sur les schémas de migration ou sur les aires de migration</w:t>
      </w:r>
      <w:r w:rsidRPr="00E27D28">
        <w:rPr>
          <w:rFonts w:ascii="Arial" w:eastAsiaTheme="minorEastAsia" w:hAnsi="Arial" w:cs="Arial"/>
          <w:iCs/>
          <w:sz w:val="22"/>
          <w:szCs w:val="22"/>
          <w:lang w:val="fr-FR"/>
        </w:rPr>
        <w:t>;</w:t>
      </w:r>
    </w:p>
    <w:p w14:paraId="17087636" w14:textId="77777777" w:rsidR="00E27D28" w:rsidRPr="00E27D28" w:rsidRDefault="00E27D28" w:rsidP="003109A5">
      <w:pPr>
        <w:widowControl/>
        <w:ind w:left="1276" w:hanging="425"/>
        <w:contextualSpacing/>
        <w:jc w:val="both"/>
        <w:rPr>
          <w:rFonts w:ascii="Arial" w:eastAsiaTheme="minorEastAsia" w:hAnsi="Arial" w:cs="Arial"/>
          <w:iCs/>
          <w:sz w:val="22"/>
          <w:szCs w:val="22"/>
          <w:lang w:val="fr-FR"/>
        </w:rPr>
      </w:pPr>
    </w:p>
    <w:p w14:paraId="3AABB3CF" w14:textId="53D988B0" w:rsidR="00E27D28" w:rsidRPr="00E27D28" w:rsidRDefault="00E27D28" w:rsidP="003109A5">
      <w:pPr>
        <w:widowControl/>
        <w:numPr>
          <w:ilvl w:val="0"/>
          <w:numId w:val="1"/>
        </w:numPr>
        <w:autoSpaceDE/>
        <w:autoSpaceDN/>
        <w:ind w:left="1276" w:hanging="425"/>
        <w:contextualSpacing/>
        <w:jc w:val="both"/>
        <w:textAlignment w:val="auto"/>
        <w:rPr>
          <w:rFonts w:ascii="Arial" w:eastAsiaTheme="minorEastAsia" w:hAnsi="Arial" w:cs="Arial"/>
          <w:iCs/>
          <w:sz w:val="22"/>
          <w:szCs w:val="22"/>
          <w:lang w:val="fr-FR"/>
        </w:rPr>
      </w:pPr>
      <w:r w:rsidRPr="00E27D28">
        <w:rPr>
          <w:rFonts w:ascii="Arial" w:eastAsiaTheme="minorEastAsia" w:hAnsi="Arial" w:cs="Arial"/>
          <w:iCs/>
          <w:sz w:val="22"/>
          <w:szCs w:val="22"/>
          <w:lang w:val="fr-FR"/>
        </w:rPr>
        <w:t xml:space="preserve">élaborer un plan de travail et identifier les tâches prioritaires pour le groupe de travail sur la base des informations existantes, telles que les normes, lignes directrices et meilleures pratiques </w:t>
      </w:r>
      <w:r w:rsidRPr="00E27D28">
        <w:rPr>
          <w:rFonts w:ascii="Arial" w:eastAsiaTheme="minorEastAsia" w:hAnsi="Arial" w:cs="Arial"/>
          <w:sz w:val="22"/>
          <w:szCs w:val="22"/>
          <w:lang w:val="fr-FR"/>
        </w:rPr>
        <w:t>liées à la prise en compte de l’impact du développement des infrastructures linéaires</w:t>
      </w:r>
      <w:r w:rsidRPr="00E27D28">
        <w:rPr>
          <w:rFonts w:ascii="Arial" w:eastAsiaTheme="minorEastAsia" w:hAnsi="Arial" w:cs="Arial"/>
          <w:iCs/>
          <w:sz w:val="22"/>
          <w:szCs w:val="22"/>
          <w:lang w:val="fr-FR"/>
        </w:rPr>
        <w:t>, et l’examen de la compilation conformément au paragraphe (a);</w:t>
      </w:r>
      <w:r w:rsidRPr="00E27D28">
        <w:rPr>
          <w:rFonts w:ascii="Arial" w:eastAsiaTheme="minorEastAsia" w:hAnsi="Arial" w:cs="Arial"/>
          <w:sz w:val="22"/>
          <w:szCs w:val="22"/>
          <w:lang w:val="fr-FR"/>
        </w:rPr>
        <w:t xml:space="preserve"> </w:t>
      </w:r>
    </w:p>
    <w:p w14:paraId="681DDCE5" w14:textId="77777777" w:rsidR="00E27D28" w:rsidRPr="00E27D28" w:rsidRDefault="00E27D28" w:rsidP="003109A5">
      <w:pPr>
        <w:widowControl/>
        <w:ind w:left="1276" w:hanging="425"/>
        <w:jc w:val="both"/>
        <w:rPr>
          <w:rFonts w:ascii="Arial" w:eastAsiaTheme="minorEastAsia" w:hAnsi="Arial" w:cs="Arial"/>
          <w:iCs/>
          <w:sz w:val="22"/>
          <w:szCs w:val="22"/>
          <w:lang w:val="fr-FR"/>
        </w:rPr>
      </w:pPr>
    </w:p>
    <w:p w14:paraId="5CB02F15" w14:textId="77777777" w:rsidR="00E27D28" w:rsidRPr="00E27D28" w:rsidRDefault="00E27D28" w:rsidP="003109A5">
      <w:pPr>
        <w:widowControl/>
        <w:numPr>
          <w:ilvl w:val="0"/>
          <w:numId w:val="1"/>
        </w:numPr>
        <w:autoSpaceDE/>
        <w:autoSpaceDN/>
        <w:ind w:left="1276" w:hanging="425"/>
        <w:contextualSpacing/>
        <w:jc w:val="both"/>
        <w:textAlignment w:val="auto"/>
        <w:rPr>
          <w:rFonts w:ascii="Arial" w:eastAsiaTheme="minorEastAsia" w:hAnsi="Arial" w:cs="Arial"/>
          <w:iCs/>
          <w:sz w:val="22"/>
          <w:szCs w:val="22"/>
          <w:lang w:val="fr-FR"/>
        </w:rPr>
      </w:pPr>
      <w:r w:rsidRPr="00E27D28">
        <w:rPr>
          <w:rFonts w:ascii="Arial" w:eastAsiaTheme="minorEastAsia" w:hAnsi="Arial" w:cs="Arial"/>
          <w:iCs/>
          <w:sz w:val="22"/>
          <w:szCs w:val="22"/>
          <w:lang w:val="fr-FR"/>
        </w:rPr>
        <w:t>fournir des recommandations pour l’orientation future des travaux au titre de la Convention afin d’aider les Parties à faire face à l’impact des infrastructures linéaires sur les espèces migratrices.</w:t>
      </w:r>
    </w:p>
    <w:p w14:paraId="35E47FFF" w14:textId="3625383A" w:rsidR="003109A5" w:rsidRDefault="003109A5" w:rsidP="009A196B">
      <w:pPr>
        <w:widowControl/>
        <w:jc w:val="both"/>
        <w:rPr>
          <w:rFonts w:ascii="Arial" w:eastAsiaTheme="minorEastAsia" w:hAnsi="Arial" w:cs="Arial"/>
          <w:iCs/>
          <w:sz w:val="22"/>
          <w:szCs w:val="22"/>
          <w:lang w:val="fr-FR"/>
        </w:rPr>
      </w:pPr>
      <w:r>
        <w:rPr>
          <w:rFonts w:ascii="Arial" w:eastAsiaTheme="minorEastAsia" w:hAnsi="Arial" w:cs="Arial"/>
          <w:iCs/>
          <w:sz w:val="22"/>
          <w:szCs w:val="22"/>
          <w:lang w:val="fr-FR"/>
        </w:rPr>
        <w:br w:type="page"/>
      </w:r>
    </w:p>
    <w:p w14:paraId="4CEACB3B" w14:textId="77777777" w:rsidR="00E27D28" w:rsidRPr="00E27D28" w:rsidRDefault="00E27D28" w:rsidP="009A196B">
      <w:pPr>
        <w:widowControl/>
        <w:jc w:val="both"/>
        <w:rPr>
          <w:rFonts w:ascii="Arial" w:eastAsiaTheme="minorEastAsia" w:hAnsi="Arial" w:cs="Arial"/>
          <w:iCs/>
          <w:sz w:val="22"/>
          <w:szCs w:val="22"/>
          <w:lang w:val="fr-FR"/>
        </w:rPr>
      </w:pPr>
    </w:p>
    <w:p w14:paraId="1A0F216C" w14:textId="40C8A225" w:rsidR="00E27D28" w:rsidRPr="00E27D28" w:rsidRDefault="00E27D28" w:rsidP="003109A5">
      <w:pPr>
        <w:widowControl/>
        <w:ind w:left="851" w:hanging="851"/>
        <w:jc w:val="both"/>
        <w:rPr>
          <w:rFonts w:ascii="Arial" w:eastAsiaTheme="minorEastAsia" w:hAnsi="Arial" w:cs="Arial"/>
          <w:sz w:val="22"/>
          <w:szCs w:val="22"/>
          <w:lang w:val="fr-FR"/>
        </w:rPr>
      </w:pPr>
      <w:r w:rsidRPr="00E27D28">
        <w:rPr>
          <w:rFonts w:ascii="Arial" w:eastAsiaTheme="minorEastAsia" w:hAnsi="Arial" w:cs="Arial"/>
          <w:sz w:val="22"/>
          <w:szCs w:val="22"/>
          <w:lang w:val="fr-FR"/>
        </w:rPr>
        <w:t xml:space="preserve">13.CC </w:t>
      </w:r>
      <w:r w:rsidRPr="00E27D28">
        <w:rPr>
          <w:rFonts w:ascii="Arial" w:eastAsiaTheme="minorEastAsia" w:hAnsi="Arial" w:cs="Arial"/>
          <w:sz w:val="22"/>
          <w:szCs w:val="22"/>
          <w:lang w:val="fr-FR"/>
        </w:rPr>
        <w:tab/>
        <w:t>Le Conseil scientifique</w:t>
      </w:r>
      <w:r w:rsidR="00B04B28">
        <w:rPr>
          <w:rFonts w:ascii="Arial" w:eastAsiaTheme="minorEastAsia" w:hAnsi="Arial" w:cs="Arial"/>
          <w:sz w:val="22"/>
          <w:szCs w:val="22"/>
          <w:lang w:val="fr-FR"/>
        </w:rPr>
        <w:t xml:space="preserve">, </w:t>
      </w:r>
      <w:r w:rsidR="00B04B28">
        <w:rPr>
          <w:rFonts w:ascii="Arial" w:eastAsiaTheme="minorEastAsia" w:hAnsi="Arial" w:cs="Arial"/>
          <w:iCs/>
          <w:sz w:val="22"/>
          <w:szCs w:val="22"/>
          <w:lang w:val="fr-FR"/>
        </w:rPr>
        <w:t>sous réserve des ressources disponibles,</w:t>
      </w:r>
      <w:r w:rsidRPr="00E27D28">
        <w:rPr>
          <w:rFonts w:ascii="Arial" w:eastAsiaTheme="minorEastAsia" w:hAnsi="Arial" w:cs="Arial"/>
          <w:sz w:val="22"/>
          <w:szCs w:val="22"/>
          <w:lang w:val="fr-FR"/>
        </w:rPr>
        <w:t xml:space="preserve"> est en outre invité à :</w:t>
      </w:r>
    </w:p>
    <w:p w14:paraId="5181E029" w14:textId="77777777" w:rsidR="00E27D28" w:rsidRPr="00E27D28" w:rsidRDefault="00E27D28" w:rsidP="009A196B">
      <w:pPr>
        <w:widowControl/>
        <w:ind w:left="794" w:hanging="794"/>
        <w:jc w:val="both"/>
        <w:rPr>
          <w:rFonts w:ascii="Arial" w:eastAsiaTheme="minorEastAsia" w:hAnsi="Arial" w:cs="Arial"/>
          <w:sz w:val="22"/>
          <w:szCs w:val="22"/>
          <w:lang w:val="fr-FR"/>
        </w:rPr>
      </w:pPr>
    </w:p>
    <w:p w14:paraId="7E815A02" w14:textId="2373BD1F" w:rsidR="00E27D28" w:rsidRPr="00E27D28" w:rsidRDefault="00E27D28" w:rsidP="003109A5">
      <w:pPr>
        <w:widowControl/>
        <w:numPr>
          <w:ilvl w:val="0"/>
          <w:numId w:val="2"/>
        </w:numPr>
        <w:adjustRightInd w:val="0"/>
        <w:ind w:left="1276" w:hanging="426"/>
        <w:jc w:val="both"/>
        <w:textAlignment w:val="auto"/>
        <w:rPr>
          <w:rFonts w:ascii="Arial" w:eastAsiaTheme="minorEastAsia" w:hAnsi="Arial" w:cs="Arial"/>
          <w:sz w:val="22"/>
          <w:szCs w:val="22"/>
          <w:lang w:val="fr-FR"/>
        </w:rPr>
      </w:pPr>
      <w:r w:rsidRPr="00E27D28">
        <w:rPr>
          <w:rFonts w:ascii="Arial" w:eastAsiaTheme="minorEastAsia" w:hAnsi="Arial" w:cs="Arial"/>
          <w:sz w:val="22"/>
          <w:szCs w:val="22"/>
          <w:lang w:val="fr-FR"/>
        </w:rPr>
        <w:t>identifier les types d’infrastructures qui n’ont pas été abordées dans le cadre de la CMS et qui sont particulièrement pertinentes pour la conservation des espèces inscrites à la CMS, fournir des conseils sur les mesures possibles qui pourraient être prises pour remédier à ces infrastructures et faire rapport des résultats à la 14</w:t>
      </w:r>
      <w:r w:rsidRPr="00E27D28">
        <w:rPr>
          <w:rFonts w:ascii="Arial" w:eastAsiaTheme="minorEastAsia" w:hAnsi="Arial" w:cs="Arial"/>
          <w:sz w:val="22"/>
          <w:szCs w:val="22"/>
          <w:vertAlign w:val="superscript"/>
          <w:lang w:val="fr-FR"/>
        </w:rPr>
        <w:t>e</w:t>
      </w:r>
      <w:r w:rsidRPr="00E27D28">
        <w:rPr>
          <w:rFonts w:ascii="Arial" w:eastAsiaTheme="minorEastAsia" w:hAnsi="Arial" w:cs="Arial"/>
          <w:sz w:val="22"/>
          <w:szCs w:val="22"/>
          <w:lang w:val="fr-FR"/>
        </w:rPr>
        <w:t xml:space="preserve"> réunion de la Conférence des Parties; </w:t>
      </w:r>
    </w:p>
    <w:p w14:paraId="43670C1E" w14:textId="77777777" w:rsidR="00E27D28" w:rsidRPr="00E27D28" w:rsidRDefault="00E27D28" w:rsidP="003109A5">
      <w:pPr>
        <w:widowControl/>
        <w:adjustRightInd w:val="0"/>
        <w:ind w:left="1276" w:hanging="426"/>
        <w:jc w:val="both"/>
        <w:rPr>
          <w:rFonts w:ascii="Arial" w:eastAsiaTheme="minorEastAsia" w:hAnsi="Arial" w:cs="Arial"/>
          <w:sz w:val="22"/>
          <w:szCs w:val="22"/>
          <w:lang w:val="fr-FR"/>
        </w:rPr>
      </w:pPr>
    </w:p>
    <w:p w14:paraId="6348AB72" w14:textId="77777777" w:rsidR="00E27D28" w:rsidRPr="00E27D28" w:rsidRDefault="00E27D28" w:rsidP="003109A5">
      <w:pPr>
        <w:widowControl/>
        <w:numPr>
          <w:ilvl w:val="0"/>
          <w:numId w:val="2"/>
        </w:numPr>
        <w:adjustRightInd w:val="0"/>
        <w:ind w:left="1276" w:hanging="426"/>
        <w:jc w:val="both"/>
        <w:textAlignment w:val="auto"/>
        <w:rPr>
          <w:rFonts w:ascii="Arial" w:eastAsiaTheme="minorEastAsia" w:hAnsi="Arial" w:cs="Arial"/>
          <w:sz w:val="22"/>
          <w:szCs w:val="22"/>
          <w:lang w:val="fr-FR"/>
        </w:rPr>
      </w:pPr>
      <w:r w:rsidRPr="00E27D28">
        <w:rPr>
          <w:rFonts w:ascii="Arial" w:eastAsiaTheme="minorEastAsia" w:hAnsi="Arial" w:cs="Arial"/>
          <w:sz w:val="22"/>
          <w:szCs w:val="22"/>
          <w:lang w:val="fr-FR"/>
        </w:rPr>
        <w:t>examiner les résultats du groupe de travail sur les infrastructures linéaires et faire des recommandations à la 14</w:t>
      </w:r>
      <w:r w:rsidRPr="00E27D28">
        <w:rPr>
          <w:rFonts w:ascii="Arial" w:eastAsiaTheme="minorEastAsia" w:hAnsi="Arial" w:cs="Arial"/>
          <w:sz w:val="22"/>
          <w:szCs w:val="22"/>
          <w:vertAlign w:val="superscript"/>
          <w:lang w:val="fr-FR"/>
        </w:rPr>
        <w:t>e</w:t>
      </w:r>
      <w:r w:rsidRPr="00E27D28">
        <w:rPr>
          <w:rFonts w:ascii="Arial" w:eastAsiaTheme="minorEastAsia" w:hAnsi="Arial" w:cs="Arial"/>
          <w:sz w:val="22"/>
          <w:szCs w:val="22"/>
          <w:lang w:val="fr-FR"/>
        </w:rPr>
        <w:t xml:space="preserve"> réunion de la Conférence des Parties. </w:t>
      </w:r>
    </w:p>
    <w:p w14:paraId="75E6185E" w14:textId="77777777" w:rsidR="00E27D28" w:rsidRPr="00E27D28" w:rsidRDefault="00E27D28" w:rsidP="003109A5">
      <w:pPr>
        <w:widowControl/>
        <w:ind w:left="1276" w:hanging="426"/>
        <w:jc w:val="both"/>
        <w:rPr>
          <w:rFonts w:ascii="Arial" w:eastAsiaTheme="minorEastAsia" w:hAnsi="Arial" w:cs="Arial"/>
          <w:iCs/>
          <w:sz w:val="22"/>
          <w:szCs w:val="22"/>
          <w:lang w:val="fr-FR"/>
        </w:rPr>
      </w:pPr>
    </w:p>
    <w:p w14:paraId="1741B3D4" w14:textId="5D2A28A0" w:rsidR="00E27D28" w:rsidRPr="00E27D28" w:rsidRDefault="00E27D28" w:rsidP="009A196B">
      <w:pPr>
        <w:widowControl/>
        <w:jc w:val="both"/>
        <w:rPr>
          <w:rFonts w:ascii="Arial" w:eastAsiaTheme="minorEastAsia" w:hAnsi="Arial" w:cs="Arial"/>
          <w:b/>
          <w:i/>
          <w:sz w:val="22"/>
          <w:szCs w:val="22"/>
          <w:lang w:val="fr-FR"/>
        </w:rPr>
      </w:pPr>
      <w:r>
        <w:rPr>
          <w:rFonts w:ascii="Arial" w:eastAsiaTheme="minorEastAsia" w:hAnsi="Arial" w:cs="Arial"/>
          <w:b/>
          <w:i/>
          <w:sz w:val="22"/>
          <w:szCs w:val="22"/>
          <w:lang w:val="fr-FR"/>
        </w:rPr>
        <w:t>Adressé au</w:t>
      </w:r>
      <w:r w:rsidRPr="00E27D28">
        <w:rPr>
          <w:rFonts w:ascii="Arial" w:eastAsiaTheme="minorEastAsia" w:hAnsi="Arial" w:cs="Arial"/>
          <w:b/>
          <w:i/>
          <w:sz w:val="22"/>
          <w:szCs w:val="22"/>
          <w:lang w:val="fr-FR"/>
        </w:rPr>
        <w:t xml:space="preserve"> Secrétariat </w:t>
      </w:r>
    </w:p>
    <w:p w14:paraId="4E9C9239" w14:textId="77777777" w:rsidR="00E27D28" w:rsidRPr="00E27D28" w:rsidRDefault="00E27D28" w:rsidP="009A196B">
      <w:pPr>
        <w:widowControl/>
        <w:jc w:val="both"/>
        <w:rPr>
          <w:rFonts w:ascii="Arial" w:eastAsiaTheme="minorEastAsia" w:hAnsi="Arial" w:cs="Arial"/>
          <w:sz w:val="22"/>
          <w:szCs w:val="22"/>
          <w:lang w:val="fr-FR"/>
        </w:rPr>
      </w:pPr>
    </w:p>
    <w:p w14:paraId="67A2761D" w14:textId="62399704" w:rsidR="00E27D28" w:rsidRPr="00E27D28" w:rsidRDefault="00E27D28" w:rsidP="009A196B">
      <w:pPr>
        <w:widowControl/>
        <w:ind w:left="851" w:hanging="851"/>
        <w:jc w:val="both"/>
        <w:rPr>
          <w:rFonts w:ascii="Arial" w:eastAsiaTheme="minorEastAsia" w:hAnsi="Arial" w:cs="Arial"/>
          <w:sz w:val="22"/>
          <w:szCs w:val="22"/>
          <w:lang w:val="fr-FR"/>
        </w:rPr>
      </w:pPr>
      <w:r w:rsidRPr="00E27D28">
        <w:rPr>
          <w:rFonts w:ascii="Arial" w:eastAsiaTheme="minorEastAsia" w:hAnsi="Arial" w:cs="Arial"/>
          <w:sz w:val="22"/>
          <w:szCs w:val="22"/>
          <w:lang w:val="fr-FR"/>
        </w:rPr>
        <w:t xml:space="preserve">13.DD </w:t>
      </w:r>
      <w:r w:rsidRPr="00E27D28">
        <w:rPr>
          <w:rFonts w:ascii="Arial" w:eastAsiaTheme="minorEastAsia" w:hAnsi="Arial" w:cs="Arial"/>
          <w:sz w:val="22"/>
          <w:szCs w:val="22"/>
          <w:lang w:val="fr-FR"/>
        </w:rPr>
        <w:tab/>
        <w:t xml:space="preserve">Le Secrétariat </w:t>
      </w:r>
      <w:r w:rsidR="00B04B28">
        <w:rPr>
          <w:rFonts w:ascii="Arial" w:eastAsiaTheme="minorEastAsia" w:hAnsi="Arial" w:cs="Arial"/>
          <w:sz w:val="22"/>
          <w:szCs w:val="22"/>
          <w:lang w:val="fr-FR"/>
        </w:rPr>
        <w:t>est invité à</w:t>
      </w:r>
      <w:r w:rsidRPr="00E27D28">
        <w:rPr>
          <w:rFonts w:ascii="Arial" w:eastAsiaTheme="minorEastAsia" w:hAnsi="Arial" w:cs="Arial"/>
          <w:sz w:val="22"/>
          <w:szCs w:val="22"/>
          <w:lang w:val="fr-FR"/>
        </w:rPr>
        <w:t xml:space="preserve"> :  </w:t>
      </w:r>
    </w:p>
    <w:p w14:paraId="5E9A1578" w14:textId="77777777" w:rsidR="00E27D28" w:rsidRPr="00E27D28" w:rsidRDefault="00E27D28" w:rsidP="009A196B">
      <w:pPr>
        <w:widowControl/>
        <w:adjustRightInd w:val="0"/>
        <w:jc w:val="both"/>
        <w:rPr>
          <w:rFonts w:ascii="Arial" w:eastAsiaTheme="minorEastAsia" w:hAnsi="Arial" w:cs="Arial"/>
          <w:sz w:val="22"/>
          <w:szCs w:val="22"/>
          <w:lang w:val="fr-FR"/>
        </w:rPr>
      </w:pPr>
    </w:p>
    <w:p w14:paraId="58367BC0" w14:textId="771D45EB" w:rsidR="00E27D28" w:rsidRPr="00E27D28" w:rsidRDefault="009A196B" w:rsidP="003109A5">
      <w:pPr>
        <w:widowControl/>
        <w:numPr>
          <w:ilvl w:val="0"/>
          <w:numId w:val="3"/>
        </w:numPr>
        <w:adjustRightInd w:val="0"/>
        <w:ind w:left="1276" w:hanging="425"/>
        <w:jc w:val="both"/>
        <w:textAlignment w:val="auto"/>
        <w:rPr>
          <w:rFonts w:ascii="Arial" w:eastAsiaTheme="minorEastAsia" w:hAnsi="Arial" w:cs="Arial"/>
          <w:sz w:val="22"/>
          <w:szCs w:val="22"/>
          <w:lang w:val="fr-FR"/>
        </w:rPr>
      </w:pPr>
      <w:r w:rsidRPr="009A196B">
        <w:rPr>
          <w:rFonts w:ascii="Arial" w:eastAsiaTheme="minorEastAsia" w:hAnsi="Arial" w:cs="Arial"/>
          <w:sz w:val="22"/>
          <w:szCs w:val="22"/>
          <w:lang w:val="fr-FR"/>
        </w:rPr>
        <w:t xml:space="preserve">identifier les lacunes en matière d'information concernant la mise en œuvre de la Résolution 7.2 (Rev.COP12) et, sur la base des lacunes identifiées, envisager d'améliorer les orientations </w:t>
      </w:r>
      <w:r>
        <w:rPr>
          <w:rFonts w:ascii="Arial" w:eastAsiaTheme="minorEastAsia" w:hAnsi="Arial" w:cs="Arial"/>
          <w:sz w:val="22"/>
          <w:szCs w:val="22"/>
          <w:lang w:val="fr-FR"/>
        </w:rPr>
        <w:t xml:space="preserve">relatives à l’élaboration </w:t>
      </w:r>
      <w:r w:rsidRPr="009A196B">
        <w:rPr>
          <w:rFonts w:ascii="Arial" w:eastAsiaTheme="minorEastAsia" w:hAnsi="Arial" w:cs="Arial"/>
          <w:sz w:val="22"/>
          <w:szCs w:val="22"/>
          <w:lang w:val="fr-FR"/>
        </w:rPr>
        <w:t xml:space="preserve">des rapports nationaux afin d'améliorer la collecte d'informations concernant le développement des infrastructures pour examen par le Comité permanent dans le cadre de la (des) modification(s) </w:t>
      </w:r>
      <w:r>
        <w:rPr>
          <w:rFonts w:ascii="Arial" w:eastAsiaTheme="minorEastAsia" w:hAnsi="Arial" w:cs="Arial"/>
          <w:sz w:val="22"/>
          <w:szCs w:val="22"/>
          <w:lang w:val="fr-FR"/>
        </w:rPr>
        <w:t>à apporter à</w:t>
      </w:r>
      <w:r w:rsidRPr="009A196B">
        <w:rPr>
          <w:rFonts w:ascii="Arial" w:eastAsiaTheme="minorEastAsia" w:hAnsi="Arial" w:cs="Arial"/>
          <w:sz w:val="22"/>
          <w:szCs w:val="22"/>
          <w:lang w:val="fr-FR"/>
        </w:rPr>
        <w:t xml:space="preserve"> la présentation des rapports nationaux au titre de la Décision 13.XX</w:t>
      </w:r>
      <w:r>
        <w:rPr>
          <w:rFonts w:ascii="Arial" w:eastAsiaTheme="minorEastAsia" w:hAnsi="Arial" w:cs="Arial"/>
          <w:sz w:val="22"/>
          <w:szCs w:val="22"/>
          <w:lang w:val="fr-FR"/>
        </w:rPr>
        <w:t>;</w:t>
      </w:r>
    </w:p>
    <w:p w14:paraId="3D3668D0" w14:textId="77777777" w:rsidR="00E27D28" w:rsidRPr="00E27D28" w:rsidRDefault="00E27D28" w:rsidP="003109A5">
      <w:pPr>
        <w:widowControl/>
        <w:adjustRightInd w:val="0"/>
        <w:ind w:left="1276" w:hanging="425"/>
        <w:jc w:val="both"/>
        <w:rPr>
          <w:rFonts w:ascii="Arial" w:eastAsiaTheme="minorEastAsia" w:hAnsi="Arial" w:cs="Arial"/>
          <w:sz w:val="22"/>
          <w:szCs w:val="22"/>
          <w:lang w:val="fr-FR"/>
        </w:rPr>
      </w:pPr>
    </w:p>
    <w:p w14:paraId="6B5FDB43" w14:textId="39103EAF" w:rsidR="00E27D28" w:rsidRPr="00E27D28" w:rsidRDefault="00E27D28" w:rsidP="003109A5">
      <w:pPr>
        <w:widowControl/>
        <w:numPr>
          <w:ilvl w:val="0"/>
          <w:numId w:val="3"/>
        </w:numPr>
        <w:adjustRightInd w:val="0"/>
        <w:ind w:left="1276" w:hanging="425"/>
        <w:jc w:val="both"/>
        <w:textAlignment w:val="auto"/>
        <w:rPr>
          <w:rFonts w:ascii="Arial" w:eastAsiaTheme="minorEastAsia" w:hAnsi="Arial" w:cs="Arial"/>
          <w:sz w:val="22"/>
          <w:szCs w:val="22"/>
          <w:lang w:val="fr-FR"/>
        </w:rPr>
      </w:pPr>
      <w:r w:rsidRPr="00E27D28">
        <w:rPr>
          <w:rFonts w:ascii="Arial" w:eastAsiaTheme="minorEastAsia" w:hAnsi="Arial" w:cs="Arial"/>
          <w:sz w:val="22"/>
          <w:szCs w:val="22"/>
          <w:lang w:val="fr-FR"/>
        </w:rPr>
        <w:t>compiler les normes, lignes directrices et meilleures pratiques existantes en matière de gestion de l’impact du développement des infrastructures linéaires et les rendre disponibles en ligne;</w:t>
      </w:r>
    </w:p>
    <w:p w14:paraId="576B822A" w14:textId="77777777" w:rsidR="00E27D28" w:rsidRPr="00E27D28" w:rsidRDefault="00E27D28" w:rsidP="003109A5">
      <w:pPr>
        <w:widowControl/>
        <w:adjustRightInd w:val="0"/>
        <w:ind w:left="1276" w:hanging="425"/>
        <w:jc w:val="both"/>
        <w:rPr>
          <w:rFonts w:ascii="Arial" w:eastAsiaTheme="minorEastAsia" w:hAnsi="Arial" w:cs="Arial"/>
          <w:sz w:val="22"/>
          <w:szCs w:val="22"/>
          <w:lang w:val="fr-FR"/>
        </w:rPr>
      </w:pPr>
    </w:p>
    <w:p w14:paraId="526D6397" w14:textId="3F419238" w:rsidR="00E27D28" w:rsidRPr="00E27D28" w:rsidRDefault="00E27D28" w:rsidP="003109A5">
      <w:pPr>
        <w:widowControl/>
        <w:numPr>
          <w:ilvl w:val="0"/>
          <w:numId w:val="3"/>
        </w:numPr>
        <w:adjustRightInd w:val="0"/>
        <w:ind w:left="1276" w:hanging="425"/>
        <w:jc w:val="both"/>
        <w:textAlignment w:val="auto"/>
        <w:rPr>
          <w:rFonts w:ascii="Arial" w:eastAsiaTheme="minorEastAsia" w:hAnsi="Arial" w:cs="Arial"/>
          <w:sz w:val="22"/>
          <w:szCs w:val="22"/>
          <w:lang w:val="fr-FR"/>
        </w:rPr>
      </w:pPr>
      <w:r w:rsidRPr="00E27D28">
        <w:rPr>
          <w:rFonts w:ascii="Arial" w:eastAsiaTheme="minorEastAsia" w:hAnsi="Arial" w:cs="Arial"/>
          <w:sz w:val="22"/>
          <w:szCs w:val="22"/>
          <w:lang w:val="fr-FR"/>
        </w:rPr>
        <w:t xml:space="preserve">sous réserve de la disponibilité des fonds, convoquer au moins une réunion pour aider le groupe de travail à mettre en œuvre la Décision 13.BB; </w:t>
      </w:r>
    </w:p>
    <w:p w14:paraId="49928BFE" w14:textId="77777777" w:rsidR="00E27D28" w:rsidRPr="00E27D28" w:rsidRDefault="00E27D28" w:rsidP="003109A5">
      <w:pPr>
        <w:widowControl/>
        <w:adjustRightInd w:val="0"/>
        <w:ind w:left="1276" w:hanging="425"/>
        <w:jc w:val="both"/>
        <w:rPr>
          <w:rFonts w:ascii="Arial" w:eastAsiaTheme="minorEastAsia" w:hAnsi="Arial" w:cs="Arial"/>
          <w:sz w:val="22"/>
          <w:szCs w:val="22"/>
          <w:lang w:val="fr-FR"/>
        </w:rPr>
      </w:pPr>
    </w:p>
    <w:p w14:paraId="16117DF2" w14:textId="77777777" w:rsidR="00E27D28" w:rsidRPr="00E27D28" w:rsidRDefault="00E27D28" w:rsidP="003109A5">
      <w:pPr>
        <w:widowControl/>
        <w:numPr>
          <w:ilvl w:val="0"/>
          <w:numId w:val="3"/>
        </w:numPr>
        <w:adjustRightInd w:val="0"/>
        <w:ind w:left="1276" w:hanging="425"/>
        <w:jc w:val="both"/>
        <w:textAlignment w:val="auto"/>
        <w:rPr>
          <w:rFonts w:ascii="Arial" w:eastAsiaTheme="minorEastAsia" w:hAnsi="Arial" w:cs="Arial"/>
          <w:sz w:val="22"/>
          <w:szCs w:val="22"/>
          <w:lang w:val="fr-FR"/>
        </w:rPr>
      </w:pPr>
      <w:r w:rsidRPr="00E27D28">
        <w:rPr>
          <w:rFonts w:ascii="Arial" w:eastAsiaTheme="minorEastAsia" w:hAnsi="Arial" w:cs="Arial"/>
          <w:sz w:val="22"/>
          <w:szCs w:val="22"/>
          <w:lang w:val="fr-FR"/>
        </w:rPr>
        <w:t>assurer la liaison avec le Programme des Nations Unies pour l’environnement, la Convention sur la diversité biologique, l’Association internationale pour l’analyse d’impact, la Banque mondiale et d’autres organisations internationales et régionales pertinentes, les accords environnementaux multilatéraux, le secteur privé, les banques de développement, les institutions financières, les donateurs, les organisations gouvernementales et les établissements universitaires, le cas échéant, pour soutenir le fonctionnement du groupe de travail et aider les Parties à faire face aux impacts des infrastructures linéaires et autres sur les espèces migratrices, par exemple par le biais d’activités conjointes de renforcement des capacités.</w:t>
      </w:r>
    </w:p>
    <w:p w14:paraId="38196B41" w14:textId="77777777" w:rsidR="00E27D28" w:rsidRPr="00E27D28" w:rsidRDefault="00E27D28" w:rsidP="009A196B">
      <w:pPr>
        <w:widowControl/>
        <w:jc w:val="both"/>
        <w:rPr>
          <w:rFonts w:ascii="Arial" w:eastAsiaTheme="minorEastAsia" w:hAnsi="Arial" w:cs="Arial"/>
          <w:sz w:val="22"/>
          <w:szCs w:val="22"/>
          <w:lang w:val="fr-FR"/>
        </w:rPr>
      </w:pPr>
    </w:p>
    <w:p w14:paraId="42347B3F" w14:textId="2B6728F5" w:rsidR="00E27D28" w:rsidRPr="00E27D28" w:rsidRDefault="00E27D28" w:rsidP="009A196B">
      <w:pPr>
        <w:widowControl/>
        <w:jc w:val="both"/>
        <w:rPr>
          <w:rFonts w:ascii="Arial" w:eastAsiaTheme="minorEastAsia" w:hAnsi="Arial" w:cs="Arial"/>
          <w:b/>
          <w:i/>
          <w:sz w:val="22"/>
          <w:szCs w:val="22"/>
          <w:lang w:val="fr-FR"/>
        </w:rPr>
      </w:pPr>
      <w:r>
        <w:rPr>
          <w:rFonts w:ascii="Arial" w:eastAsiaTheme="minorEastAsia" w:hAnsi="Arial" w:cs="Arial"/>
          <w:b/>
          <w:i/>
          <w:sz w:val="22"/>
          <w:szCs w:val="22"/>
          <w:lang w:val="fr-FR"/>
        </w:rPr>
        <w:t>Adressé aux</w:t>
      </w:r>
      <w:r w:rsidRPr="00E27D28">
        <w:rPr>
          <w:rFonts w:ascii="Arial" w:eastAsiaTheme="minorEastAsia" w:hAnsi="Arial" w:cs="Arial"/>
          <w:b/>
          <w:i/>
          <w:sz w:val="22"/>
          <w:szCs w:val="22"/>
          <w:lang w:val="fr-FR"/>
        </w:rPr>
        <w:t xml:space="preserve"> Parties, organisations intergouvernementales et non gouvernementales, et </w:t>
      </w:r>
      <w:r>
        <w:rPr>
          <w:rFonts w:ascii="Arial" w:eastAsiaTheme="minorEastAsia" w:hAnsi="Arial" w:cs="Arial"/>
          <w:b/>
          <w:i/>
          <w:sz w:val="22"/>
          <w:szCs w:val="22"/>
          <w:lang w:val="fr-FR"/>
        </w:rPr>
        <w:t>aux</w:t>
      </w:r>
      <w:r w:rsidRPr="00E27D28">
        <w:rPr>
          <w:rFonts w:ascii="Arial" w:eastAsiaTheme="minorEastAsia" w:hAnsi="Arial" w:cs="Arial"/>
          <w:b/>
          <w:i/>
          <w:sz w:val="22"/>
          <w:szCs w:val="22"/>
          <w:lang w:val="fr-FR"/>
        </w:rPr>
        <w:t xml:space="preserve"> autres parties prenantes concernées </w:t>
      </w:r>
    </w:p>
    <w:p w14:paraId="72690988" w14:textId="77777777" w:rsidR="00E27D28" w:rsidRPr="00E27D28" w:rsidRDefault="00E27D28" w:rsidP="009A196B">
      <w:pPr>
        <w:widowControl/>
        <w:jc w:val="both"/>
        <w:rPr>
          <w:rFonts w:ascii="Arial" w:eastAsiaTheme="minorEastAsia" w:hAnsi="Arial" w:cs="Arial"/>
          <w:b/>
          <w:i/>
          <w:sz w:val="22"/>
          <w:szCs w:val="22"/>
          <w:lang w:val="fr-FR"/>
        </w:rPr>
      </w:pPr>
    </w:p>
    <w:p w14:paraId="429FAAF4" w14:textId="77777777" w:rsidR="00E27D28" w:rsidRPr="00E27D28" w:rsidRDefault="00E27D28" w:rsidP="009A196B">
      <w:pPr>
        <w:widowControl/>
        <w:ind w:left="851" w:hanging="851"/>
        <w:jc w:val="both"/>
        <w:rPr>
          <w:rFonts w:ascii="Arial" w:eastAsiaTheme="minorEastAsia" w:hAnsi="Arial" w:cs="Arial"/>
          <w:sz w:val="22"/>
          <w:szCs w:val="22"/>
          <w:lang w:val="fr-FR"/>
        </w:rPr>
      </w:pPr>
      <w:r w:rsidRPr="00E27D28">
        <w:rPr>
          <w:rFonts w:ascii="Arial" w:eastAsiaTheme="minorEastAsia" w:hAnsi="Arial" w:cs="Arial"/>
          <w:sz w:val="22"/>
          <w:szCs w:val="22"/>
          <w:lang w:val="fr-FR"/>
        </w:rPr>
        <w:t xml:space="preserve">13.EE </w:t>
      </w:r>
      <w:r w:rsidRPr="00E27D28">
        <w:rPr>
          <w:rFonts w:ascii="Arial" w:eastAsiaTheme="minorEastAsia" w:hAnsi="Arial" w:cs="Arial"/>
          <w:sz w:val="22"/>
          <w:szCs w:val="22"/>
          <w:lang w:val="fr-FR"/>
        </w:rPr>
        <w:tab/>
        <w:t>Les Parties, les organisations intergouvernementales et non gouvernementales, ainsi que les autres parties prenantes concernées, sont encouragées à soutenir le Conseil scientifique dans la mise en œuvre de la Décision 13. BB en fournissant des intrants technique</w:t>
      </w:r>
      <w:bookmarkEnd w:id="0"/>
      <w:r w:rsidRPr="00E27D28">
        <w:rPr>
          <w:rFonts w:ascii="Arial" w:eastAsiaTheme="minorEastAsia" w:hAnsi="Arial" w:cs="Arial"/>
          <w:sz w:val="22"/>
          <w:szCs w:val="22"/>
          <w:lang w:val="fr-FR"/>
        </w:rPr>
        <w:t>s ainsi que des ressources financières.</w:t>
      </w:r>
    </w:p>
    <w:p w14:paraId="026E38EC" w14:textId="77777777" w:rsidR="00E27D28" w:rsidRPr="00E27D28" w:rsidRDefault="00E27D28" w:rsidP="009A196B">
      <w:pPr>
        <w:widowControl/>
        <w:jc w:val="right"/>
        <w:rPr>
          <w:rFonts w:ascii="Arial" w:eastAsiaTheme="minorEastAsia" w:hAnsi="Arial" w:cs="Arial"/>
          <w:sz w:val="22"/>
          <w:szCs w:val="22"/>
          <w:lang w:val="fr-FR"/>
        </w:rPr>
      </w:pPr>
    </w:p>
    <w:p w14:paraId="598A66E3" w14:textId="77777777" w:rsidR="00E27D28" w:rsidRPr="00E27D28" w:rsidRDefault="00E27D28" w:rsidP="009A196B">
      <w:pPr>
        <w:widowControl/>
        <w:jc w:val="both"/>
        <w:rPr>
          <w:rFonts w:ascii="Arial" w:hAnsi="Arial" w:cs="Arial"/>
          <w:sz w:val="22"/>
          <w:szCs w:val="22"/>
          <w:lang w:val="fr-FR"/>
        </w:rPr>
      </w:pPr>
    </w:p>
    <w:p w14:paraId="2F57C3E9" w14:textId="2836D8F5" w:rsidR="00D82C56" w:rsidRPr="00E27D28" w:rsidRDefault="00D82C56" w:rsidP="009A196B">
      <w:pPr>
        <w:widowControl/>
        <w:rPr>
          <w:rFonts w:ascii="Arial" w:hAnsi="Arial" w:cs="Arial"/>
          <w:sz w:val="22"/>
          <w:szCs w:val="22"/>
          <w:lang w:val="fr-FR"/>
        </w:rPr>
      </w:pPr>
    </w:p>
    <w:p w14:paraId="5B2E071E" w14:textId="77777777" w:rsidR="00E27D28" w:rsidRPr="00E27D28" w:rsidRDefault="00E27D28" w:rsidP="009A196B">
      <w:pPr>
        <w:widowControl/>
        <w:rPr>
          <w:rFonts w:ascii="Arial" w:hAnsi="Arial" w:cs="Arial"/>
          <w:sz w:val="22"/>
          <w:szCs w:val="22"/>
          <w:lang w:val="fr-FR"/>
        </w:rPr>
      </w:pPr>
      <w:bookmarkStart w:id="1" w:name="_GoBack"/>
      <w:bookmarkEnd w:id="1"/>
    </w:p>
    <w:sectPr w:rsidR="00E27D28" w:rsidRPr="00E27D28">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154C" w14:textId="77777777" w:rsidR="008C701A" w:rsidRDefault="008C701A">
      <w:r>
        <w:separator/>
      </w:r>
    </w:p>
  </w:endnote>
  <w:endnote w:type="continuationSeparator" w:id="0">
    <w:p w14:paraId="18072041" w14:textId="77777777" w:rsidR="008C701A" w:rsidRDefault="008C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DA09" w14:textId="77777777" w:rsidR="008C701A" w:rsidRDefault="008C701A">
      <w:r>
        <w:rPr>
          <w:color w:val="000000"/>
        </w:rPr>
        <w:separator/>
      </w:r>
    </w:p>
  </w:footnote>
  <w:footnote w:type="continuationSeparator" w:id="0">
    <w:p w14:paraId="79040BF9" w14:textId="77777777" w:rsidR="008C701A" w:rsidRDefault="008C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473ADE8"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E27D28">
      <w:rPr>
        <w:rFonts w:ascii="Arial" w:hAnsi="Arial" w:cs="Arial"/>
        <w:i/>
        <w:szCs w:val="20"/>
        <w:lang w:val="en-GB"/>
      </w:rPr>
      <w:t>26.4.11</w:t>
    </w:r>
  </w:p>
  <w:p w14:paraId="50B9F4CC" w14:textId="77777777" w:rsidR="00A16E93" w:rsidRDefault="00310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310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2AA6E885"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E27D28">
      <w:rPr>
        <w:rFonts w:ascii="Arial" w:hAnsi="Arial" w:cs="Arial"/>
        <w:bCs/>
        <w:i/>
        <w:iCs/>
        <w:szCs w:val="20"/>
        <w:lang w:val="en-GB"/>
      </w:rPr>
      <w:t>26.4.11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298"/>
    <w:multiLevelType w:val="hybridMultilevel"/>
    <w:tmpl w:val="9D74D150"/>
    <w:lvl w:ilvl="0" w:tplc="04090017">
      <w:start w:val="1"/>
      <w:numFmt w:val="lowerLetter"/>
      <w:lvlText w:val="%1)"/>
      <w:lvlJc w:val="left"/>
      <w:pPr>
        <w:ind w:left="1514" w:hanging="360"/>
      </w:pPr>
    </w:lvl>
    <w:lvl w:ilvl="1" w:tplc="04090019">
      <w:start w:val="1"/>
      <w:numFmt w:val="lowerLetter"/>
      <w:lvlText w:val="%2."/>
      <w:lvlJc w:val="left"/>
      <w:pPr>
        <w:ind w:left="2234" w:hanging="360"/>
      </w:pPr>
    </w:lvl>
    <w:lvl w:ilvl="2" w:tplc="0409001B">
      <w:start w:val="1"/>
      <w:numFmt w:val="lowerRoman"/>
      <w:lvlText w:val="%3."/>
      <w:lvlJc w:val="right"/>
      <w:pPr>
        <w:ind w:left="2954" w:hanging="180"/>
      </w:pPr>
    </w:lvl>
    <w:lvl w:ilvl="3" w:tplc="0409000F">
      <w:start w:val="1"/>
      <w:numFmt w:val="decimal"/>
      <w:lvlText w:val="%4."/>
      <w:lvlJc w:val="left"/>
      <w:pPr>
        <w:ind w:left="3674" w:hanging="360"/>
      </w:pPr>
    </w:lvl>
    <w:lvl w:ilvl="4" w:tplc="04090019">
      <w:start w:val="1"/>
      <w:numFmt w:val="lowerLetter"/>
      <w:lvlText w:val="%5."/>
      <w:lvlJc w:val="left"/>
      <w:pPr>
        <w:ind w:left="4394" w:hanging="360"/>
      </w:pPr>
    </w:lvl>
    <w:lvl w:ilvl="5" w:tplc="0409001B">
      <w:start w:val="1"/>
      <w:numFmt w:val="lowerRoman"/>
      <w:lvlText w:val="%6."/>
      <w:lvlJc w:val="right"/>
      <w:pPr>
        <w:ind w:left="5114" w:hanging="180"/>
      </w:pPr>
    </w:lvl>
    <w:lvl w:ilvl="6" w:tplc="0409000F">
      <w:start w:val="1"/>
      <w:numFmt w:val="decimal"/>
      <w:lvlText w:val="%7."/>
      <w:lvlJc w:val="left"/>
      <w:pPr>
        <w:ind w:left="5834" w:hanging="360"/>
      </w:pPr>
    </w:lvl>
    <w:lvl w:ilvl="7" w:tplc="04090019">
      <w:start w:val="1"/>
      <w:numFmt w:val="lowerLetter"/>
      <w:lvlText w:val="%8."/>
      <w:lvlJc w:val="left"/>
      <w:pPr>
        <w:ind w:left="6554" w:hanging="360"/>
      </w:pPr>
    </w:lvl>
    <w:lvl w:ilvl="8" w:tplc="0409001B">
      <w:start w:val="1"/>
      <w:numFmt w:val="lowerRoman"/>
      <w:lvlText w:val="%9."/>
      <w:lvlJc w:val="right"/>
      <w:pPr>
        <w:ind w:left="7274" w:hanging="180"/>
      </w:pPr>
    </w:lvl>
  </w:abstractNum>
  <w:abstractNum w:abstractNumId="1" w15:restartNumberingAfterBreak="0">
    <w:nsid w:val="08780F21"/>
    <w:multiLevelType w:val="hybridMultilevel"/>
    <w:tmpl w:val="83664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4E305D6"/>
    <w:multiLevelType w:val="hybridMultilevel"/>
    <w:tmpl w:val="83664920"/>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26B8"/>
    <w:rsid w:val="000B0D60"/>
    <w:rsid w:val="001648A3"/>
    <w:rsid w:val="002223BB"/>
    <w:rsid w:val="003109A5"/>
    <w:rsid w:val="003F1AD8"/>
    <w:rsid w:val="0043102F"/>
    <w:rsid w:val="00487D0A"/>
    <w:rsid w:val="005645C4"/>
    <w:rsid w:val="005D43E4"/>
    <w:rsid w:val="005F0639"/>
    <w:rsid w:val="007A1066"/>
    <w:rsid w:val="008C701A"/>
    <w:rsid w:val="009573CA"/>
    <w:rsid w:val="009A196B"/>
    <w:rsid w:val="00A048E3"/>
    <w:rsid w:val="00B04B28"/>
    <w:rsid w:val="00C32FF1"/>
    <w:rsid w:val="00D82C56"/>
    <w:rsid w:val="00DC3F40"/>
    <w:rsid w:val="00E27D28"/>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04B28"/>
    <w:rPr>
      <w:sz w:val="18"/>
      <w:szCs w:val="18"/>
    </w:rPr>
  </w:style>
  <w:style w:type="character" w:customStyle="1" w:styleId="BalloonTextChar">
    <w:name w:val="Balloon Text Char"/>
    <w:basedOn w:val="DefaultParagraphFont"/>
    <w:link w:val="BalloonText"/>
    <w:uiPriority w:val="99"/>
    <w:semiHidden/>
    <w:rsid w:val="00B04B28"/>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627">
      <w:bodyDiv w:val="1"/>
      <w:marLeft w:val="0"/>
      <w:marRight w:val="0"/>
      <w:marTop w:val="0"/>
      <w:marBottom w:val="0"/>
      <w:divBdr>
        <w:top w:val="none" w:sz="0" w:space="0" w:color="auto"/>
        <w:left w:val="none" w:sz="0" w:space="0" w:color="auto"/>
        <w:bottom w:val="none" w:sz="0" w:space="0" w:color="auto"/>
        <w:right w:val="none" w:sz="0" w:space="0" w:color="auto"/>
      </w:divBdr>
    </w:div>
    <w:div w:id="815486116">
      <w:bodyDiv w:val="1"/>
      <w:marLeft w:val="0"/>
      <w:marRight w:val="0"/>
      <w:marTop w:val="0"/>
      <w:marBottom w:val="0"/>
      <w:divBdr>
        <w:top w:val="none" w:sz="0" w:space="0" w:color="auto"/>
        <w:left w:val="none" w:sz="0" w:space="0" w:color="auto"/>
        <w:bottom w:val="none" w:sz="0" w:space="0" w:color="auto"/>
        <w:right w:val="none" w:sz="0" w:space="0" w:color="auto"/>
      </w:divBdr>
    </w:div>
    <w:div w:id="1282540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2020-02-21T19:09:00Z</dcterms:created>
  <dcterms:modified xsi:type="dcterms:W3CDTF">2020-02-21T19:09:00Z</dcterms:modified>
</cp:coreProperties>
</file>