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0DECF4E6" w14:textId="77777777" w:rsidR="001D5122" w:rsidRPr="001D5122" w:rsidRDefault="001D5122" w:rsidP="001D512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 w:val="0"/>
        <w:autoSpaceDE/>
        <w:autoSpaceDN/>
        <w:jc w:val="center"/>
        <w:textAlignment w:val="auto"/>
        <w:outlineLvl w:val="1"/>
        <w:rPr>
          <w:rFonts w:ascii="Arial" w:eastAsiaTheme="minorHAnsi" w:hAnsi="Arial" w:cs="Arial"/>
          <w:b/>
          <w:caps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b/>
          <w:caps/>
          <w:sz w:val="22"/>
          <w:szCs w:val="22"/>
          <w:lang w:val="es-ES"/>
        </w:rPr>
        <w:t>CAPTURA INCIDENTAL</w:t>
      </w:r>
    </w:p>
    <w:p w14:paraId="77BA811D" w14:textId="73652915" w:rsidR="00D82C56" w:rsidRPr="0058757D" w:rsidRDefault="005D43E4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8757D">
        <w:rPr>
          <w:rFonts w:ascii="Arial" w:hAnsi="Arial" w:cs="Arial"/>
          <w:sz w:val="22"/>
          <w:szCs w:val="22"/>
          <w:lang w:val="es-ES"/>
        </w:rPr>
        <w:t>UNEP/CMS/COP13/Doc.</w:t>
      </w:r>
      <w:r w:rsidR="001D5122">
        <w:rPr>
          <w:rFonts w:ascii="Arial" w:hAnsi="Arial" w:cs="Arial"/>
          <w:sz w:val="22"/>
          <w:szCs w:val="22"/>
          <w:lang w:val="es-ES"/>
        </w:rPr>
        <w:t>26.2.3</w:t>
      </w:r>
    </w:p>
    <w:p w14:paraId="48F82B79" w14:textId="77777777" w:rsidR="00D82C56" w:rsidRPr="0058757D" w:rsidRDefault="00D82C56" w:rsidP="00E829C9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3A89732" w14:textId="264520F8" w:rsidR="00D82C56" w:rsidRPr="00FD2360" w:rsidRDefault="005D43E4" w:rsidP="00E829C9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FD2360">
        <w:rPr>
          <w:rFonts w:ascii="Arial" w:hAnsi="Arial" w:cs="Arial"/>
          <w:i/>
          <w:sz w:val="22"/>
          <w:szCs w:val="22"/>
          <w:lang w:val="es-ES"/>
        </w:rPr>
        <w:t>(Prepar</w:t>
      </w:r>
      <w:r w:rsidR="00FD2360" w:rsidRPr="00FD2360">
        <w:rPr>
          <w:rFonts w:ascii="Arial" w:hAnsi="Arial" w:cs="Arial"/>
          <w:i/>
          <w:sz w:val="22"/>
          <w:szCs w:val="22"/>
          <w:lang w:val="es-ES"/>
        </w:rPr>
        <w:t xml:space="preserve">ado por </w:t>
      </w:r>
      <w:r w:rsidR="00162E52">
        <w:rPr>
          <w:rFonts w:ascii="Arial" w:hAnsi="Arial" w:cs="Arial"/>
          <w:i/>
          <w:sz w:val="22"/>
          <w:szCs w:val="22"/>
          <w:lang w:val="es-ES"/>
        </w:rPr>
        <w:t>el grupo de trabajo de especies acuáticas</w:t>
      </w:r>
      <w:r w:rsidRPr="00FD2360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25BD5BFE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6C7ED871" w14:textId="77777777" w:rsidR="00D82C56" w:rsidRPr="00FD2360" w:rsidRDefault="00D82C56" w:rsidP="00E829C9">
      <w:pPr>
        <w:rPr>
          <w:rFonts w:ascii="Arial" w:hAnsi="Arial" w:cs="Arial"/>
          <w:sz w:val="22"/>
          <w:szCs w:val="22"/>
          <w:lang w:val="es-ES"/>
        </w:rPr>
      </w:pPr>
    </w:p>
    <w:p w14:paraId="0BFC559E" w14:textId="450E8F67" w:rsidR="001D5122" w:rsidRPr="001D5122" w:rsidRDefault="001D5122" w:rsidP="001D512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PROYECTO DE DECISIÓN</w:t>
      </w:r>
    </w:p>
    <w:p w14:paraId="3D1D0E86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1EC2FE87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9AB3E56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 las Partes </w:t>
      </w:r>
    </w:p>
    <w:p w14:paraId="7983330B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D3934C2" w14:textId="21BA2472" w:rsidR="001D5122" w:rsidRPr="001D5122" w:rsidRDefault="001D5122" w:rsidP="00D144DE">
      <w:pPr>
        <w:widowControl/>
        <w:suppressAutoHyphens w:val="0"/>
        <w:autoSpaceDE/>
        <w:autoSpaceDN/>
        <w:adjustRightInd w:val="0"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13.AA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ab/>
      </w:r>
      <w:r w:rsidR="003517BD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Pr="001D5122">
        <w:rPr>
          <w:rFonts w:ascii="Arial" w:eastAsiaTheme="minorHAnsi" w:hAnsi="Arial" w:cs="Arial"/>
          <w:iCs/>
          <w:sz w:val="22"/>
          <w:szCs w:val="22"/>
          <w:lang w:val="es-ES"/>
        </w:rPr>
        <w:t xml:space="preserve">Se insta a las Partes 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>que gestionan pesquerías con problemas identificados de capturas incidentales de mamíferos marinos</w:t>
      </w:r>
      <w:r w:rsidR="007B4308">
        <w:rPr>
          <w:rFonts w:ascii="Arial" w:eastAsiaTheme="minorHAnsi" w:hAnsi="Arial" w:cs="Arial"/>
          <w:sz w:val="22"/>
          <w:szCs w:val="22"/>
          <w:lang w:val="es-ES"/>
        </w:rPr>
        <w:t>,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a </w:t>
      </w:r>
      <w:r w:rsidR="007B4308">
        <w:rPr>
          <w:rFonts w:ascii="Arial" w:eastAsiaTheme="minorHAnsi" w:hAnsi="Arial" w:cs="Arial"/>
          <w:sz w:val="22"/>
          <w:szCs w:val="22"/>
          <w:lang w:val="es-ES"/>
        </w:rPr>
        <w:t>tener</w:t>
      </w:r>
      <w:r w:rsidR="00162E52">
        <w:rPr>
          <w:rFonts w:ascii="Arial" w:eastAsiaTheme="minorHAnsi" w:hAnsi="Arial" w:cs="Arial"/>
          <w:sz w:val="22"/>
          <w:szCs w:val="22"/>
          <w:lang w:val="es-ES"/>
        </w:rPr>
        <w:t xml:space="preserve"> en cuenta la evaluación de Hamilton y Baker (2019) contenida en</w:t>
      </w:r>
      <w:r w:rsidR="00162E52" w:rsidRPr="00162E52">
        <w:rPr>
          <w:rFonts w:ascii="Arial" w:eastAsiaTheme="minorHAnsi" w:hAnsi="Arial" w:cstheme="minorBidi"/>
          <w:sz w:val="22"/>
          <w:szCs w:val="22"/>
          <w:lang w:val="es-ES"/>
        </w:rPr>
        <w:t xml:space="preserve"> UNEP/CMS/COP13/Inf.11 </w:t>
      </w:r>
      <w:r w:rsidR="00162E52">
        <w:rPr>
          <w:rFonts w:ascii="Arial" w:eastAsiaTheme="minorHAnsi" w:hAnsi="Arial" w:cstheme="minorBidi"/>
          <w:sz w:val="22"/>
          <w:szCs w:val="22"/>
          <w:lang w:val="es-ES"/>
        </w:rPr>
        <w:t xml:space="preserve">y 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>una vez que</w:t>
      </w:r>
      <w:r w:rsidR="00B90793">
        <w:rPr>
          <w:rFonts w:ascii="Arial" w:eastAsiaTheme="minorHAnsi" w:hAnsi="Arial" w:cstheme="minorBidi"/>
          <w:sz w:val="22"/>
          <w:szCs w:val="22"/>
          <w:lang w:val="es-ES"/>
        </w:rPr>
        <w:t xml:space="preserve"> estén</w:t>
      </w:r>
      <w:r w:rsidR="00162E52">
        <w:rPr>
          <w:rFonts w:ascii="Arial" w:eastAsiaTheme="minorHAnsi" w:hAnsi="Arial" w:cstheme="minorBidi"/>
          <w:sz w:val="22"/>
          <w:szCs w:val="22"/>
          <w:lang w:val="es-ES"/>
        </w:rPr>
        <w:t xml:space="preserve"> disponible</w:t>
      </w:r>
      <w:r w:rsidR="00B90793">
        <w:rPr>
          <w:rFonts w:ascii="Arial" w:eastAsiaTheme="minorHAnsi" w:hAnsi="Arial" w:cstheme="minorBidi"/>
          <w:sz w:val="22"/>
          <w:szCs w:val="22"/>
          <w:lang w:val="es-ES"/>
        </w:rPr>
        <w:t>s</w:t>
      </w:r>
      <w:r w:rsidR="00162E52">
        <w:rPr>
          <w:rFonts w:ascii="Arial" w:eastAsiaTheme="minorHAnsi" w:hAnsi="Arial" w:cstheme="minorBidi"/>
          <w:sz w:val="22"/>
          <w:szCs w:val="22"/>
          <w:lang w:val="es-ES"/>
        </w:rPr>
        <w:t>,</w:t>
      </w:r>
      <w:r w:rsidR="00162E52">
        <w:rPr>
          <w:rFonts w:ascii="Arial" w:eastAsiaTheme="minorHAnsi" w:hAnsi="Arial" w:cs="Arial"/>
          <w:sz w:val="22"/>
          <w:szCs w:val="22"/>
          <w:lang w:val="es-ES"/>
        </w:rPr>
        <w:t xml:space="preserve"> </w:t>
      </w:r>
      <w:r w:rsidR="00162E52" w:rsidRPr="001D5122">
        <w:rPr>
          <w:rFonts w:ascii="Arial" w:eastAsiaTheme="minorHAnsi" w:hAnsi="Arial" w:cstheme="minorBidi"/>
          <w:sz w:val="22"/>
          <w:szCs w:val="22"/>
          <w:lang w:val="es-ES"/>
        </w:rPr>
        <w:t xml:space="preserve">las </w:t>
      </w:r>
      <w:r w:rsidR="00162E52" w:rsidRPr="001D5122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Directrices técnicas </w:t>
      </w:r>
      <w:r w:rsidR="00B90793">
        <w:rPr>
          <w:rFonts w:ascii="Arial" w:eastAsiaTheme="minorHAnsi" w:hAnsi="Arial" w:cstheme="minorBidi"/>
          <w:iCs/>
          <w:sz w:val="22"/>
          <w:szCs w:val="22"/>
          <w:lang w:val="es-ES"/>
        </w:rPr>
        <w:t>de la FAO sobre</w:t>
      </w:r>
      <w:r w:rsidR="00162E52" w:rsidRPr="001D5122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reducción de </w:t>
      </w:r>
      <w:r w:rsidR="00B90793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la </w:t>
      </w:r>
      <w:r w:rsidR="00162E52" w:rsidRPr="001D5122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captura incidental </w:t>
      </w:r>
      <w:r w:rsidR="002476B5">
        <w:rPr>
          <w:rFonts w:ascii="Arial" w:eastAsiaTheme="minorHAnsi" w:hAnsi="Arial" w:cstheme="minorBidi"/>
          <w:iCs/>
          <w:sz w:val="22"/>
          <w:szCs w:val="22"/>
          <w:lang w:val="es-ES"/>
        </w:rPr>
        <w:t>de</w:t>
      </w:r>
      <w:r w:rsidR="00162E52" w:rsidRPr="001D5122">
        <w:rPr>
          <w:rFonts w:ascii="Arial" w:eastAsiaTheme="minorHAnsi" w:hAnsi="Arial" w:cstheme="minorBidi"/>
          <w:iCs/>
          <w:sz w:val="22"/>
          <w:szCs w:val="22"/>
          <w:lang w:val="es-ES"/>
        </w:rPr>
        <w:t xml:space="preserve"> mamíferos marinos en las pesquerías</w:t>
      </w:r>
      <w:r w:rsidR="00162E52" w:rsidRPr="001D5122">
        <w:rPr>
          <w:rFonts w:ascii="Arial" w:eastAsiaTheme="minorHAnsi" w:hAnsi="Arial" w:cstheme="minorBidi"/>
          <w:sz w:val="22"/>
          <w:szCs w:val="22"/>
          <w:lang w:val="es-ES"/>
        </w:rPr>
        <w:t xml:space="preserve">, </w:t>
      </w:r>
      <w:r w:rsidR="003B5923">
        <w:rPr>
          <w:rFonts w:ascii="Arial" w:eastAsiaTheme="minorHAnsi" w:hAnsi="Arial" w:cstheme="minorBidi"/>
          <w:sz w:val="22"/>
          <w:szCs w:val="22"/>
          <w:lang w:val="es-ES"/>
        </w:rPr>
        <w:t xml:space="preserve">y el estudio de </w:t>
      </w:r>
      <w:proofErr w:type="spellStart"/>
      <w:r w:rsidR="003B5923">
        <w:rPr>
          <w:rFonts w:ascii="Arial" w:eastAsiaTheme="minorHAnsi" w:hAnsi="Arial" w:cstheme="minorBidi"/>
          <w:sz w:val="22"/>
          <w:szCs w:val="22"/>
          <w:lang w:val="es-ES"/>
        </w:rPr>
        <w:t>Leaper</w:t>
      </w:r>
      <w:proofErr w:type="spellEnd"/>
      <w:r w:rsidR="003B5923">
        <w:rPr>
          <w:rFonts w:ascii="Arial" w:eastAsiaTheme="minorHAnsi" w:hAnsi="Arial" w:cstheme="minorBidi"/>
          <w:sz w:val="22"/>
          <w:szCs w:val="22"/>
          <w:lang w:val="es-ES"/>
        </w:rPr>
        <w:t xml:space="preserve"> y </w:t>
      </w:r>
      <w:proofErr w:type="spellStart"/>
      <w:r w:rsidR="003B5923">
        <w:rPr>
          <w:rFonts w:ascii="Arial" w:eastAsiaTheme="minorHAnsi" w:hAnsi="Arial" w:cstheme="minorBidi"/>
          <w:sz w:val="22"/>
          <w:szCs w:val="22"/>
          <w:lang w:val="es-ES"/>
        </w:rPr>
        <w:t>Calderan</w:t>
      </w:r>
      <w:proofErr w:type="spellEnd"/>
      <w:r w:rsidR="003B5923">
        <w:rPr>
          <w:rFonts w:ascii="Arial" w:eastAsiaTheme="minorHAnsi" w:hAnsi="Arial" w:cstheme="minorBidi"/>
          <w:sz w:val="22"/>
          <w:szCs w:val="22"/>
          <w:lang w:val="es-ES"/>
        </w:rPr>
        <w:t xml:space="preserve"> (2018) sobre métodos utilizados para reducir el riesgo de captura in</w:t>
      </w:r>
      <w:r w:rsidR="00B90793">
        <w:rPr>
          <w:rFonts w:ascii="Arial" w:eastAsiaTheme="minorHAnsi" w:hAnsi="Arial" w:cstheme="minorBidi"/>
          <w:sz w:val="22"/>
          <w:szCs w:val="22"/>
          <w:lang w:val="es-ES"/>
        </w:rPr>
        <w:t>c</w:t>
      </w:r>
      <w:r w:rsidR="003B5923">
        <w:rPr>
          <w:rFonts w:ascii="Arial" w:eastAsiaTheme="minorHAnsi" w:hAnsi="Arial" w:cstheme="minorBidi"/>
          <w:sz w:val="22"/>
          <w:szCs w:val="22"/>
          <w:lang w:val="es-ES"/>
        </w:rPr>
        <w:t>i</w:t>
      </w:r>
      <w:r w:rsidR="00B90793">
        <w:rPr>
          <w:rFonts w:ascii="Arial" w:eastAsiaTheme="minorHAnsi" w:hAnsi="Arial" w:cstheme="minorBidi"/>
          <w:sz w:val="22"/>
          <w:szCs w:val="22"/>
          <w:lang w:val="es-ES"/>
        </w:rPr>
        <w:t>d</w:t>
      </w:r>
      <w:r w:rsidR="003B5923">
        <w:rPr>
          <w:rFonts w:ascii="Arial" w:eastAsiaTheme="minorHAnsi" w:hAnsi="Arial" w:cstheme="minorBidi"/>
          <w:sz w:val="22"/>
          <w:szCs w:val="22"/>
          <w:lang w:val="es-ES"/>
        </w:rPr>
        <w:t>ental de cetáceos</w:t>
      </w:r>
      <w:r w:rsidR="002476B5">
        <w:rPr>
          <w:rFonts w:ascii="Arial" w:eastAsiaTheme="minorHAnsi" w:hAnsi="Arial" w:cstheme="minorBidi"/>
          <w:sz w:val="22"/>
          <w:szCs w:val="22"/>
          <w:lang w:val="es-ES"/>
        </w:rPr>
        <w:t xml:space="preserve"> y su atrapamiento en artes de pesca</w:t>
      </w:r>
      <w:r w:rsidR="003517BD">
        <w:rPr>
          <w:rFonts w:ascii="Arial" w:eastAsiaTheme="minorHAnsi" w:hAnsi="Arial" w:cstheme="minorBidi"/>
          <w:sz w:val="22"/>
          <w:szCs w:val="22"/>
          <w:lang w:val="es-ES"/>
        </w:rPr>
        <w:t xml:space="preserve"> (Serie Técnica de la CMS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>,</w:t>
      </w:r>
      <w:r w:rsidR="003517BD">
        <w:rPr>
          <w:rFonts w:ascii="Arial" w:eastAsiaTheme="minorHAnsi" w:hAnsi="Arial" w:cstheme="minorBidi"/>
          <w:sz w:val="22"/>
          <w:szCs w:val="22"/>
          <w:lang w:val="es-ES"/>
        </w:rPr>
        <w:t xml:space="preserve"> Publicación 38), 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>así como e</w:t>
      </w:r>
      <w:r w:rsidR="003517BD">
        <w:rPr>
          <w:rFonts w:ascii="Arial" w:eastAsiaTheme="minorHAnsi" w:hAnsi="Arial" w:cstheme="minorBidi"/>
          <w:sz w:val="22"/>
          <w:szCs w:val="22"/>
          <w:lang w:val="es-ES"/>
        </w:rPr>
        <w:t xml:space="preserve">l mejor asesoramiento científico disponible 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>sobre</w:t>
      </w:r>
      <w:r w:rsidR="003517BD"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 xml:space="preserve">las </w:t>
      </w:r>
      <w:r w:rsidR="003517BD">
        <w:rPr>
          <w:rFonts w:ascii="Arial" w:eastAsiaTheme="minorHAnsi" w:hAnsi="Arial" w:cstheme="minorBidi"/>
          <w:sz w:val="22"/>
          <w:szCs w:val="22"/>
          <w:lang w:val="es-ES"/>
        </w:rPr>
        <w:t>pesquerías</w:t>
      </w:r>
      <w:r w:rsidR="007B4308">
        <w:rPr>
          <w:rFonts w:ascii="Arial" w:eastAsiaTheme="minorHAnsi" w:hAnsi="Arial" w:cstheme="minorBidi"/>
          <w:sz w:val="22"/>
          <w:szCs w:val="22"/>
          <w:lang w:val="es-ES"/>
        </w:rPr>
        <w:t xml:space="preserve"> afectadas</w:t>
      </w:r>
      <w:r w:rsidR="00162E52" w:rsidRPr="001D5122">
        <w:rPr>
          <w:rFonts w:ascii="Arial" w:eastAsiaTheme="minorHAnsi" w:hAnsi="Arial" w:cstheme="minorBidi"/>
          <w:sz w:val="22"/>
          <w:szCs w:val="22"/>
          <w:lang w:val="es-ES"/>
        </w:rPr>
        <w:t xml:space="preserve">; y </w:t>
      </w:r>
      <w:r w:rsidR="003517B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apliquen medidas efectivas de mitigación de las capturas incidentales de </w:t>
      </w:r>
      <w:r w:rsidR="00DC397C">
        <w:rPr>
          <w:rFonts w:ascii="Arial" w:eastAsiaTheme="minorHAnsi" w:hAnsi="Arial" w:cs="Arial"/>
          <w:iCs/>
          <w:sz w:val="22"/>
          <w:szCs w:val="22"/>
          <w:lang w:val="es-ES"/>
        </w:rPr>
        <w:t>mamíferos</w:t>
      </w:r>
      <w:r w:rsidR="003517BD">
        <w:rPr>
          <w:rFonts w:ascii="Arial" w:eastAsiaTheme="minorHAnsi" w:hAnsi="Arial" w:cs="Arial"/>
          <w:iCs/>
          <w:sz w:val="22"/>
          <w:szCs w:val="22"/>
          <w:lang w:val="es-ES"/>
        </w:rPr>
        <w:t xml:space="preserve"> marinos, según proceda, en sus operaciones de pesca incluyendo la introducción de artes de pesca alternativos. </w:t>
      </w:r>
    </w:p>
    <w:p w14:paraId="7F277D06" w14:textId="35C3BCF5" w:rsidR="001D5122" w:rsidRPr="001D5122" w:rsidRDefault="003517BD" w:rsidP="001D5122">
      <w:pPr>
        <w:suppressAutoHyphens w:val="0"/>
        <w:adjustRightInd w:val="0"/>
        <w:ind w:left="1560" w:hanging="426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>
        <w:rPr>
          <w:rFonts w:ascii="Arial" w:eastAsiaTheme="minorHAnsi" w:hAnsi="Arial" w:cstheme="minorBidi"/>
          <w:sz w:val="22"/>
          <w:szCs w:val="22"/>
          <w:lang w:val="es-ES"/>
        </w:rPr>
        <w:t xml:space="preserve"> </w:t>
      </w:r>
    </w:p>
    <w:p w14:paraId="03A5166B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6F59C669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b/>
          <w:i/>
          <w:sz w:val="22"/>
          <w:szCs w:val="22"/>
          <w:lang w:val="es-ES"/>
        </w:rPr>
        <w:t xml:space="preserve">Dirigido al Consejo Científico y su Grupo de Trabajo sobre capturas incidentales </w:t>
      </w:r>
    </w:p>
    <w:p w14:paraId="621D9C2D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4FD4696" w14:textId="1CDC1735" w:rsidR="001D5122" w:rsidRPr="001D5122" w:rsidRDefault="001D5122" w:rsidP="00D144DE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13.BB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ab/>
        <w:t xml:space="preserve">Se invita al Consejo Científico y al Grupo de Trabajo sobre capturas incidentales, sujeto a la disponibilidad de fondos y en cooperación con 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 xml:space="preserve">otras organizaciones pertinentes como 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el Comité Asesor del </w:t>
      </w:r>
      <w:proofErr w:type="spellStart"/>
      <w:r w:rsidRPr="001D5122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sobre tiburones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 xml:space="preserve"> y las organizaciones de gestión de la pesca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>, a que:</w:t>
      </w:r>
    </w:p>
    <w:p w14:paraId="2389B2F9" w14:textId="77777777" w:rsidR="001D5122" w:rsidRPr="001D5122" w:rsidRDefault="001D5122" w:rsidP="001D5122">
      <w:pPr>
        <w:suppressAutoHyphens w:val="0"/>
        <w:adjustRightInd w:val="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4A3C30F" w14:textId="7E91F01D" w:rsidR="001D5122" w:rsidRPr="001D5122" w:rsidRDefault="001D5122" w:rsidP="00D144DE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revisen los 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 xml:space="preserve">datos y conocimientos actuales sobre 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niveles de capturas incidentales de las especies de </w:t>
      </w:r>
      <w:proofErr w:type="spellStart"/>
      <w:r w:rsidRPr="001D5122">
        <w:rPr>
          <w:rFonts w:ascii="Arial" w:eastAsiaTheme="minorHAnsi" w:hAnsi="Arial" w:cs="Arial"/>
          <w:sz w:val="22"/>
          <w:szCs w:val="22"/>
          <w:lang w:val="es-ES"/>
        </w:rPr>
        <w:t>condrictios</w:t>
      </w:r>
      <w:proofErr w:type="spellEnd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que figuran en las listas de la CMS, así como las medidas existentes de mitigación de las capturas incidentales por especies, zonas de pesca, pesquerías, temporada de pesca y tipo de instrumento;</w:t>
      </w:r>
    </w:p>
    <w:p w14:paraId="497F1707" w14:textId="77777777" w:rsidR="001D5122" w:rsidRPr="001D5122" w:rsidRDefault="001D5122" w:rsidP="00D144DE">
      <w:pPr>
        <w:suppressAutoHyphens w:val="0"/>
        <w:adjustRightInd w:val="0"/>
        <w:ind w:left="1080" w:hanging="36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BA335B2" w14:textId="33F66896" w:rsidR="001D5122" w:rsidRPr="001D5122" w:rsidRDefault="001D5122" w:rsidP="00D144DE">
      <w:pPr>
        <w:widowControl/>
        <w:numPr>
          <w:ilvl w:val="0"/>
          <w:numId w:val="4"/>
        </w:numPr>
        <w:suppressAutoHyphens w:val="0"/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de acuerdo con 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>lo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anterior, identifiquen las prioridades para la mitigación de capturas incidentales y aporten recomendaciones a las Partes y al </w:t>
      </w:r>
      <w:proofErr w:type="spellStart"/>
      <w:r w:rsidRPr="001D5122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sobre tiburones de la CMS sobre las medidas más efectivas y apropiadas para la mitigación y reducción de las capturas incidentales, según las categorías mencionadas anteriormente, al mismo tiempo que se garantiza que las medidas recomendadas no afectan negativamente a otras especies marinas que figuran en las listas de la CMS.</w:t>
      </w:r>
    </w:p>
    <w:p w14:paraId="2F4FB273" w14:textId="77777777" w:rsidR="001D5122" w:rsidRPr="001D5122" w:rsidRDefault="001D5122" w:rsidP="001D5122">
      <w:pPr>
        <w:suppressAutoHyphens w:val="0"/>
        <w:adjustRightInd w:val="0"/>
        <w:jc w:val="both"/>
        <w:textAlignment w:val="auto"/>
        <w:rPr>
          <w:rFonts w:ascii="Arial" w:eastAsiaTheme="minorHAnsi" w:hAnsi="Arial" w:cs="Arial"/>
          <w:iCs/>
          <w:sz w:val="22"/>
          <w:szCs w:val="22"/>
          <w:highlight w:val="yellow"/>
          <w:lang w:val="es-ES"/>
        </w:rPr>
      </w:pPr>
    </w:p>
    <w:p w14:paraId="1F7DB5E1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b/>
          <w:i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b/>
          <w:i/>
          <w:sz w:val="22"/>
          <w:szCs w:val="22"/>
          <w:lang w:val="es-ES"/>
        </w:rPr>
        <w:t>Dirigido a la Secretaría</w:t>
      </w:r>
    </w:p>
    <w:p w14:paraId="34B732E2" w14:textId="77777777" w:rsidR="001D5122" w:rsidRPr="001D5122" w:rsidRDefault="001D5122" w:rsidP="001D5122">
      <w:pPr>
        <w:widowControl/>
        <w:suppressAutoHyphens w:val="0"/>
        <w:autoSpaceDE/>
        <w:autoSpaceDN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7327E024" w14:textId="77777777" w:rsidR="001D5122" w:rsidRPr="001D5122" w:rsidRDefault="001D5122" w:rsidP="00D144DE">
      <w:pPr>
        <w:widowControl/>
        <w:suppressAutoHyphens w:val="0"/>
        <w:autoSpaceDE/>
        <w:autoSpaceDN/>
        <w:ind w:left="720" w:hanging="720"/>
        <w:jc w:val="both"/>
        <w:textAlignment w:val="auto"/>
        <w:rPr>
          <w:rFonts w:ascii="Arial" w:eastAsiaTheme="minorHAnsi" w:hAnsi="Arial" w:cs="Arial"/>
          <w:iCs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13.CC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ab/>
        <w:t>Se solicita a la Secretaría que, sujeta a la disponibilidad de fondos, realice lo siguiente:</w:t>
      </w:r>
    </w:p>
    <w:p w14:paraId="5BCEAF53" w14:textId="77777777" w:rsidR="001D5122" w:rsidRPr="001D5122" w:rsidRDefault="001D5122" w:rsidP="001D5122">
      <w:pPr>
        <w:widowControl/>
        <w:suppressAutoHyphens w:val="0"/>
        <w:autoSpaceDE/>
        <w:autoSpaceDN/>
        <w:ind w:left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328F2DF" w14:textId="74119210" w:rsidR="001D5122" w:rsidRPr="001D5122" w:rsidRDefault="001D5122" w:rsidP="00D144DE">
      <w:pPr>
        <w:widowControl/>
        <w:numPr>
          <w:ilvl w:val="0"/>
          <w:numId w:val="3"/>
        </w:numPr>
        <w:suppressAutoHyphens w:val="0"/>
        <w:autoSpaceDE/>
        <w:autoSpaceDN/>
        <w:adjustRightInd w:val="0"/>
        <w:ind w:left="108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bajo petición de las Partes y, según proceda, en colaboración con las organizaciones intergubernamentales pertinentes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>, incluidas las organizaciones regionales de gestión de la pesca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>:</w:t>
      </w:r>
    </w:p>
    <w:p w14:paraId="74FA282E" w14:textId="77777777" w:rsidR="001D5122" w:rsidRPr="001D5122" w:rsidRDefault="001D5122" w:rsidP="001D5122">
      <w:pPr>
        <w:suppressAutoHyphens w:val="0"/>
        <w:adjustRightInd w:val="0"/>
        <w:ind w:left="72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3BE45E61" w14:textId="748BCDC8" w:rsidR="001D5122" w:rsidRPr="001D5122" w:rsidRDefault="001D5122" w:rsidP="00D144DE">
      <w:pPr>
        <w:widowControl/>
        <w:numPr>
          <w:ilvl w:val="1"/>
          <w:numId w:val="2"/>
        </w:numPr>
        <w:suppressAutoHyphens w:val="0"/>
        <w:autoSpaceDE/>
        <w:autoSpaceDN/>
        <w:adjustRightInd w:val="0"/>
        <w:ind w:left="180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encargue revisiones nacionales o regionales para determinar los niveles relativos de capturas incidentales de </w:t>
      </w:r>
      <w:r w:rsidR="00DC397C">
        <w:rPr>
          <w:rFonts w:ascii="Arial" w:eastAsiaTheme="minorHAnsi" w:hAnsi="Arial" w:cs="Arial"/>
          <w:sz w:val="22"/>
          <w:szCs w:val="22"/>
          <w:lang w:val="es-ES"/>
        </w:rPr>
        <w:t xml:space="preserve">todas </w:t>
      </w:r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las especies marinas que figuran en las listas de la CMS en pesquerías comerciales y artesanales; </w:t>
      </w:r>
    </w:p>
    <w:p w14:paraId="430577D8" w14:textId="77777777" w:rsidR="001D5122" w:rsidRPr="001D5122" w:rsidRDefault="001D5122" w:rsidP="00D144DE">
      <w:pPr>
        <w:suppressAutoHyphens w:val="0"/>
        <w:adjustRightInd w:val="0"/>
        <w:ind w:left="180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43D373AF" w14:textId="326257B6" w:rsidR="001D5122" w:rsidRDefault="001D5122" w:rsidP="00D144DE">
      <w:pPr>
        <w:widowControl/>
        <w:numPr>
          <w:ilvl w:val="1"/>
          <w:numId w:val="2"/>
        </w:numPr>
        <w:suppressAutoHyphens w:val="0"/>
        <w:autoSpaceDE/>
        <w:autoSpaceDN/>
        <w:adjustRightInd w:val="0"/>
        <w:ind w:left="180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lastRenderedPageBreak/>
        <w:t>identifique y priorice aquellas pesquerías y zonas en las que son mayores los impactos adversos de las capturas incidentales para las especies marinas que figuran en las listas de la CMS; y</w:t>
      </w:r>
    </w:p>
    <w:p w14:paraId="01CBA3E2" w14:textId="77777777" w:rsidR="00DC397C" w:rsidRPr="001D5122" w:rsidRDefault="00DC397C" w:rsidP="00D144DE">
      <w:pPr>
        <w:widowControl/>
        <w:suppressAutoHyphens w:val="0"/>
        <w:autoSpaceDE/>
        <w:autoSpaceDN/>
        <w:adjustRightInd w:val="0"/>
        <w:ind w:left="180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209CEBA" w14:textId="77777777" w:rsidR="001D5122" w:rsidRPr="001D5122" w:rsidRDefault="001D5122" w:rsidP="00D144DE">
      <w:pPr>
        <w:widowControl/>
        <w:numPr>
          <w:ilvl w:val="1"/>
          <w:numId w:val="2"/>
        </w:numPr>
        <w:suppressAutoHyphens w:val="0"/>
        <w:autoSpaceDE/>
        <w:autoSpaceDN/>
        <w:adjustRightInd w:val="0"/>
        <w:ind w:left="1800" w:hanging="54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organice, si corresponde, talleres regionales con el fin de identificar las medidas de mitigación de capturas incidentales apropiadas para las pesquerías de mayor prioridad.</w:t>
      </w:r>
    </w:p>
    <w:p w14:paraId="6D4C7A5A" w14:textId="77777777" w:rsidR="001D5122" w:rsidRPr="001D5122" w:rsidRDefault="001D5122" w:rsidP="001D5122">
      <w:pPr>
        <w:widowControl/>
        <w:suppressAutoHyphens w:val="0"/>
        <w:autoSpaceDE/>
        <w:autoSpaceDN/>
        <w:ind w:left="720"/>
        <w:contextualSpacing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</w:p>
    <w:p w14:paraId="29FEC529" w14:textId="77777777" w:rsidR="001D5122" w:rsidRPr="001D5122" w:rsidRDefault="001D5122" w:rsidP="00D144DE">
      <w:pPr>
        <w:widowControl/>
        <w:numPr>
          <w:ilvl w:val="0"/>
          <w:numId w:val="2"/>
        </w:numPr>
        <w:suppressAutoHyphens w:val="0"/>
        <w:autoSpaceDE/>
        <w:autoSpaceDN/>
        <w:adjustRightInd w:val="0"/>
        <w:ind w:left="1170" w:hanging="450"/>
        <w:jc w:val="both"/>
        <w:textAlignment w:val="auto"/>
        <w:rPr>
          <w:rFonts w:ascii="Arial" w:eastAsiaTheme="minorHAnsi" w:hAnsi="Arial" w:cs="Arial"/>
          <w:sz w:val="22"/>
          <w:szCs w:val="22"/>
          <w:lang w:val="es-ES"/>
        </w:rPr>
      </w:pPr>
      <w:r w:rsidRPr="001D5122">
        <w:rPr>
          <w:rFonts w:ascii="Arial" w:eastAsiaTheme="minorHAnsi" w:hAnsi="Arial" w:cs="Arial"/>
          <w:sz w:val="22"/>
          <w:szCs w:val="22"/>
          <w:lang w:val="es-ES"/>
        </w:rPr>
        <w:t>a</w:t>
      </w:r>
      <w:bookmarkStart w:id="0" w:name="_GoBack"/>
      <w:bookmarkEnd w:id="0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poye al Consejo Científico en la implementación de su tarea acordada en la Decisión 13.BB, incluido el encargo de una revisión sobre las capturas incidentales de especies de </w:t>
      </w:r>
      <w:proofErr w:type="spellStart"/>
      <w:r w:rsidRPr="001D5122">
        <w:rPr>
          <w:rFonts w:ascii="Arial" w:eastAsiaTheme="minorHAnsi" w:hAnsi="Arial" w:cs="Arial"/>
          <w:sz w:val="22"/>
          <w:szCs w:val="22"/>
          <w:lang w:val="es-ES"/>
        </w:rPr>
        <w:t>condrictios</w:t>
      </w:r>
      <w:proofErr w:type="spellEnd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y la facilitación de la cooperación entre el Consejo Científico y el Comité Asesor del </w:t>
      </w:r>
      <w:proofErr w:type="spellStart"/>
      <w:r w:rsidRPr="001D5122">
        <w:rPr>
          <w:rFonts w:ascii="Arial" w:eastAsiaTheme="minorHAnsi" w:hAnsi="Arial" w:cs="Arial"/>
          <w:sz w:val="22"/>
          <w:szCs w:val="22"/>
          <w:lang w:val="es-ES"/>
        </w:rPr>
        <w:t>MdE</w:t>
      </w:r>
      <w:proofErr w:type="spellEnd"/>
      <w:r w:rsidRPr="001D5122">
        <w:rPr>
          <w:rFonts w:ascii="Arial" w:eastAsiaTheme="minorHAnsi" w:hAnsi="Arial" w:cs="Arial"/>
          <w:sz w:val="22"/>
          <w:szCs w:val="22"/>
          <w:lang w:val="es-ES"/>
        </w:rPr>
        <w:t xml:space="preserve"> sobre Tiburones. </w:t>
      </w:r>
    </w:p>
    <w:p w14:paraId="2DDE701E" w14:textId="77777777" w:rsidR="001D5122" w:rsidRPr="001D5122" w:rsidRDefault="001D5122" w:rsidP="001D5122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sz w:val="22"/>
          <w:szCs w:val="22"/>
          <w:lang w:val="es-ES"/>
        </w:rPr>
      </w:pPr>
    </w:p>
    <w:p w14:paraId="497FE78B" w14:textId="77777777" w:rsidR="001D5122" w:rsidRPr="001D5122" w:rsidRDefault="001D5122" w:rsidP="001D5122">
      <w:pPr>
        <w:ind w:left="567"/>
        <w:contextualSpacing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14:paraId="4FAC4F88" w14:textId="77777777" w:rsidR="00D82C56" w:rsidRPr="00FD2360" w:rsidRDefault="00D82C56" w:rsidP="001D5122">
      <w:pPr>
        <w:rPr>
          <w:rFonts w:ascii="Arial" w:hAnsi="Arial" w:cs="Arial"/>
          <w:lang w:val="es-ES"/>
        </w:rPr>
      </w:pPr>
    </w:p>
    <w:sectPr w:rsidR="00D82C56" w:rsidRPr="00FD2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999C223" w:rsidR="00A16E93" w:rsidRDefault="005D43E4" w:rsidP="00AA138B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1D5122">
      <w:rPr>
        <w:rFonts w:ascii="Arial" w:hAnsi="Arial" w:cs="Arial"/>
        <w:i/>
        <w:szCs w:val="20"/>
        <w:lang w:val="en-GB"/>
      </w:rPr>
      <w:t>26.2.3</w:t>
    </w:r>
  </w:p>
  <w:p w14:paraId="50B9F4CC" w14:textId="77777777" w:rsidR="00A16E93" w:rsidRDefault="00D14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D14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67F23EE7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1D5122">
      <w:rPr>
        <w:rFonts w:ascii="Arial" w:hAnsi="Arial" w:cs="Arial"/>
        <w:bCs/>
        <w:i/>
        <w:iCs/>
        <w:szCs w:val="20"/>
        <w:lang w:val="en-GB"/>
      </w:rPr>
      <w:t>26.2.3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6945"/>
    <w:multiLevelType w:val="hybridMultilevel"/>
    <w:tmpl w:val="16F03C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0771"/>
    <w:multiLevelType w:val="hybridMultilevel"/>
    <w:tmpl w:val="16F03C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6B8"/>
    <w:multiLevelType w:val="hybridMultilevel"/>
    <w:tmpl w:val="F1BC541C"/>
    <w:lvl w:ilvl="0" w:tplc="274C064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2E52"/>
    <w:rsid w:val="001D5122"/>
    <w:rsid w:val="002476B5"/>
    <w:rsid w:val="003517BD"/>
    <w:rsid w:val="003B5923"/>
    <w:rsid w:val="003F1AD8"/>
    <w:rsid w:val="0043102F"/>
    <w:rsid w:val="005645C4"/>
    <w:rsid w:val="0058757D"/>
    <w:rsid w:val="005D43E4"/>
    <w:rsid w:val="005F0639"/>
    <w:rsid w:val="00764F51"/>
    <w:rsid w:val="007A1066"/>
    <w:rsid w:val="007B4308"/>
    <w:rsid w:val="00AA138B"/>
    <w:rsid w:val="00B90793"/>
    <w:rsid w:val="00D144DE"/>
    <w:rsid w:val="00D82C56"/>
    <w:rsid w:val="00DC397C"/>
    <w:rsid w:val="00E829C9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5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Ximena Victoria Cancino Ordenes</cp:lastModifiedBy>
  <cp:revision>2</cp:revision>
  <cp:lastPrinted>2020-02-03T15:02:00Z</cp:lastPrinted>
  <dcterms:created xsi:type="dcterms:W3CDTF">2020-02-20T06:31:00Z</dcterms:created>
  <dcterms:modified xsi:type="dcterms:W3CDTF">2020-02-20T06:31:00Z</dcterms:modified>
</cp:coreProperties>
</file>